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001-39980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83-1863385</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1405 Research Blvd, Suite 125</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Rockville, MD</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2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SNSE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On May 15, 2026, Sensei Biotherapeutics, Inc. issued a press release announcing its financial results for the quarter ended March 31, 2026. A copy of the press release is attached hereto as Exhibit 99.1.</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in this Item 2.02 and the exhibit attached hereto are being furnished and shall not be deemed “filed” for the purposes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18 of the Securities Exchange Act of 1934, as amended (the “Exchange Act”), or otherwise subject to the liabilities of that section, nor shall they</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deemed incorporated by reference into any filing under the Exchange Act or the Securities Act of 1933, as amended, whether filed before or after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hereof and regardless of any general incorporation language in such filing.</w:t>
      </w:r>
    </w:p>
    <w:p>
      <w:pPr>
        <w:spacing w:after="0" w:line="35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4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Sensei Biotherapeutics, Inc., dated May 15, 2026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080" w:hanging="5464"/>
        <w:spacing w:after="0" w:line="454"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2</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9" w:lineRule="exact"/>
        <w:rPr>
          <w:sz w:val="20"/>
          <w:szCs w:val="20"/>
          <w:color w:val="auto"/>
        </w:rPr>
      </w:pPr>
    </w:p>
    <w:p>
      <w:pPr>
        <w:spacing w:after="0"/>
        <w:tabs>
          <w:tab w:leader="none" w:pos="5720" w:val="left"/>
          <w:tab w:leader="none" w:pos="60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Sensei Biotherapeutics Reports First Quarter 2026 Financial Results and Provides Corporate Update </w:t>
      </w:r>
      <w:r>
        <w:rPr>
          <w:rFonts w:ascii="Times New Roman" w:cs="Times New Roman" w:eastAsia="Times New Roman" w:hAnsi="Times New Roman"/>
          <w:sz w:val="18"/>
          <w:szCs w:val="18"/>
          <w:i w:val="1"/>
          <w:iCs w:val="1"/>
          <w:color w:val="auto"/>
        </w:rPr>
        <w:t>First patient dosed in Phase 1b/2 trial of PIKTOR in HR+/HER2- advanced breast cancer Topline Phase 2 data in patients with advanced endometrial cancer expected in second half 2026</w:t>
      </w:r>
    </w:p>
    <w:p>
      <w:pPr>
        <w:spacing w:after="0" w:line="6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BOSTON, Mass., </w:t>
      </w:r>
      <w:r>
        <w:rPr>
          <w:rFonts w:ascii="Times New Roman" w:cs="Times New Roman" w:eastAsia="Times New Roman" w:hAnsi="Times New Roman"/>
          <w:sz w:val="18"/>
          <w:szCs w:val="18"/>
          <w:color w:val="auto"/>
        </w:rPr>
        <w:t>May 15, 2026 – Sensei Biotherapeutics, Inc. (Nasdaq: SNSE) today reported financial results for the first quarter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provided a corporate update.</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first quarter of 2026 was transformational for the Company, with the acquisition of Faeth Therapeutics and the concurrent $200 million private placement in February, supported by a group of leading life sciences investors,” said Christopher Gerry, President &amp; General Counsel of Sensei Biotherapeutics. “This acquisition and injection of new capital will allow us to advance PIKTOR, a differentiated multi-node pathway inhibitor, through key clinical milestones.”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“New data across the industry continues to support the significant potential of multi-node inhibition of the PI3K/AKT/mTOR pathway,” said Anand Parikh, Chief Operating Officer of Sensei Biotherapeutics. “We believe PIKTOR is differentiated as an orally administered multi-node therapy specifically targeting PI3K-alpha, mTORC1 and mTORC2, with the potential to treat a variety of solid tumors. With our Phase 2 trial in advanced endometrial cancer expected to read out by the end of the year and the recent initiation of our Phase 1b/2 trial in advanced breast cancer, we are making great strides towards delivering the next generation of solid tumor therapies.”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 Highlights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Acquired through the Faeth transaction, PIKTOR is now Sensei’s lead program. The investigational, proprietary, all-oral combination of serabelisib and sapanisertib is designed to inhibit multiple nodes of the PI3K/AKT/mTOR pathway through PI3K-alpha and dual mTORC1/2 targeting.</w:t>
      </w:r>
    </w:p>
    <w:p>
      <w:pPr>
        <w:spacing w:after="0" w:line="67" w:lineRule="exact"/>
        <w:rPr>
          <w:sz w:val="20"/>
          <w:szCs w:val="20"/>
          <w:color w:val="auto"/>
        </w:rPr>
      </w:pPr>
    </w:p>
    <w:p>
      <w:pPr>
        <w:ind w:left="960" w:right="4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first patient was dosed in the Phase 1b/2 trial evaluating PIKTOR for the treatment of HR+/HER2- advanced breast cancer (Study FTH-PIK-101). Interim data from the trial is expected in 2027.</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trial evaluating PIKTOR in advanced endometrial cancer (Study FTH-PIK-201) is on track to report topline data in the second half of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$202.8 million as of March 31, 2026, as compared to $21.2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15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$18.0 million for the quarter ended March 31, 2026, compared with $3.7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quarter ended March 31, 2025. The increase in R&amp;D expenses was primarily attributable to the inclusion of Faeth R&amp;D operations as well as one-time costs associated with the Faeth acquisition, partially offset by a reduction in the SNS-101 clinical trial costs.</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 and Administrative (G&amp;A) Expenses: </w:t>
      </w:r>
      <w:r>
        <w:rPr>
          <w:rFonts w:ascii="Times New Roman" w:cs="Times New Roman" w:eastAsia="Times New Roman" w:hAnsi="Times New Roman"/>
          <w:sz w:val="18"/>
          <w:szCs w:val="18"/>
          <w:color w:val="auto"/>
        </w:rPr>
        <w:t>G&amp;A expenses were $19.7 million for the quarter ended March 31, 2026, compared to $3.5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ended March 31, 2025. The increase in G&amp;A expense was primarily attributable to one-time costs associated with the Faeth acquisition.</w:t>
      </w:r>
    </w:p>
    <w:p>
      <w:pPr>
        <w:spacing w:after="0" w:line="15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Acquired In-Process Research and Development (Acquired IPR&amp;D) Expenses: </w:t>
      </w:r>
      <w:r>
        <w:rPr>
          <w:rFonts w:ascii="Times New Roman" w:cs="Times New Roman" w:eastAsia="Times New Roman" w:hAnsi="Times New Roman"/>
          <w:sz w:val="18"/>
          <w:szCs w:val="18"/>
          <w:color w:val="auto"/>
        </w:rPr>
        <w:t>Acquired IPR&amp;D expenses were $133.0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2026. This represents the fair value of IPR&amp;D assets obtained in connection with asset acquisition where the acquired IPR&amp;D has no alternative future use as of the acquisition date.</w:t>
      </w:r>
    </w:p>
    <w:p>
      <w:pPr>
        <w:spacing w:after="0" w:line="17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$170.2 million, or $131.45 per basic and diluted share, for the quarter ended March 31, 2026, compared with a net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$6.9 million, or $5.45 per basic and diluted share, for the quarter ended March 31, 2025.</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Weighted-average common shares outstanding, basic and diluted, were 1,295,052 for the quarter ended March 31, 2026, compared with 1,259,531 for the quarter ended March 31,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27"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17,957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170,627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7,274</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(170,627)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(170,236)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1,295,052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1,259,531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Selected Condensed Balance Sheet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80" w:type="dxa"/>
            <w:vAlign w:val="bottom"/>
          </w:tcPr>
          <w:p>
            <w:pPr>
              <w:spacing w:after="0"/>
              <w:rPr>
                <w:sz w:val="15"/>
                <w:szCs w:val="15"/>
                <w:color w:val="auto"/>
              </w:rPr>
            </w:pPr>
          </w:p>
        </w:tc>
        <w:tc>
          <w:tcPr>
            <w:tcW w:w="3420" w:type="dxa"/>
            <w:vAlign w:val="bottom"/>
            <w:gridSpan w:val="2"/>
          </w:tcPr>
          <w:p>
            <w:pPr>
              <w:jc w:val="center"/>
              <w:ind w:left="26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$ 152,325</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9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50,468</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12,516</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205,381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22,902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9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14,191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39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328,476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9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(137,286)</w:t>
            </w:r>
          </w:p>
        </w:tc>
        <w:tc>
          <w:tcPr>
            <w:tcW w:w="1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18,592</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Sensei Biotherapeutics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Sensei Biotherapeutics, Inc. (Nasdaq: SNSE) is a clinical-stage biotechnology company focused on improving outcomes for cancer patients through multi-node inhibition of critical oncogenic pathways. Following the acquisition of Faeth Therapeutics, Sensei’s lead program is PIKTOR, an investigational multi-node inhibitor of the PI3K/AKT/mTOR pathway in development for endometrial and breast cancer. Sensei is also completing a Phase 1/2 trial of solnerstotug, its V-domain Ig suppressor of T cell activation (VISTA) inhibitor, in patients with advanced solid tumors. Sensei intends to use its website as a means of disclosing material non-public information and for complying with its disclosure obligations under Regulation FD. For more information, please visit </w:t>
      </w:r>
      <w:r>
        <w:rPr>
          <w:rFonts w:ascii="Times New Roman" w:cs="Times New Roman" w:eastAsia="Times New Roman" w:hAnsi="Times New Roman"/>
          <w:sz w:val="18"/>
          <w:szCs w:val="18"/>
          <w:u w:val="single" w:color="auto"/>
          <w:color w:val="auto"/>
        </w:rPr>
        <w:t>www.senseibio.com</w:t>
      </w:r>
      <w:r>
        <w:rPr>
          <w:rFonts w:ascii="Times New Roman" w:cs="Times New Roman" w:eastAsia="Times New Roman" w:hAnsi="Times New Roman"/>
          <w:sz w:val="18"/>
          <w:szCs w:val="18"/>
          <w:color w:val="auto"/>
        </w:rPr>
        <w:t xml:space="preserve"> and follow the company on X </w:t>
      </w:r>
      <w:r>
        <w:rPr>
          <w:rFonts w:ascii="Times New Roman" w:cs="Times New Roman" w:eastAsia="Times New Roman" w:hAnsi="Times New Roman"/>
          <w:sz w:val="18"/>
          <w:szCs w:val="18"/>
          <w:u w:val="single" w:color="auto"/>
          <w:color w:val="auto"/>
        </w:rPr>
        <w:t>@SenseiBio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forward-looking statements include, but are not limited to, express or implied statements relating to the company’s expectations, hopes, beliefs, intentions or strategies regarding the future including, without limitation, statements regarding: the expected benefits or opportunities following the acquisition of Faeth Therapeutics; expectations regarding or plans for the company’s pipeline, including the Phase 2 trial evaluating PIKTOR in advanced endometrial cancer and the expected timing for topline data, the Phase 1b/2 trial evaluating PIKTOR in HR+/HER2- advanced breast cancer and the expected timing for interim data, the completion of the remaining portion of the Phase 1/2 trial of solnerstotug and other research and development programs and the expected timing for key milestones; the potential benefits of PIKTOR, including its potential to treat a variety of solid tumors; expectations regarding the use of proceeds from the private placement and cash runway expectations therefrom, including such proceeds funding the company through key clinical milestones. In addition, any statements that refer to projections, forecasts or other characterizations of future events or circumstances, including any underlying assumptions, are forward-looking statements. The words “opportunity,” “potential,” “milestones,” “pipeline,” “can,” “goal,” “aim,” “strategy,” “target,” “seek,” “anticipate,” “achieve,” “believe,” “contemplate,” “continue,” “could,” “estimate,” “expect,” “intends,” “may,” “might,” “plan,” “possible,”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uncertainties and factors described under the heading “Risk Factors” and “Summary of Risk Factors” in the company’s Quarterly Report on Form 10-Q, filed with the Securities and Exchange Commission (the “SEC”) on May 14, 2026, as well as discussions of potential risks, uncertainties, and other important factors included in other filings by the company from time to time, as well as risk factors associated with companies, such as Faeth, that operate in the biotechnology industry. Should one or more of these risks or uncertainties materialize, or should any of the company’s assumptions prove incorrect, actual results may vary in material respects from those projected in these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The company does not undertake or accept any duty to release publicly any updates or revisions to any forward-looking statements. This press release does not purport to summarize all of the conditions, risks and other attributes of an investment in the company.</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Ascher, Precision AQ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Stephanie.ascher@precisionaq.com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 Consort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senseibio@consortpartners.com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2026-05-15T06:36:07Z</dcterms:created>
  <dcterms:modified xsi:type="dcterms:W3CDTF">2026-05-15T06:36:07Z</dcterms:modified>
</cp:coreProperties>
</file>