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329d8ka.htm"/>
      <w:bookmarkStart w:id="1" w:name="ksd40329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8-K/A</w:t>
      </w:r>
    </w:p>
    <w:p>
      <w:pPr>
        <w:pStyle w:val="TextBody"/>
        <w:bidi w:val="0"/>
        <w:spacing w:before="0" w:after="0"/>
        <w:jc w:val="center"/>
        <w:rPr>
          <w:rFonts w:ascii="Times New Roman" w:hAnsi="Times New Roman"/>
          <w:b/>
          <w:sz w:val="24"/>
        </w:rPr>
      </w:pPr>
      <w:r>
        <w:rPr>
          <w:rFonts w:ascii="Times New Roman" w:hAnsi="Times New Roman"/>
          <w:b/>
          <w:sz w:val="24"/>
        </w:rPr>
        <w:t>(AMENDMENT NO. 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February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Sensei Biotherapeutics,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001-39980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83-1863385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1405 Research Blvd, Suite 125</w:t>
      </w:r>
    </w:p>
    <w:p>
      <w:pPr>
        <w:pStyle w:val="TextBody"/>
        <w:bidi w:val="0"/>
        <w:spacing w:before="0" w:after="0"/>
        <w:jc w:val="center"/>
        <w:rPr>
          <w:rFonts w:ascii="Times New Roman" w:hAnsi="Times New Roman"/>
          <w:b/>
          <w:sz w:val="20"/>
        </w:rPr>
      </w:pPr>
      <w:r>
        <w:rPr>
          <w:rFonts w:ascii="Times New Roman" w:hAnsi="Times New Roman"/>
          <w:b/>
          <w:sz w:val="20"/>
        </w:rPr>
        <w:t>Rockville, MD 20850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(240) 243-8000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Trade</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SNSE</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This Amendment No. 1 on Form 8-K/A (this “Amendment No. 1”) amends the Current Report on Form 8-K filed by Sensei Biotherapeutics, Inc. (the “Company”) on February 18, 2026 (the “Original Report”) in which the Company reported, among other events, the completion of the acquisition of Faeth Holdings Therapeutics, Inc., a Delaware corporation (“Faeth HoldCo”) and Faeth Therapeutics, LLC, a Delaware limited liability company and wholly owned subsidiary of Faeth HoldCo (“Faeth Subsidiary”). This Amendment No. 1 is filed to (i) update the information in Item 9.01(a) of the Original Report to include the audited consolidated financial statements of Faeth Subsidiary (formerly Faeth Therapeutics, Inc., a Delaware corporation) as of and for the years ended December 31, 2025 and 2024; and (ii) update the information in Item 9.01(b) of the Original Report to include the unaudited pro forma condensed combined financial information of the Company as of and for the year ended December 31, 2025. This Amendment No. 1 does not amend any other item of the Original Report or purport to provide an update or a discussion of any developments at the Company subsequent to the filing date of the Original Report.</w:t>
      </w:r>
    </w:p>
    <w:p>
      <w:pPr>
        <w:pStyle w:val="TextBody"/>
        <w:bidi w:val="0"/>
        <w:spacing w:before="240" w:after="0"/>
        <w:jc w:val="left"/>
        <w:rPr>
          <w:rFonts w:ascii="Times New Roman" w:hAnsi="Times New Roman"/>
          <w:sz w:val="20"/>
        </w:rPr>
      </w:pPr>
      <w:r>
        <w:rPr>
          <w:rFonts w:ascii="Times New Roman" w:hAnsi="Times New Roman"/>
          <w:sz w:val="20"/>
        </w:rPr>
        <w:t>Capitalized terms used but not defined herein have the meanings given to them in the Original Report.</w:t>
      </w:r>
    </w:p>
    <w:p>
      <w:pPr>
        <w:pStyle w:val="TextBody"/>
        <w:bidi w:val="0"/>
        <w:spacing w:before="240" w:after="0"/>
        <w:jc w:val="left"/>
        <w:rPr>
          <w:rFonts w:ascii="Times New Roman" w:hAnsi="Times New Roman"/>
          <w:sz w:val="20"/>
        </w:rPr>
      </w:pPr>
      <w:r>
        <w:rPr>
          <w:rFonts w:ascii="Times New Roman" w:hAnsi="Times New Roman"/>
          <w:sz w:val="20"/>
        </w:rPr>
        <w:t>In accordance with Rule 12b-15 of the Securities Exchange Act of 1934, as amended, the complete text of Item 9.01 (as amended) is included herein.</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(a) Financial statements of business acquired </w:t>
      </w:r>
    </w:p>
    <w:p>
      <w:pPr>
        <w:pStyle w:val="TextBody"/>
        <w:bidi w:val="0"/>
        <w:spacing w:before="240" w:after="0"/>
        <w:jc w:val="left"/>
        <w:rPr>
          <w:rFonts w:ascii="Times New Roman" w:hAnsi="Times New Roman"/>
          <w:sz w:val="20"/>
        </w:rPr>
      </w:pPr>
      <w:r>
        <w:rPr>
          <w:rFonts w:ascii="Times New Roman" w:hAnsi="Times New Roman"/>
          <w:sz w:val="20"/>
        </w:rPr>
        <w:t xml:space="preserve">The audited financial statements of Faeth Subsidiary as of and for the years ended December 31, 2025 and 2024 and the related notes thereto have been audited by Deloitte &amp; Touche LLP, Faeth Subsidiary’s independent auditor, as set forth in its report thereon, are attached hereto as Exhibit 99.3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(b) Pro forma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of the Company as of and for the year ended December 31, 2025 is attached hereto as Exhibit 99.4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2.1*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 xml:space="preserve">Agreement and Plan of Merger, dated February 17, 2026, by and among Sensei Biotherapeutics, Inc., Sapphire First Merger Sub, Inc., Sapphire Second Merger Sub, LLC, Faeth Holdings Therapeutics, Inc. and Faeth Therapeutics, LLC (incorporated by reference to Exhibit 2.1 to the Company’s Current Report on Form 8-K (File No. 001-39980), filed with the SEC on February 18,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3">
              <w:r>
                <w:rPr>
                  <w:rStyle w:val="InternetLink"/>
                </w:rPr>
                <w:t>Certificate of Designation of Series B Non-Voting Convertible Preferred Stock (incorporated by reference to Exhibit 3.1 to the Company’s Current Report on Form 8-K (File No. 001-39980), filed with the SEC on February 18, 2026).</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4">
              <w:r>
                <w:rPr>
                  <w:rStyle w:val="InternetLink"/>
                </w:rPr>
                <w:t>Form of Securities Purchase Agreement, dated as of February 17, 2026, by and among Sensei Biotherapeutics, Inc. and each investor listed on Exhibit A thereto (incorporated by reference to Exhibit 10.1 to the Company’s Current Report on Form 8-K (File No. 001-39980), filed with the SEC on February 18, 2026).</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5">
              <w:r>
                <w:rPr>
                  <w:rStyle w:val="InternetLink"/>
                </w:rPr>
                <w:t>Form of Registration Rights Agreement, by and among Sensei Biotherapeutics, Inc. and certain investors signatory thereto (incorporated by reference to Exhibit 10.2 to the Company’s Current Report on Form 8-K (File No. 001-39980), filed with the SEC on February 18, 2026).</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6">
              <w:r>
                <w:rPr>
                  <w:rStyle w:val="InternetLink"/>
                </w:rPr>
                <w:t>Employment Letter between the Company and Anand Parikh, effective February 17, 2026 (incorporated by reference to Exhibit 10.3 to the Company’s Current Report on Form 8-K (File No. 001-39980), filed with the SEC on February 18, 2026).</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7">
              <w:r>
                <w:rPr>
                  <w:rStyle w:val="InternetLink"/>
                </w:rPr>
                <w:t>Form of Stock Option Grant Notice and Stock Option Agreement for Inducement Grants Outside of the Sensei Biotherapeutics, Inc. 2021 Equity Incentive Plan (incorporated by reference to Exhibit 10.4 to the Company’s Current Report on Form 8-K (File No. 001-39980), filed with the SEC on February 18, 2026).</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0329dex231.htm">
              <w:r>
                <w:rPr>
                  <w:rStyle w:val="InternetLink"/>
                </w:rPr>
                <w:t xml:space="preserve">Consent of Deloitte &amp; Touche, LLP, Independent Registered Public Accounting Firm.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8">
              <w:r>
                <w:rPr>
                  <w:rStyle w:val="InternetLink"/>
                </w:rPr>
                <w:t>Press Release issued on February 18, 2026 (incorporated by reference to Exhibit 99.1 to the Company’s Current Report on Form 8-K (File No. 001-39980), filed with the SEC on February 18, 2026).</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9">
              <w:r>
                <w:rPr>
                  <w:rStyle w:val="InternetLink"/>
                </w:rPr>
                <w:t>Investor Presentation, dated February 18, 2026 (incorporated by reference to Exhibit 99.2 to the Company’s Current Report on Form 8-K (File No. 001-39980), filed with the SEC on February 18, 2026).</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0329dex993.htm">
              <w:r>
                <w:rPr>
                  <w:rStyle w:val="InternetLink"/>
                </w:rPr>
                <w:t xml:space="preserve">Audited Financial Statements of Faeth Therapeutics, Inc. as of and for the year ended December 31, 2025 and 2024 and the related notes thereto.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40329dex994.htm">
              <w:r>
                <w:rPr>
                  <w:rStyle w:val="InternetLink"/>
                </w:rPr>
                <w:t xml:space="preserve">Unaudited Pro Forma Condensed Combined Financial Information of Sensei Biotherapeutics, Inc. as of and for the year ended December 31, 2025.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attachments have been omitted pursuant to Item 601(a)(5) of Regulation S-K. The Company agrees to provide, on a supplemental basis, a copy of any omitted schedules and attachments to the Securities and Exchange Commission or its staff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18" w:type="dxa"/>
        <w:jc w:val="left"/>
        <w:tblInd w:w="0" w:type="dxa"/>
        <w:tblLayout w:type="fixed"/>
        <w:tblCellMar>
          <w:top w:w="0" w:type="dxa"/>
          <w:left w:w="0" w:type="dxa"/>
          <w:bottom w:w="0" w:type="dxa"/>
          <w:right w:w="0" w:type="dxa"/>
        </w:tblCellMar>
      </w:tblPr>
      <w:tblGrid>
        <w:gridCol w:w="2000"/>
        <w:gridCol w:w="60"/>
        <w:gridCol w:w="23"/>
        <w:gridCol w:w="60"/>
        <w:gridCol w:w="365"/>
        <w:gridCol w:w="60"/>
        <w:gridCol w:w="3950"/>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April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75" w:type="dxa"/>
            <w:gridSpan w:val="3"/>
            <w:tcBorders/>
            <w:vAlign w:val="center"/>
          </w:tcPr>
          <w:p>
            <w:pPr>
              <w:pStyle w:val="TableContents"/>
              <w:bidi w:val="0"/>
              <w:spacing w:before="0" w:after="283"/>
              <w:jc w:val="left"/>
              <w:rPr>
                <w:b/>
              </w:rPr>
            </w:pPr>
            <w:r>
              <w:rPr>
                <w:b/>
              </w:rPr>
              <w:t>Sensei Biotherapeutics, Inc.</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010"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Christopher Gerry</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Christopher Gerry</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President and Principal Executive Officer</w:t>
            </w:r>
          </w:p>
        </w:tc>
      </w:tr>
    </w:tbl>
    <w:p>
      <w:pPr>
        <w:pStyle w:val="TextBody"/>
        <w:bidi w:val="0"/>
        <w:spacing w:before="0" w:after="0"/>
        <w:jc w:val="right"/>
        <w:rPr>
          <w:rFonts w:ascii="Times New Roman" w:hAnsi="Times New Roman"/>
          <w:b/>
          <w:sz w:val="20"/>
        </w:rPr>
      </w:pPr>
      <w:bookmarkStart w:id="2" w:name="d40329dex231.htm"/>
      <w:bookmarkStart w:id="3" w:name="ksd40329dex231"/>
      <w:bookmarkEnd w:id="2"/>
      <w:bookmarkEnd w:id="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Registration Statement No. 333-263567 on Form S-3 and Registration Statement Nos. 333-286207, 333-277532, 333-270946, 333-264827, and 333-252954 on Form S-8 of Sensei Biotherapeutics, Inc. of our report dated April 15, 2026, relating to the financial statements of Faeth Therapeutics, Inc. appearing in this Current Report on Form 8-K dated April 15, 2026.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Baltimore, Maryland </w:t>
      </w:r>
    </w:p>
    <w:p>
      <w:pPr>
        <w:pStyle w:val="TextBody"/>
        <w:bidi w:val="0"/>
        <w:spacing w:before="240" w:after="0"/>
        <w:jc w:val="left"/>
        <w:rPr>
          <w:rFonts w:ascii="Times New Roman" w:hAnsi="Times New Roman"/>
          <w:sz w:val="20"/>
        </w:rPr>
      </w:pPr>
      <w:r>
        <w:rPr>
          <w:rFonts w:ascii="Times New Roman" w:hAnsi="Times New Roman"/>
          <w:sz w:val="20"/>
        </w:rPr>
        <w:t xml:space="preserve">April 15, 2026 </w:t>
      </w:r>
    </w:p>
    <w:p>
      <w:pPr>
        <w:pStyle w:val="TextBody"/>
        <w:bidi w:val="0"/>
        <w:spacing w:before="0" w:after="0"/>
        <w:jc w:val="right"/>
        <w:rPr>
          <w:rFonts w:ascii="Times New Roman" w:hAnsi="Times New Roman"/>
          <w:b/>
          <w:sz w:val="20"/>
        </w:rPr>
      </w:pPr>
      <w:bookmarkStart w:id="4" w:name="d40329dex993.htm"/>
      <w:bookmarkStart w:id="5" w:name="ksd40329dex993"/>
      <w:bookmarkEnd w:id="4"/>
      <w:bookmarkEnd w:id="5"/>
      <w:r>
        <w:rPr>
          <w:rFonts w:ascii="Times New Roman" w:hAnsi="Times New Roman"/>
          <w:b/>
          <w:sz w:val="20"/>
        </w:rPr>
        <w:t xml:space="preserve">Exhibit 99.3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INDEX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Financial Statements for the 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7"/>
        <w:gridCol w:w="153"/>
        <w:gridCol w:w="60"/>
        <w:gridCol w:w="363"/>
        <w:gridCol w:w="62"/>
      </w:tblGrid>
      <w:tr>
        <w:trPr/>
        <w:tc>
          <w:tcPr>
            <w:tcW w:w="9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67" w:type="dxa"/>
            <w:tcBorders/>
          </w:tcPr>
          <w:p>
            <w:pPr>
              <w:pStyle w:val="TableContents"/>
              <w:bidi w:val="0"/>
              <w:spacing w:before="0" w:after="0"/>
              <w:jc w:val="left"/>
              <w:rPr>
                <w:rFonts w:ascii="Times New Roman" w:hAnsi="Times New Roman"/>
                <w:sz w:val="20"/>
              </w:rPr>
            </w:pPr>
            <w:r>
              <w:rPr>
                <w:rFonts w:ascii="Times New Roman" w:hAnsi="Times New Roman"/>
                <w:sz w:val="20"/>
              </w:rPr>
              <w:t>Independent Auditor’s Report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rFonts w:ascii="Times New Roman" w:hAnsi="Times New Roman"/>
                <w:sz w:val="20"/>
              </w:rPr>
            </w:pPr>
            <w:r>
              <w:rPr>
                <w:rFonts w:ascii="Times New Roman" w:hAnsi="Times New Roman"/>
                <w:sz w:val="20"/>
              </w:rPr>
              <w:t>Balance Sheets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Operations and Comprehensive Loss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Redeemable Convertible Preferred Stock and Stockholders’ Deficit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Cash Flows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rFonts w:ascii="Times New Roman" w:hAnsi="Times New Roman"/>
                <w:sz w:val="20"/>
              </w:rPr>
            </w:pPr>
            <w:r>
              <w:rPr>
                <w:rFonts w:ascii="Times New Roman" w:hAnsi="Times New Roman"/>
                <w:sz w:val="20"/>
              </w:rPr>
              <w:t>Notes to the Financial Statements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To the stockholders and the Board of Directors of Sensei Biotherapeutics,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financial statements of Faeth Therapeutics, Inc. (the “Company”), which comprise the balance sheets as of December 31, 2025 and 2024, and the related statements of operations and comprehensive loss, redeemable convertible preferred stock and stockholders’ deficit, and cash flows for the years then ended, and the related notes to the financial statements (collectively referred to as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Entity’s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on February 17, 2026, the Company entered into an Agreement and Plan of Merger with Sensei Biotherapeutics, Inc. (the “Acquirer”) and the Acquirer of the Company may be required to make significant cash payments to holders of Series B Non-Voting Convertible Preferred Stock that could substantially reduce the Company’s available cash resources which raises substantial doubt about its ability to continue as a going concern. Management’s plans in regard to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 </w:t>
      </w:r>
    </w:p>
    <w:p>
      <w:pPr>
        <w:pStyle w:val="TextBody"/>
        <w:bidi w:val="0"/>
        <w:spacing w:before="360" w:after="0"/>
        <w:jc w:val="left"/>
        <w:rPr>
          <w:rFonts w:ascii="Times New Roman" w:hAnsi="Times New Roman"/>
          <w:b/>
          <w:sz w:val="20"/>
        </w:rPr>
      </w:pPr>
      <w:r>
        <w:rPr>
          <w:rFonts w:ascii="Times New Roman" w:hAnsi="Times New Roman"/>
          <w:b/>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Baltimore, Maryland </w:t>
      </w:r>
    </w:p>
    <w:p>
      <w:pPr>
        <w:pStyle w:val="TextBody"/>
        <w:bidi w:val="0"/>
        <w:spacing w:before="240" w:after="0"/>
        <w:jc w:val="left"/>
        <w:rPr>
          <w:rFonts w:ascii="Times New Roman" w:hAnsi="Times New Roman"/>
          <w:sz w:val="20"/>
        </w:rPr>
      </w:pPr>
      <w:r>
        <w:rPr>
          <w:rFonts w:ascii="Times New Roman" w:hAnsi="Times New Roman"/>
          <w:sz w:val="20"/>
        </w:rPr>
        <w:t xml:space="preserve">April 15,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FAETH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SHEETS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8"/>
        <w:gridCol w:w="301"/>
        <w:gridCol w:w="211"/>
        <w:gridCol w:w="1148"/>
        <w:gridCol w:w="155"/>
        <w:gridCol w:w="255"/>
        <w:gridCol w:w="211"/>
        <w:gridCol w:w="1148"/>
        <w:gridCol w:w="158"/>
      </w:tblGrid>
      <w:tr>
        <w:trPr/>
        <w:tc>
          <w:tcPr>
            <w:tcW w:w="6618"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8"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4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1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14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20,392</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9,786</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789</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709</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21,181</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10,495</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43</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noncurrent assets</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110</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31</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21,274</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10,679</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1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14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4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744</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887</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2,444</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590</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3,188</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1,477</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liabilties</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13</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3,189</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1,490</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7)</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14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Series Seed-4 redeemable convertible preferred stock (as-converted from Series Seed-1 redeemable convertible preferred stock - See Note 8), $0.0001 par value, 1,454,616 and 2,909,231 shares authorized as of December 31, 2025 and 2024, respectively; 1,454,615 shares issued and outstanding as of December 31, 2025 and 2024; liquidation value of $1,500 and $0 as of December 31, 2025 and 2024</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1,403</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1,403</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Seed-5 redeemable convertible preferred stock (as-converted from Series Seed-2 redeemable convertible preferred stock - See Note 8), $0.0001 par value, 1,060,606 and 2,121,212 shares authorized as of December 31, 2025 and 2024, respectively; 1,060,606 shares issued and outstanding as of December 31, 2025 and 2024; liquidation value of $1,750 as of December 31, 2025</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1,743</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1,743</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Series Seed-6 redeemable convertible preferred stock (as-converted from Series Seed-3 redeemable convertible preferred stock - See Note 8), $0.0001 par value, 3,537,844 and 7,075,688 shares authorized as of December 31, 2025 and 2024, respectively; 3,516,742 shares issued and outstanding as of December 31, 2025 and 2024; liquidation value of $10,000 as of December 31, 2025</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10,000</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redeemable convertible preferred stock, $0.0001 par value, 31,236,725 and 0 shares authorized as of December 31, 2025 and 2024, respectively; 30,529,786 and 0 shares issued and outstanding as of December 31, 2025 and 2024, respectively; liquidation value of $24,434 as of December 31, 2025</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24,162</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Series A-2 redeemable convertible preferred stock (as-converted from Series A redeemable convertible preferred stock - See Note 8), $0.0001 par value, 5,917,577 and 11,835,154 shares authorized as of December 31, 2025 and 2024, respectively; 5,002,761 and 5,210,820 shares issued and outstanding as of December 31, 2025 and 2024, respectively; liquidation value of $53,590 as of December 31, 2025</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53,400</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55,628</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redeemable convertible preferred stock</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90,708</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68,774</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1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14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64,000,000 and 41,691,000 shares authorized as of December 31, 2025 and 2024, respectively; 5,199,567 and 5,119,838 shares issued and outstanding as of December 31, 2025 and 2024, respectively</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5,046</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2,059</w:t>
            </w:r>
          </w:p>
        </w:tc>
        <w:tc>
          <w:tcPr>
            <w:tcW w:w="158" w:type="dxa"/>
            <w:tcBorders/>
            <w:vAlign w:val="bottom"/>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(77,670</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(61,645</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(72,623</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(59,585</w:t>
            </w:r>
          </w:p>
        </w:tc>
        <w:tc>
          <w:tcPr>
            <w:tcW w:w="158" w:type="dxa"/>
            <w:tcBorders/>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30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21,274</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10,679</w:t>
            </w:r>
          </w:p>
        </w:tc>
        <w:tc>
          <w:tcPr>
            <w:tcW w:w="158" w:type="dxa"/>
            <w:tcBorders/>
            <w:shd w:fill="CCEEFF" w:val="clear"/>
            <w:vAlign w:val="bottom"/>
          </w:tcPr>
          <w:p>
            <w:pPr>
              <w:pStyle w:val="TableContents"/>
              <w:bidi w:val="0"/>
              <w:spacing w:before="0" w:after="283"/>
              <w:jc w:val="left"/>
              <w:rPr/>
            </w:pPr>
            <w:r>
              <w:rPr/>
              <w:t> </w:t>
            </w:r>
          </w:p>
        </w:tc>
      </w:tr>
      <w:tr>
        <w:trPr/>
        <w:tc>
          <w:tcPr>
            <w:tcW w:w="6618"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FAETH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OPERATIONS AND COMPREHENSIVE LOSS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1"/>
        <w:gridCol w:w="170"/>
        <w:gridCol w:w="185"/>
        <w:gridCol w:w="1006"/>
        <w:gridCol w:w="205"/>
        <w:gridCol w:w="134"/>
        <w:gridCol w:w="185"/>
        <w:gridCol w:w="1010"/>
        <w:gridCol w:w="159"/>
      </w:tblGrid>
      <w:tr>
        <w:trPr/>
        <w:tc>
          <w:tcPr>
            <w:tcW w:w="7151"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5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7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0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11,981</w:t>
            </w:r>
          </w:p>
        </w:tc>
        <w:tc>
          <w:tcPr>
            <w:tcW w:w="20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14,123</w:t>
            </w:r>
          </w:p>
        </w:tc>
        <w:tc>
          <w:tcPr>
            <w:tcW w:w="159" w:type="dxa"/>
            <w:tcBorders/>
            <w:vAlign w:val="bottom"/>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7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4,334</w:t>
            </w:r>
          </w:p>
        </w:tc>
        <w:tc>
          <w:tcPr>
            <w:tcW w:w="20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4,820</w:t>
            </w:r>
          </w:p>
        </w:tc>
        <w:tc>
          <w:tcPr>
            <w:tcW w:w="159" w:type="dxa"/>
            <w:tcBorders/>
            <w:shd w:fill="CCEEFF" w:val="clear"/>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16,315</w:t>
            </w:r>
          </w:p>
        </w:tc>
        <w:tc>
          <w:tcPr>
            <w:tcW w:w="20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18,943</w:t>
            </w:r>
          </w:p>
        </w:tc>
        <w:tc>
          <w:tcPr>
            <w:tcW w:w="159" w:type="dxa"/>
            <w:tcBorders/>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7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(16,315</w:t>
            </w:r>
          </w:p>
        </w:tc>
        <w:tc>
          <w:tcPr>
            <w:tcW w:w="20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(18,943</w:t>
            </w:r>
          </w:p>
        </w:tc>
        <w:tc>
          <w:tcPr>
            <w:tcW w:w="159" w:type="dxa"/>
            <w:tcBorders/>
            <w:shd w:fill="CCEEFF" w:val="clear"/>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362</w:t>
            </w:r>
          </w:p>
        </w:tc>
        <w:tc>
          <w:tcPr>
            <w:tcW w:w="20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635</w:t>
            </w:r>
          </w:p>
        </w:tc>
        <w:tc>
          <w:tcPr>
            <w:tcW w:w="159" w:type="dxa"/>
            <w:tcBorders/>
            <w:shd w:fill="CCEEFF" w:val="clear"/>
            <w:vAlign w:val="bottom"/>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(72</w:t>
            </w:r>
          </w:p>
        </w:tc>
        <w:tc>
          <w:tcPr>
            <w:tcW w:w="20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7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290</w:t>
            </w:r>
          </w:p>
        </w:tc>
        <w:tc>
          <w:tcPr>
            <w:tcW w:w="20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622</w:t>
            </w:r>
          </w:p>
        </w:tc>
        <w:tc>
          <w:tcPr>
            <w:tcW w:w="159" w:type="dxa"/>
            <w:tcBorders/>
            <w:shd w:fill="CCEEFF" w:val="clear"/>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1"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w:t>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(16,025</w:t>
            </w:r>
          </w:p>
        </w:tc>
        <w:tc>
          <w:tcPr>
            <w:tcW w:w="20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(18,321</w:t>
            </w:r>
          </w:p>
        </w:tc>
        <w:tc>
          <w:tcPr>
            <w:tcW w:w="159" w:type="dxa"/>
            <w:tcBorders/>
            <w:vAlign w:val="bottom"/>
          </w:tcPr>
          <w:p>
            <w:pPr>
              <w:pStyle w:val="TableContents"/>
              <w:bidi w:val="0"/>
              <w:spacing w:before="0" w:after="283"/>
              <w:jc w:val="left"/>
              <w:rPr/>
            </w:pPr>
            <w:r>
              <w:rPr/>
              <w:t>) </w:t>
            </w:r>
          </w:p>
        </w:tc>
      </w:tr>
      <w:tr>
        <w:trPr/>
        <w:tc>
          <w:tcPr>
            <w:tcW w:w="7151"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FAETH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REDEEMABLE CONVERTIBLE PREFERRED STOCK AND STOCKHOLDERS’ DEFICIT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amounts) </w:t>
      </w:r>
    </w:p>
    <w:p>
      <w:pPr>
        <w:pStyle w:val="TextBody"/>
        <w:bidi w:val="0"/>
        <w:spacing w:before="0" w:after="0"/>
        <w:jc w:val="left"/>
        <w:rPr/>
      </w:pPr>
      <w:r>
        <w:rPr/>
        <w:t> </w:t>
      </w:r>
    </w:p>
    <w:tbl>
      <w:tblPr>
        <w:tblW w:w="27840" w:type="dxa"/>
        <w:jc w:val="center"/>
        <w:tblInd w:w="0" w:type="dxa"/>
        <w:tblLayout w:type="fixed"/>
        <w:tblCellMar>
          <w:top w:w="0" w:type="dxa"/>
          <w:left w:w="0" w:type="dxa"/>
          <w:bottom w:w="0" w:type="dxa"/>
          <w:right w:w="0" w:type="dxa"/>
        </w:tblCellMar>
      </w:tblPr>
      <w:tblGrid>
        <w:gridCol w:w="755"/>
        <w:gridCol w:w="60"/>
        <w:gridCol w:w="60"/>
        <w:gridCol w:w="1055"/>
        <w:gridCol w:w="155"/>
        <w:gridCol w:w="60"/>
        <w:gridCol w:w="155"/>
        <w:gridCol w:w="705"/>
        <w:gridCol w:w="155"/>
        <w:gridCol w:w="60"/>
        <w:gridCol w:w="60"/>
        <w:gridCol w:w="1055"/>
        <w:gridCol w:w="155"/>
        <w:gridCol w:w="60"/>
        <w:gridCol w:w="155"/>
        <w:gridCol w:w="705"/>
        <w:gridCol w:w="155"/>
        <w:gridCol w:w="60"/>
        <w:gridCol w:w="60"/>
        <w:gridCol w:w="1055"/>
        <w:gridCol w:w="155"/>
        <w:gridCol w:w="60"/>
        <w:gridCol w:w="140"/>
        <w:gridCol w:w="755"/>
        <w:gridCol w:w="155"/>
        <w:gridCol w:w="60"/>
        <w:gridCol w:w="60"/>
        <w:gridCol w:w="1055"/>
        <w:gridCol w:w="155"/>
        <w:gridCol w:w="60"/>
        <w:gridCol w:w="140"/>
        <w:gridCol w:w="755"/>
        <w:gridCol w:w="155"/>
        <w:gridCol w:w="60"/>
        <w:gridCol w:w="60"/>
        <w:gridCol w:w="980"/>
        <w:gridCol w:w="60"/>
        <w:gridCol w:w="60"/>
        <w:gridCol w:w="172"/>
        <w:gridCol w:w="688"/>
        <w:gridCol w:w="60"/>
        <w:gridCol w:w="60"/>
        <w:gridCol w:w="60"/>
        <w:gridCol w:w="980"/>
        <w:gridCol w:w="60"/>
        <w:gridCol w:w="60"/>
        <w:gridCol w:w="172"/>
        <w:gridCol w:w="688"/>
        <w:gridCol w:w="60"/>
        <w:gridCol w:w="60"/>
        <w:gridCol w:w="60"/>
        <w:gridCol w:w="980"/>
        <w:gridCol w:w="60"/>
        <w:gridCol w:w="60"/>
        <w:gridCol w:w="146"/>
        <w:gridCol w:w="714"/>
        <w:gridCol w:w="60"/>
        <w:gridCol w:w="60"/>
        <w:gridCol w:w="60"/>
        <w:gridCol w:w="1100"/>
        <w:gridCol w:w="60"/>
        <w:gridCol w:w="60"/>
        <w:gridCol w:w="146"/>
        <w:gridCol w:w="714"/>
        <w:gridCol w:w="60"/>
        <w:gridCol w:w="60"/>
        <w:gridCol w:w="1040"/>
        <w:gridCol w:w="60"/>
        <w:gridCol w:w="60"/>
        <w:gridCol w:w="860"/>
        <w:gridCol w:w="60"/>
        <w:gridCol w:w="60"/>
        <w:gridCol w:w="1040"/>
        <w:gridCol w:w="60"/>
        <w:gridCol w:w="60"/>
        <w:gridCol w:w="860"/>
        <w:gridCol w:w="60"/>
        <w:gridCol w:w="60"/>
        <w:gridCol w:w="1100"/>
        <w:gridCol w:w="60"/>
        <w:gridCol w:w="60"/>
        <w:gridCol w:w="1370"/>
        <w:gridCol w:w="155"/>
        <w:gridCol w:w="60"/>
        <w:gridCol w:w="1415"/>
        <w:gridCol w:w="1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90" w:type="dxa"/>
            <w:gridSpan w:val="70"/>
            <w:tcBorders>
              <w:bottom w:val="single" w:sz="8" w:space="0" w:color="000000"/>
            </w:tcBorders>
            <w:tcMar>
              <w:bottom w:w="28" w:type="dxa"/>
            </w:tcMar>
            <w:vAlign w:val="bottom"/>
          </w:tcPr>
          <w:p>
            <w:pPr>
              <w:pStyle w:val="TableContents"/>
              <w:bidi w:val="0"/>
              <w:spacing w:before="0" w:after="283"/>
              <w:jc w:val="center"/>
              <w:rPr>
                <w:b/>
              </w:rPr>
            </w:pPr>
            <w:r>
              <w:rPr>
                <w:b/>
              </w:rPr>
              <w:t>Redeemable Convertible 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tc>
      </w:tr>
      <w:tr>
        <w:trPr/>
        <w:tc>
          <w:tcPr>
            <w:tcW w:w="755" w:type="dxa"/>
            <w:tcBorders/>
            <w:shd w:fill="CCEEFF" w:val="clear"/>
          </w:tcPr>
          <w:p>
            <w:pPr>
              <w:pStyle w:val="TableContents"/>
              <w:bidi w:val="0"/>
              <w:spacing w:before="0" w:after="0"/>
              <w:jc w:val="left"/>
              <w:rPr>
                <w:rFonts w:ascii="Times New Roman" w:hAnsi="Times New Roman"/>
                <w:b/>
                <w:sz w:val="12"/>
              </w:rPr>
            </w:pPr>
            <w:r>
              <w:rPr>
                <w:rFonts w:ascii="Times New Roman" w:hAnsi="Times New Roman"/>
                <w:b/>
                <w:sz w:val="12"/>
              </w:rPr>
              <w:t>Balance at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1,454,615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1,403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1,060,606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1,743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3,516,742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5,210,820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55,628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5,076,424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1,615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(43,324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(41,708</w:t>
            </w:r>
          </w:p>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12"/>
              </w:rPr>
            </w:pPr>
            <w:r>
              <w:rPr>
                <w:rFonts w:ascii="Times New Roman" w:hAnsi="Times New Roman"/>
                <w:sz w:val="12"/>
              </w:rPr>
              <w:t>Exercise of common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43,414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45</w:t>
            </w:r>
          </w:p>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12"/>
              </w:rPr>
            </w:pPr>
            <w:r>
              <w:rPr>
                <w:rFonts w:ascii="Times New Roman" w:hAnsi="Times New Roman"/>
                <w:sz w:val="12"/>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399</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399</w:t>
            </w:r>
          </w:p>
          <w:p>
            <w:pPr>
              <w:pStyle w:val="TableContents"/>
              <w:bidi w:val="0"/>
              <w:spacing w:before="0" w:after="283"/>
              <w:jc w:val="left"/>
              <w:rPr/>
            </w:pPr>
            <w:r>
              <w:rPr/>
              <w:t> </w:t>
            </w:r>
          </w:p>
        </w:tc>
      </w:tr>
      <w:tr>
        <w:trPr/>
        <w:tc>
          <w:tcPr>
            <w:tcW w:w="755" w:type="dxa"/>
            <w:tcBorders/>
          </w:tcPr>
          <w:p>
            <w:pPr>
              <w:pStyle w:val="TableContents"/>
              <w:bidi w:val="0"/>
              <w:spacing w:before="0" w:after="283"/>
              <w:jc w:val="left"/>
              <w:rPr/>
            </w:pPr>
            <w:r>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(18,321</w:t>
            </w:r>
          </w:p>
          <w:p>
            <w:pPr>
              <w:pStyle w:val="TableContents"/>
              <w:bidi w:val="0"/>
              <w:spacing w:before="0" w:after="283"/>
              <w:jc w:val="lef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(18,321</w:t>
            </w:r>
          </w:p>
          <w:p>
            <w:pPr>
              <w:pStyle w:val="TableContents"/>
              <w:bidi w:val="0"/>
              <w:spacing w:before="0" w:after="283"/>
              <w:jc w:val="left"/>
              <w:rPr/>
            </w:pPr>
            <w:r>
              <w:rPr/>
              <w:t>)</w:t>
            </w:r>
          </w:p>
        </w:tc>
      </w:tr>
      <w:tr>
        <w:trPr/>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b/>
                <w:sz w:val="12"/>
              </w:rPr>
            </w:pPr>
            <w:r>
              <w:rPr>
                <w:rFonts w:ascii="Times New Roman" w:hAnsi="Times New Roman"/>
                <w:b/>
                <w:sz w:val="12"/>
              </w:rPr>
              <w:t>Balance at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1,454,615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1,403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1,060,606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1,743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3,516,742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5,210,820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55,628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5,119,838</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2,059</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(61,645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(59,585</w:t>
            </w:r>
          </w:p>
          <w:p>
            <w:pPr>
              <w:pStyle w:val="TableContents"/>
              <w:bidi w:val="0"/>
              <w:spacing w:before="0" w:after="283"/>
              <w:jc w:val="left"/>
              <w:rPr/>
            </w:pPr>
            <w:r>
              <w:rPr/>
              <w:t>) </w:t>
            </w:r>
          </w:p>
        </w:tc>
      </w:tr>
      <w:tr>
        <w:trPr/>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12"/>
              </w:rPr>
            </w:pPr>
            <w:r>
              <w:rPr>
                <w:rFonts w:ascii="Times New Roman" w:hAnsi="Times New Roman"/>
                <w:sz w:val="12"/>
              </w:rPr>
              <w:t>Issuance of Series A-1 redeemable convertible preferred stock, net of issuance costs of $272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30,529,786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p>
            <w:pPr>
              <w:pStyle w:val="TableContents"/>
              <w:bidi w:val="0"/>
              <w:spacing w:before="0" w:after="283"/>
              <w:jc w:val="right"/>
              <w:rPr/>
            </w:pPr>
            <w:r>
              <w:rPr/>
              <w:t>24,162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12"/>
              </w:rPr>
            </w:pPr>
            <w:r>
              <w:rPr>
                <w:rFonts w:ascii="Times New Roman" w:hAnsi="Times New Roman"/>
                <w:sz w:val="12"/>
              </w:rPr>
              <w:t>Conversion of redeemable convertible preferred stock to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(208,059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20,803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2,228</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2,228</w:t>
            </w:r>
          </w:p>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12"/>
              </w:rPr>
            </w:pPr>
            <w:r>
              <w:rPr>
                <w:rFonts w:ascii="Times New Roman" w:hAnsi="Times New Roman"/>
                <w:sz w:val="12"/>
              </w:rPr>
              <w:t>Exchange of common stock for redeemable convertible 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(1,454,615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(1,403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(1,060,606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(1,743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(3,516,742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(5,002,761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(53,400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1,454,615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1,403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1,060,606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3,516,742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5,002,761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53,400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12"/>
              </w:rPr>
            </w:pPr>
            <w:r>
              <w:rPr>
                <w:rFonts w:ascii="Times New Roman" w:hAnsi="Times New Roman"/>
                <w:sz w:val="12"/>
              </w:rPr>
              <w:t>Exercise of common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58,926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23</w:t>
            </w:r>
          </w:p>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12"/>
              </w:rPr>
            </w:pPr>
            <w:r>
              <w:rPr>
                <w:rFonts w:ascii="Times New Roman" w:hAnsi="Times New Roman"/>
                <w:sz w:val="12"/>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736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736</w:t>
            </w:r>
          </w:p>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12"/>
              </w:rPr>
            </w:pPr>
            <w:r>
              <w:rPr>
                <w:rFonts w:ascii="Times New Roman" w:hAnsi="Times New Roman"/>
                <w:sz w:val="12"/>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(16,025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(16,025</w:t>
            </w:r>
          </w:p>
          <w:p>
            <w:pPr>
              <w:pStyle w:val="TableContents"/>
              <w:bidi w:val="0"/>
              <w:spacing w:before="0" w:after="283"/>
              <w:jc w:val="left"/>
              <w:rPr/>
            </w:pPr>
            <w:r>
              <w:rPr/>
              <w:t>) </w:t>
            </w:r>
          </w:p>
        </w:tc>
      </w:tr>
      <w:tr>
        <w:trPr/>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single" w:sz="2" w:space="1" w:color="000000"/>
              </w:pBdr>
              <w:bidi w:val="0"/>
              <w:spacing w:before="0" w:after="0"/>
              <w:jc w:val="left"/>
              <w:rPr/>
            </w:pPr>
            <w:r>
              <w:rPr/>
              <w:t> </w:t>
            </w:r>
          </w:p>
          <w:p>
            <w:pPr>
              <w:pStyle w:val="TableContents"/>
              <w:pBdr>
                <w:top w:val="single" w:sz="2" w:space="1" w:color="000000"/>
              </w:pBdr>
              <w:bidi w:val="0"/>
              <w:spacing w:before="0" w:after="0"/>
              <w:jc w:val="left"/>
              <w:rPr/>
            </w:pPr>
            <w:r>
              <w:rPr/>
              <w:t> </w:t>
            </w:r>
          </w:p>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b/>
                <w:sz w:val="12"/>
              </w:rPr>
            </w:pPr>
            <w:r>
              <w:rPr>
                <w:rFonts w:ascii="Times New Roman" w:hAnsi="Times New Roman"/>
                <w:b/>
                <w:sz w:val="12"/>
              </w:rPr>
              <w:t>Balance at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1,454,615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1,403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1,060,606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3,516,742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30,529,786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p>
            <w:pPr>
              <w:pStyle w:val="TableContents"/>
              <w:bidi w:val="0"/>
              <w:spacing w:before="0" w:after="283"/>
              <w:jc w:val="right"/>
              <w:rPr/>
            </w:pPr>
            <w:r>
              <w:rPr/>
              <w:t>24,162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5,002,761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53,400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5,199,567</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5,046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(77,670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w:t>
            </w:r>
          </w:p>
          <w:p>
            <w:pPr>
              <w:pStyle w:val="TableContents"/>
              <w:bidi w:val="0"/>
              <w:spacing w:before="0" w:after="283"/>
              <w:jc w:val="right"/>
              <w:rPr/>
            </w:pPr>
            <w:r>
              <w:rPr/>
              <w:t>(72,623</w:t>
            </w:r>
          </w:p>
          <w:p>
            <w:pPr>
              <w:pStyle w:val="TableContents"/>
              <w:bidi w:val="0"/>
              <w:spacing w:before="0" w:after="283"/>
              <w:jc w:val="left"/>
              <w:rPr/>
            </w:pPr>
            <w:r>
              <w:rPr/>
              <w:t>) </w:t>
            </w:r>
          </w:p>
        </w:tc>
      </w:tr>
      <w:tr>
        <w:trPr/>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pBdr>
                <w:top w:val="double" w:sz="6" w:space="1" w:color="000000"/>
              </w:pBdr>
              <w:bidi w:val="0"/>
              <w:spacing w:before="0" w:after="0"/>
              <w:jc w:val="left"/>
              <w:rPr/>
            </w:pPr>
            <w:r>
              <w:rPr/>
              <w:t> </w:t>
            </w:r>
          </w:p>
          <w:p>
            <w:pPr>
              <w:pStyle w:val="TableContents"/>
              <w:pBdr>
                <w:top w:val="double" w:sz="6" w:space="1" w:color="000000"/>
              </w:pBdr>
              <w:bidi w:val="0"/>
              <w:spacing w:before="0" w:after="0"/>
              <w:jc w:val="left"/>
              <w:rPr/>
            </w:pPr>
            <w:r>
              <w:rPr/>
              <w:t> </w:t>
            </w:r>
          </w:p>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FAETH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5"/>
        <w:gridCol w:w="159"/>
        <w:gridCol w:w="185"/>
        <w:gridCol w:w="1013"/>
        <w:gridCol w:w="205"/>
        <w:gridCol w:w="129"/>
        <w:gridCol w:w="185"/>
        <w:gridCol w:w="1016"/>
        <w:gridCol w:w="158"/>
      </w:tblGrid>
      <w:tr>
        <w:trPr/>
        <w:tc>
          <w:tcPr>
            <w:tcW w:w="715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7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(16,025</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(18,321</w:t>
            </w:r>
          </w:p>
        </w:tc>
        <w:tc>
          <w:tcPr>
            <w:tcW w:w="158"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736</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399</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property, plant, and equipment</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9</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(80</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1,333</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noncurrent assets</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75</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(110</w:t>
            </w:r>
          </w:p>
        </w:tc>
        <w:tc>
          <w:tcPr>
            <w:tcW w:w="158"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(143</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(473</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1,854</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(23</w:t>
            </w:r>
          </w:p>
        </w:tc>
        <w:tc>
          <w:tcPr>
            <w:tcW w:w="158"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(13,582</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(17,188</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Disposals of property and equipment</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20</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20</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A-1, net of issuance costs</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24,162</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23</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45</w:t>
            </w:r>
          </w:p>
        </w:tc>
        <w:tc>
          <w:tcPr>
            <w:tcW w:w="158"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24,185</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45</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10,623</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(17,145</w:t>
            </w:r>
          </w:p>
        </w:tc>
        <w:tc>
          <w:tcPr>
            <w:tcW w:w="158"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9,817</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26,962</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20,440</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9,817</w:t>
            </w:r>
          </w:p>
        </w:tc>
        <w:tc>
          <w:tcPr>
            <w:tcW w:w="158"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cash, cash equivalents, and restricted cash:</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20,392</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9,786</w:t>
            </w:r>
          </w:p>
        </w:tc>
        <w:tc>
          <w:tcPr>
            <w:tcW w:w="158"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48</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31</w:t>
            </w:r>
          </w:p>
        </w:tc>
        <w:tc>
          <w:tcPr>
            <w:tcW w:w="158" w:type="dxa"/>
            <w:tcBorders/>
            <w:shd w:fill="CCEEFF" w:val="clear"/>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20,440</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9,817</w:t>
            </w:r>
          </w:p>
        </w:tc>
        <w:tc>
          <w:tcPr>
            <w:tcW w:w="158"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15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 to common stock</w:t>
            </w:r>
          </w:p>
        </w:tc>
        <w:tc>
          <w:tcPr>
            <w:tcW w:w="1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2,228</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FAETH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the Business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Faeth Therapeutics, Inc. (the “Company” or “Faeth”) was incorporated in Delaware in April 2019. The Company is a clinical-stage biotechnology company focused on developing multi-node therapies that target tumor metabolism and signaling. The Company’s lead program, PIKTOR, is an investigational multi-node inhibitor, or MNI, of the PI3K/AKT/mTOR pathway in development for endometrial and breast cancer. The Company is headquartered in San Francisco, California and operates as one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2025, the Company effected a 2-for-1 reverse stock split of the Company’s issued and outstanding shares of common stock and redeemable convertible preferred stock. The Company updated the conversion price for outstanding redeemable convertible preferred stock to reflect the 2-for-1 reverse stock split. The par value and authorized number of shares of common stock and redeemable convertible preferred stock were not adjusted as a result. All share and per share amounts for all periods presented in the financial statements and notes thereto have been retroactively adjusted to reflect the effect of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and uncertainties common to early-stage companies in the biotechnology industry, including, but not limited to, the outcome of clinical trials, development by competitors of new technological innovations, dependence on key personnel, protection of proprietary technologies, compliance with government regulations, ability to secure additional capital to fund operations, and potential delays associated with the Company’s anticipated and planned trials.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Company will be able to successfully complete the development of, or receive regulatory approval for, any products developed, and if approved, that any products will be commercially viable. Any products resulting from the Company’s current research and development efforts will require significant additional research and development, including extensive preclinical and clinical testing and regulatory approval prior to commercialization. These efforts will require significant amounts of additional capital, adequate personnel, infrastructure, and extensive compliance reporting capabilities. The Company has not generated any revenue from the sale of any products to date. Even if the Company’s product development efforts are successful, it is uncertain when, if ever, the Company will realize significant revenue from product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To date, the Company has funded its operations primarily with proceeds from the issuance and sale of redeemable convertible preferred stock and convertible promissory notes. As of December 31, 2025, the Company has raised an aggregate of $91.4 million in net proceeds through the sale of redeemable convertible preferred stock and convertible promissory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incurred annual net operating losses in every year since inception, including net losses of $16.0 million and $18.3 million in the years ended December 31, 2025 and 2024, respectively. As of December 31, 2025, the Company had an accumulated deficit of $77.7 million. The Company expects its operating losses to continue into the foreseeable future as it continues to pursue its research and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2026, Faeth Subsidiary (see Note 14) and Faeth HoldCo (see Note 14) entered into an Agreement and Plan of Merger (the “Merger Agreement”) with Sensei Biotherapeutics, Inc. (“Sensei Bio” or the “Acquirer”), a clinical-stage biotechnology company focused on the discovery and development of next-generation therapeutics for cancer patients (the “Acquisition”). Concurrently with the Acquisition on February 17, 2026, the newly combined company entered into a Securities Purchase Agreement (the “Purchase Agreement”), pursuant to which certain investors agreed to purchase 14,440.395 shares of the Acquirer’s Series B Non-Voting Convertible Preferred Stock (“Series B Preferred Stock”) for aggregate gross proceeds of $200.0 million (the “PIPE Financing”). The PIPE Financing closed on February 20, 2026. </w:t>
      </w:r>
    </w:p>
    <w:p>
      <w:pPr>
        <w:pStyle w:val="TextBody"/>
        <w:bidi w:val="0"/>
        <w:spacing w:before="240" w:after="0"/>
        <w:jc w:val="left"/>
        <w:rPr>
          <w:rFonts w:ascii="Times New Roman" w:hAnsi="Times New Roman"/>
          <w:sz w:val="20"/>
        </w:rPr>
      </w:pPr>
      <w:r>
        <w:rPr>
          <w:rFonts w:ascii="Times New Roman" w:hAnsi="Times New Roman"/>
          <w:sz w:val="20"/>
        </w:rPr>
        <w:t xml:space="preserve">The Series B Preferred Stock is subject to automatic conversion into Common Stock upon the third business day following the Acquirer’s receipt of stockholder approval of the Parent Stockholder Matters (as defined in the Merger Agreement) in accordance with Nasdaq listing rules. The Certificate of Designation of Preferences, Rights and Limitations of the Series B Non-Voting Convertible Preferred Stock (the “Certificate of Designation”) provides that, at any time following the earlier of (i) stockholder approval of the Parent Stockholder Matters or (ii) six months after the initial issuance of the Series B Preferred Stock, if the newly combined company fails to timely deliver shares of Common Stock to a converting holder in accordance with the terms of the Certificate of Designation, such holder may require the Acquirer to pay cash in an amount equal to the fair value of the undelivered shares. </w:t>
      </w:r>
    </w:p>
    <w:p>
      <w:pPr>
        <w:pStyle w:val="TextBody"/>
        <w:bidi w:val="0"/>
        <w:spacing w:before="240" w:after="0"/>
        <w:jc w:val="left"/>
        <w:rPr>
          <w:rFonts w:ascii="Times New Roman" w:hAnsi="Times New Roman"/>
          <w:sz w:val="20"/>
        </w:rPr>
      </w:pPr>
      <w:r>
        <w:rPr>
          <w:rFonts w:ascii="Times New Roman" w:hAnsi="Times New Roman"/>
          <w:sz w:val="20"/>
        </w:rPr>
        <w:t xml:space="preserve">The Acquirer’s ability to satisfy these potential cash settlement obligations is not entirely within its control, as it is contingent on, among other things, the Acquirer’s ability to obtain stockholder approval of the Parent Stockholder Matters and to deliver shares of Common Stock upon conversion within the timeframes required by the Certificate of Designation. If the Acquirer is unable to obtain stockholder approval of the Parent Stockholder Matters in a timely manner, or is otherwise unable to timely deliver shares of Common Stock upon conversion, holders who submit conversion notices after the applicable trigger date could require the Acquirer to make significant cash payments that could substantially reduce the Company’s available cash resources. </w:t>
      </w:r>
    </w:p>
    <w:p>
      <w:pPr>
        <w:pStyle w:val="TextBody"/>
        <w:bidi w:val="0"/>
        <w:spacing w:before="240" w:after="0"/>
        <w:jc w:val="left"/>
        <w:rPr>
          <w:rFonts w:ascii="Times New Roman" w:hAnsi="Times New Roman"/>
          <w:sz w:val="20"/>
        </w:rPr>
      </w:pPr>
      <w:r>
        <w:rPr>
          <w:rFonts w:ascii="Times New Roman" w:hAnsi="Times New Roman"/>
          <w:sz w:val="20"/>
        </w:rPr>
        <w:t xml:space="preserve">After evaluating the conditions described above in the aggregate, the Company has concluded that there is substantial doubt about its ability to continue as a going concern. The accompanying financial statements have been prepared on the basis that the Company will continue to operate as a going concern, which contemplates it will be able to realize assets and settle liabilities and commitments in the normal course of business for the foreseeable future. Accordingly, the accompanying financial statements do not include any adjustments that may result from the outcome of these uncertainties.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in conformity with accounting principles generally accepted in the United States of America (“GAAP”) as found in the Accounting Standards Codification (“ASC”) of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judgments, assumptions, and estimates that affect the reported amounts of assets, liabilities and expenses and the related disclosure of contingent assets and liabilities as of the date of the financial statements and the reported amounts of expenses during the reporting periods. Significant estimates and assumptions reflected within the financial statements include, but are not limited to, accrued research and development expenses, share-based compensation and valuations of the Company’s common stock and warrants. The Company bases its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On an ongoing basis, management evaluates its estimates, as there are changes in circumstances and facts. Changes in estimates are recorded in the period in which they become known. Actual results may differ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Cash Equivalents and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original maturities of ninety days or less at the time of purchase to be cash equivalents. Cash and cash equivalents typically include cash held in deposit accounts and money market funds. </w:t>
      </w:r>
    </w:p>
    <w:p>
      <w:pPr>
        <w:pStyle w:val="TextBody"/>
        <w:bidi w:val="0"/>
        <w:spacing w:before="240" w:after="0"/>
        <w:jc w:val="left"/>
        <w:rPr>
          <w:rFonts w:ascii="Times New Roman" w:hAnsi="Times New Roman"/>
          <w:sz w:val="20"/>
        </w:rPr>
      </w:pPr>
      <w:r>
        <w:rPr>
          <w:rFonts w:ascii="Times New Roman" w:hAnsi="Times New Roman"/>
          <w:sz w:val="20"/>
        </w:rPr>
        <w:t xml:space="preserve">Cash accounts with any type of restriction are classified as restricted cash. For the years ended December 31, 2025 and 2024, the Company held restricted cash to secure services provided by outsourced contractors. The Company classified this amount as restricted cash in the accompanying balance sheets within non-current assets based on the release date of the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and Off-Balance Sheet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significant concentration of credit risk consist primarily of cash and cash equivalents. Periodically,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12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 xml:space="preserve">1— </w:t>
      </w:r>
      <w:r>
        <w:rPr>
          <w:rFonts w:ascii="Times New Roman" w:hAnsi="Times New Roman"/>
          <w:sz w:val="20"/>
        </w:rPr>
        <w:t xml:space="preserve">Quoted market prices in active markets for identical assets or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2</w:t>
      </w:r>
      <w:r>
        <w:rPr>
          <w:rFonts w:ascii="Times New Roman" w:hAnsi="Times New Roman"/>
          <w:sz w:val="20"/>
        </w:rPr>
        <w:t xml:space="preserve">— Inputs other than Level 1 inputs that are either directly or indirectly observable, such as quoted market prices, interest rates and yield curves. </w:t>
      </w:r>
    </w:p>
    <w:p>
      <w:pPr>
        <w:pStyle w:val="TextBody"/>
        <w:bidi w:val="0"/>
        <w:spacing w:before="12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3</w:t>
      </w:r>
      <w:r>
        <w:rPr>
          <w:rFonts w:ascii="Times New Roman" w:hAnsi="Times New Roman"/>
          <w:sz w:val="20"/>
        </w:rPr>
        <w:t xml:space="preserve">— Unobservable inputs for the asset or liability (i.e., supported by little or no market activity). Level 3 inputs include management’s own assumptions about the assumptions that market participants would use in pricing the asset or liability (including assumptions about risk).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valuation is based on models or inputs that are less observable or unobservable in the market, the determination of the fair value requires more judgement. Accordingly, the degree of judgement exercised by the Company in determining fair value is greatest for instruments categorized in Level 3. A financial instrument’s level within the fair value hierarchy is based on the lowest level of input that is significant to the fair value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cash, cash equivalents, preferred stock warrant liability and preferred stock tranche liability are carried at fair value, determined according to the fair value hierarchy described above. For additional information on the Company’s fair value hierarchy, see Note 3, Fair Value Measurements. The carrying amounts of the Company’s prepaid expenses and other current assets, other non-current assets, accounts payable, and accrued expenses approximate their fair values due to their short-term nature.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is stated at cost, less accumulated depreciation. Depreciation expense is recorded using the straight-line method over the estimated useful life of each asset (5-10 years). Maintenance and repairs to an asset that do not improve or extend its life are expensed in the period incurred. Upon retirement or sale, the costs of the assets disposed of and the related accumulated depreciation or amortization is eliminated from the balance sheets and any related gains or losses are reflected in the statements of operations and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Property and equipment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26"/>
        <w:gridCol w:w="161"/>
        <w:gridCol w:w="140"/>
        <w:gridCol w:w="506"/>
        <w:gridCol w:w="155"/>
        <w:gridCol w:w="161"/>
        <w:gridCol w:w="140"/>
        <w:gridCol w:w="506"/>
        <w:gridCol w:w="160"/>
      </w:tblGrid>
      <w:tr>
        <w:trPr/>
        <w:tc>
          <w:tcPr>
            <w:tcW w:w="5826"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26"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6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6"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6" w:type="dxa"/>
            <w:tcBorders/>
            <w:shd w:fill="CCEEFF" w:val="clear"/>
            <w:vAlign w:val="bottom"/>
          </w:tcPr>
          <w:p>
            <w:pPr>
              <w:pStyle w:val="TableContents"/>
              <w:bidi w:val="0"/>
              <w:spacing w:before="0" w:after="283"/>
              <w:jc w:val="right"/>
              <w:rPr/>
            </w:pPr>
            <w:r>
              <w:rPr/>
              <w:t>9</w:t>
            </w:r>
          </w:p>
        </w:tc>
        <w:tc>
          <w:tcPr>
            <w:tcW w:w="160" w:type="dxa"/>
            <w:tcBorders/>
            <w:shd w:fill="CCEEFF" w:val="clear"/>
            <w:vAlign w:val="bottom"/>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55</w:t>
            </w:r>
          </w:p>
        </w:tc>
        <w:tc>
          <w:tcPr>
            <w:tcW w:w="160"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64</w:t>
            </w:r>
          </w:p>
        </w:tc>
        <w:tc>
          <w:tcPr>
            <w:tcW w:w="160"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(21</w:t>
            </w:r>
          </w:p>
        </w:tc>
        <w:tc>
          <w:tcPr>
            <w:tcW w:w="160"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6" w:type="dxa"/>
            <w:tcBorders/>
            <w:shd w:fill="CCEEFF" w:val="clear"/>
            <w:vAlign w:val="bottom"/>
          </w:tcPr>
          <w:p>
            <w:pPr>
              <w:pStyle w:val="TableContents"/>
              <w:bidi w:val="0"/>
              <w:spacing w:before="0" w:after="283"/>
              <w:jc w:val="right"/>
              <w:rPr/>
            </w:pPr>
            <w:r>
              <w:rPr/>
              <w:t>  </w:t>
            </w:r>
            <w:r>
              <w:rPr/>
              <w:t>10</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06" w:type="dxa"/>
            <w:tcBorders/>
            <w:shd w:fill="CCEEFF" w:val="clear"/>
            <w:vAlign w:val="bottom"/>
          </w:tcPr>
          <w:p>
            <w:pPr>
              <w:pStyle w:val="TableContents"/>
              <w:bidi w:val="0"/>
              <w:spacing w:before="0" w:after="283"/>
              <w:jc w:val="right"/>
              <w:rPr/>
            </w:pPr>
            <w:r>
              <w:rPr/>
              <w:t>  </w:t>
            </w:r>
            <w:r>
              <w:rPr/>
              <w:t>43</w:t>
            </w:r>
          </w:p>
        </w:tc>
        <w:tc>
          <w:tcPr>
            <w:tcW w:w="160"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0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was immaterial for each of the years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such as property and equipment, are reviewed for impairment whenever events or changes in circumstances indicate that the carrying amount of the asset may not be recoverable. When such events occur, the Company compares the carrying amounts of the assets to their undiscounted expected future cash flows. If the undiscounted cash flows are insufficient to recover the carrying value, the assets are recorded at the lesser of the carrying value or fair value. To date, the Company has not recorded any impairment losses on long-lived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leases in accordance with ASC Topic 842, Leases (“ASC 842”). In accordance with ASC 842, the Company determines whether an arrangement is or contains a lease at inception. A contract is or contains a lease if the contract conveys the right to control the use of an identified asset for a period of time in exchange for consideration. The Company classifies leases at the lease commencement date, when control of the underlying asset is transferred from the lessor to the lessee, as operating or finance leases and records a right-of-use (“ROU”) asset and a lease liability on the balance sheet for all leases with an initial lease term of greater than twelve months. The Company has elected the short-term lease recognition exemption for short-term leases, which allows the Company not to recognize lease liabilities and ROU assets on the balance sheet for leases with an original term of twelve months or less. The Company will recognize leases with original terms of twelve months or less as expense on a straight-line basis over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recorded as 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contracts that contain both lease and non-lease components. Non-lease components may include maintenance, utilities, and other operating costs. For all leases,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 </w:t>
      </w:r>
    </w:p>
    <w:p>
      <w:pPr>
        <w:pStyle w:val="TextBody"/>
        <w:bidi w:val="0"/>
        <w:spacing w:before="240" w:after="0"/>
        <w:jc w:val="left"/>
        <w:rPr>
          <w:rFonts w:ascii="Times New Roman" w:hAnsi="Times New Roman"/>
          <w:sz w:val="20"/>
        </w:rPr>
      </w:pPr>
      <w:r>
        <w:rPr>
          <w:rFonts w:ascii="Times New Roman" w:hAnsi="Times New Roman"/>
          <w:sz w:val="20"/>
        </w:rPr>
        <w:t xml:space="preserve">Finance and operating lease assets and liabilities are recognized at the lease commencement date based on the present value of the lease payments over the lease term using the discount rate implicit in the lease. If the rate implicit is not readily determinable, the Company utilizes the United States Treasury risk-free rate. ROU assets are further adjusted for initial direct costs, prepaid rent, or incentives received. Operating lease payments are expensed using the straight-line method as an operating expense over the lease term. The Company’s lease terms may include options to extend or terminate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and (ii) a portion that reduces the finance liability associated with the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each of the Company’s leases for the years ended December 31, 2025 and 2024, the Company elected the short-term lease recognition exemption and therefore did not recognize the lease on the Company’s balance sheet. Rent expense was recognized on a straight-line basis over the lease term. Short-term lease expense for each of the years ended December 31, 2025 and 2024, was $0.2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include (i) employee-related expenses, including salaries, benefits, and share-based compensation expense; (ii) external research and development expenses incurred under arrangements with third parties, such as contract research organizations (“CRO”) agreements and consultants; (iii) costs associated with preclinical activities and (iv) lab supplies, lab expenses and an allocation of rent, depreciation, and infrastructure. Costs incurred in connection with research and development activities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various research and development contracts. The payments under these contracts are recorded as research and development expenses as incurred. The Company records accrued expenses for estimated ongoing research costs. When evaluating the adequacy of the accrued liabilities, the Company analyzes progress of its research and development studies, including the phase or completion of events, invoices received and contracted costs. Judgments and estimates are made in determining the accrued balances at the end of any reporting period. Actual results could differ from the Company’s estimates. The Company’s historical accrual estimates have not been materially different from the actual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Acquisitions and Acquired In-Process Research and Development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 process research and development (“IPR&amp;D”). Acquired IPR&amp;D that has no alternative future use as of the acquisition date is recognized as research and development expense as of the acquisition date. The Company will recognize additional research and development expenses in the future if and when the Company becomes obligated to make contingent milestone payments under the terms of the agreements by which it acquired the IPR&amp;D assets. </w:t>
      </w:r>
    </w:p>
    <w:p>
      <w:pPr>
        <w:pStyle w:val="TextBody"/>
        <w:bidi w:val="0"/>
        <w:spacing w:before="240" w:after="0"/>
        <w:jc w:val="left"/>
        <w:rPr>
          <w:rFonts w:ascii="Times New Roman" w:hAnsi="Times New Roman"/>
          <w:sz w:val="20"/>
        </w:rPr>
      </w:pPr>
      <w:r>
        <w:rPr>
          <w:rFonts w:ascii="Times New Roman" w:hAnsi="Times New Roman"/>
          <w:sz w:val="20"/>
        </w:rPr>
        <w:t xml:space="preserve">Contingent consideration in the form of milestone payments related to IPR&amp;D with no alternative future use are charged to expense when the related milestone is achieved and becomes payable. For the years ended December 31, 2025 and 2024, the Company did not recognize any milestones or IPR&amp;D expense in connection with the consideration due under its license agreements (see Note 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Patent Costs </w:t>
      </w:r>
    </w:p>
    <w:p>
      <w:pPr>
        <w:pStyle w:val="TextBody"/>
        <w:bidi w:val="0"/>
        <w:spacing w:before="120" w:after="0"/>
        <w:jc w:val="left"/>
        <w:rPr>
          <w:rFonts w:ascii="Times New Roman" w:hAnsi="Times New Roman"/>
          <w:sz w:val="20"/>
        </w:rPr>
      </w:pPr>
      <w:r>
        <w:rPr>
          <w:rFonts w:ascii="Times New Roman" w:hAnsi="Times New Roman"/>
          <w:sz w:val="20"/>
        </w:rPr>
        <w:t xml:space="preserve">All patent-related costs incurred in connection with filing and prosecuting patent applications such as direct application fees, and legal and consulting expenses are expensed as incurred due to the uncertainty about the recovery of the expenditure. Patent-related costs are classified as general and administrative expenses within the Company’s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classified its redeemable convertible preferred stock as temporary equity in the accompanying balance sheets due to redemption provisions related to a change in control event that are outside of the control of the Company (see Note 8). The convertible preferred stock is not redeemable, except in the event of a deemed liquidation event. The Company did not accrete the carrying values of the redeemable convertible preferred stock to the redemption values as a change in control event was not considered probable at period end. Subsequent adjustments of the carrying values to the redemption values will be made only when it becomes probable that such a change in control event will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redeemable convertible preferred shares warrants issued in connection with its various financing transactions based upon the characteristics and provisions of the instrument. Warrants that have been determined to be classified as liabilities are recorded on the balance sheet as a long term liability at their fair value on the date of issuance and remeasured to fair value at each reporting period, with the changes in fair value recognized in the change in fair value of warrant liabilities, net in the statements of operations and comprehensive loss. The Company adjusted the liability for changes in the fair value of these warrants until the earlier of the exercise of the warrants, the expiration of the warrants, or until such time as the warrants were no longer considered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Tranche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the preferred stock tranche liability for the future issuance of its common and preferred stock as a long-term liability on its balance sheets as the preferred stock tranche obligation is a freestanding financial instrument that will require the Company to transfer equity instruments upon achievement of a certain milestone. The preferred stock tranche liability was determined to have an immaterial fair value at issuance. The preferred stock tranche liability is subsequently remeasured at each reporting date and any changes in the fair value are recognized as a component of other income (expense), net in the statements of operations, until the preferred stock tranche liability is fulfilled or otherwise extinguished.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all stock options and other share-based awards granted to employees, non-employees, and members of its board of directors (the “Board”) based on the estimated fair value on the date of the grant. The Company’s share-based payments include stock options and grants of restricted common stock awards. Generally, the Company issues share-based awards with only service-based vesting conditions. The measurement date for employee awards is the date of grant, and share-based compensation costs are recognized as expense over the employees’ requisite service period, which is the vesting period, on a straight-line basis. The Company’s policy is to account for forfeitures when they occur. Share-based compensation expense is classified in the accompanying statements of operations and comprehensive loss in the same manner in which the award recipient’s payroll costs are classified or in which the award recipients service payments are classified.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fair value of each stock option grant is estimated on the date of grant using the Black-Scholes option-pricing model, which requires inputs based on certain subjective assumptions. As there is no public market for the Company’s common stock, the estimated fair value of common stock was determined by the Board as of the date of each stock option grant, with inputs from management, considering third-party valuations of its common stock as well as the Board’s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Times New Roman" w:hAnsi="Times New Roman"/>
          <w:i/>
          <w:sz w:val="20"/>
        </w:rPr>
        <w:t>Valuation of Privately Held Company Equity Securities Issued as Compensation</w:t>
      </w:r>
      <w:r>
        <w:rPr>
          <w:rFonts w:ascii="Times New Roman" w:hAnsi="Times New Roman"/>
          <w:sz w:val="20"/>
        </w:rPr>
        <w:t xml:space="preserve">. As the Company has historically been a private company, it lacks company-specific historical and implied volatility information. As such, the Company estimates its expected stock volatility based on the historical volatility of a publicly traded set of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zero because the Company has never paid cash dividends on common shares and does not expect to pay any cash dividends in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provision for income taxes, deferred tax assets and liabilities, and reserves for unrecognized tax benefits reflect the Company’s best assessment of estimated future taxes to be paid. Significant judgments and estimates based on interpretations of existing tax laws or regulations in the United States are required in determining the Company’s provision for income taxes. Changes in tax laws, statutory tax rates, and estimates of future taxable income could impact the deferred tax assets and liabilities provided for in the financial statements and would require an adjustment to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which are considered appropriate as well as the related net interest and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Income Taxes (Topic 740)—Improvements to Income Tax Disclosures. (“ASU 2023-09”). ASU 2023-09 provides more transparency about income tax information through improvements to income tax disclosures primarily related to the rate reconciliation and incomes taxes paid information. For public business entities (PBEs), the amendments are effective for annual periods beginning after December 15, 2024, with early adoption permitted. For entities other than PBEs, the requirements will be effective for annual periods beginning after December 31, 2025. For the year ended December 31, 2025, the Company early adopted this ASU retrospectively, which only impacts the Company’s income tax disclosures with no impact to its operations, cash flows,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(“ASU 2024-03”), which requires entities to disclose additional information about specific expense categories in the notes to the financial statements. ASU 2024-03 is effective for annual periods beginning after December 15, 2026 and for interim periods within fiscal years beginning after December 15, 2027. Early adoption is permitted. ASU 2024-03 may be applied retrospectively or prospectively. The Company is currently evaluating the effect of this update on its financial statements and related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financial instruments that are measured at fair value on a recurring basis and indicates the fair value hierarchy of the inputs the Company utilized to determine such fair value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53"/>
        <w:gridCol w:w="162"/>
        <w:gridCol w:w="140"/>
        <w:gridCol w:w="724"/>
        <w:gridCol w:w="60"/>
        <w:gridCol w:w="162"/>
        <w:gridCol w:w="203"/>
        <w:gridCol w:w="555"/>
        <w:gridCol w:w="60"/>
        <w:gridCol w:w="162"/>
        <w:gridCol w:w="203"/>
        <w:gridCol w:w="555"/>
        <w:gridCol w:w="60"/>
        <w:gridCol w:w="162"/>
        <w:gridCol w:w="140"/>
        <w:gridCol w:w="724"/>
        <w:gridCol w:w="63"/>
      </w:tblGrid>
      <w:tr>
        <w:trPr/>
        <w:tc>
          <w:tcPr>
            <w:tcW w:w="5253"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5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10" w:type="dxa"/>
            <w:gridSpan w:val="14"/>
            <w:tcBorders>
              <w:bottom w:val="single" w:sz="8" w:space="0" w:color="000000"/>
            </w:tcBorders>
            <w:tcMar>
              <w:bottom w:w="28" w:type="dxa"/>
            </w:tcMar>
            <w:vAlign w:val="bottom"/>
          </w:tcPr>
          <w:p>
            <w:pPr>
              <w:pStyle w:val="TableContents"/>
              <w:bidi w:val="0"/>
              <w:spacing w:before="0" w:after="283"/>
              <w:jc w:val="center"/>
              <w:rPr/>
            </w:pPr>
            <w:r>
              <w:rPr>
                <w:b/>
              </w:rPr>
              <w:t>Fair value measurements as of</w:t>
            </w:r>
            <w:r>
              <w:rPr/>
              <w:br/>
            </w:r>
            <w:r>
              <w:rPr>
                <w:b/>
              </w:rPr>
              <w:t>December 31, 2025</w:t>
            </w:r>
          </w:p>
        </w:tc>
        <w:tc>
          <w:tcPr>
            <w:tcW w:w="63" w:type="dxa"/>
            <w:tcBorders/>
            <w:vAlign w:val="bottom"/>
          </w:tcPr>
          <w:p>
            <w:pPr>
              <w:pStyle w:val="TableContents"/>
              <w:bidi w:val="0"/>
              <w:spacing w:before="0" w:after="283"/>
              <w:jc w:val="left"/>
              <w:rPr/>
            </w:pPr>
            <w:r>
              <w:rPr/>
              <w:t> </w:t>
            </w:r>
          </w:p>
        </w:tc>
      </w:tr>
      <w:tr>
        <w:trPr/>
        <w:tc>
          <w:tcPr>
            <w:tcW w:w="525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52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Financial assets: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53"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17,291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17,291</w:t>
            </w:r>
          </w:p>
        </w:tc>
        <w:tc>
          <w:tcPr>
            <w:tcW w:w="63" w:type="dxa"/>
            <w:tcBorders/>
            <w:vAlign w:val="bottom"/>
          </w:tcPr>
          <w:p>
            <w:pPr>
              <w:pStyle w:val="TableContents"/>
              <w:bidi w:val="0"/>
              <w:spacing w:before="0" w:after="283"/>
              <w:jc w:val="left"/>
              <w:rPr/>
            </w:pPr>
            <w:r>
              <w:rPr/>
              <w:t> </w:t>
            </w:r>
          </w:p>
        </w:tc>
      </w:tr>
      <w:tr>
        <w:trPr/>
        <w:tc>
          <w:tcPr>
            <w:tcW w:w="525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financial assets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17,291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17,291</w:t>
            </w:r>
          </w:p>
        </w:tc>
        <w:tc>
          <w:tcPr>
            <w:tcW w:w="63" w:type="dxa"/>
            <w:tcBorders/>
            <w:shd w:fill="CCEEFF" w:val="clear"/>
            <w:vAlign w:val="bottom"/>
          </w:tcPr>
          <w:p>
            <w:pPr>
              <w:pStyle w:val="TableContents"/>
              <w:bidi w:val="0"/>
              <w:spacing w:before="0" w:after="283"/>
              <w:jc w:val="left"/>
              <w:rPr/>
            </w:pPr>
            <w:r>
              <w:rPr/>
              <w:t> </w:t>
            </w:r>
          </w:p>
        </w:tc>
      </w:tr>
      <w:tr>
        <w:trPr/>
        <w:tc>
          <w:tcPr>
            <w:tcW w:w="5253"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liabilities: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warrant liability</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525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53"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financial liabilities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253"/>
        <w:gridCol w:w="162"/>
        <w:gridCol w:w="140"/>
        <w:gridCol w:w="724"/>
        <w:gridCol w:w="60"/>
        <w:gridCol w:w="162"/>
        <w:gridCol w:w="203"/>
        <w:gridCol w:w="555"/>
        <w:gridCol w:w="60"/>
        <w:gridCol w:w="162"/>
        <w:gridCol w:w="203"/>
        <w:gridCol w:w="555"/>
        <w:gridCol w:w="60"/>
        <w:gridCol w:w="162"/>
        <w:gridCol w:w="140"/>
        <w:gridCol w:w="724"/>
        <w:gridCol w:w="63"/>
      </w:tblGrid>
      <w:tr>
        <w:trPr/>
        <w:tc>
          <w:tcPr>
            <w:tcW w:w="5253"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5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910" w:type="dxa"/>
            <w:gridSpan w:val="14"/>
            <w:tcBorders>
              <w:bottom w:val="single" w:sz="8" w:space="0" w:color="000000"/>
            </w:tcBorders>
            <w:tcMar>
              <w:bottom w:w="28" w:type="dxa"/>
            </w:tcMar>
            <w:vAlign w:val="bottom"/>
          </w:tcPr>
          <w:p>
            <w:pPr>
              <w:pStyle w:val="TableContents"/>
              <w:bidi w:val="0"/>
              <w:spacing w:before="0" w:after="283"/>
              <w:jc w:val="center"/>
              <w:rPr/>
            </w:pPr>
            <w:r>
              <w:rPr>
                <w:b/>
              </w:rPr>
              <w:t>Fair value measurements as of</w:t>
            </w:r>
            <w:r>
              <w:rPr/>
              <w:br/>
            </w:r>
            <w:r>
              <w:rPr>
                <w:b/>
              </w:rPr>
              <w:t>December 31, 2024</w:t>
            </w:r>
          </w:p>
        </w:tc>
        <w:tc>
          <w:tcPr>
            <w:tcW w:w="63" w:type="dxa"/>
            <w:tcBorders/>
            <w:vAlign w:val="bottom"/>
          </w:tcPr>
          <w:p>
            <w:pPr>
              <w:pStyle w:val="TableContents"/>
              <w:bidi w:val="0"/>
              <w:spacing w:before="0" w:after="283"/>
              <w:jc w:val="left"/>
              <w:rPr/>
            </w:pPr>
            <w:r>
              <w:rPr/>
              <w:t> </w:t>
            </w:r>
          </w:p>
        </w:tc>
      </w:tr>
      <w:tr>
        <w:trPr/>
        <w:tc>
          <w:tcPr>
            <w:tcW w:w="525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52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Financial assets: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253"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6,178</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6,178</w:t>
            </w:r>
          </w:p>
        </w:tc>
        <w:tc>
          <w:tcPr>
            <w:tcW w:w="63" w:type="dxa"/>
            <w:tcBorders/>
            <w:vAlign w:val="bottom"/>
          </w:tcPr>
          <w:p>
            <w:pPr>
              <w:pStyle w:val="TableContents"/>
              <w:bidi w:val="0"/>
              <w:spacing w:before="0" w:after="283"/>
              <w:jc w:val="left"/>
              <w:rPr/>
            </w:pPr>
            <w:r>
              <w:rPr/>
              <w:t> </w:t>
            </w:r>
          </w:p>
        </w:tc>
      </w:tr>
      <w:tr>
        <w:trPr/>
        <w:tc>
          <w:tcPr>
            <w:tcW w:w="525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financial assets</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 </w:t>
            </w:r>
            <w:r>
              <w:rPr/>
              <w:t>6,178</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 </w:t>
            </w:r>
            <w:r>
              <w:rPr/>
              <w:t>6,178</w:t>
            </w:r>
          </w:p>
        </w:tc>
        <w:tc>
          <w:tcPr>
            <w:tcW w:w="63" w:type="dxa"/>
            <w:tcBorders/>
            <w:shd w:fill="CCEEFF" w:val="clear"/>
            <w:vAlign w:val="bottom"/>
          </w:tcPr>
          <w:p>
            <w:pPr>
              <w:pStyle w:val="TableContents"/>
              <w:bidi w:val="0"/>
              <w:spacing w:before="0" w:after="283"/>
              <w:jc w:val="left"/>
              <w:rPr/>
            </w:pPr>
            <w:r>
              <w:rPr/>
              <w:t> </w:t>
            </w:r>
          </w:p>
        </w:tc>
      </w:tr>
      <w:tr>
        <w:trPr/>
        <w:tc>
          <w:tcPr>
            <w:tcW w:w="5253"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liabilities: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warrant liability</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5"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13</w:t>
            </w:r>
          </w:p>
        </w:tc>
        <w:tc>
          <w:tcPr>
            <w:tcW w:w="63" w:type="dxa"/>
            <w:tcBorders/>
            <w:shd w:fill="CCEEFF" w:val="clear"/>
            <w:vAlign w:val="bottom"/>
          </w:tcPr>
          <w:p>
            <w:pPr>
              <w:pStyle w:val="TableContents"/>
              <w:bidi w:val="0"/>
              <w:spacing w:before="0" w:after="283"/>
              <w:jc w:val="left"/>
              <w:rPr/>
            </w:pPr>
            <w:r>
              <w:rPr/>
              <w:t> </w:t>
            </w:r>
          </w:p>
        </w:tc>
      </w:tr>
      <w:tr>
        <w:trPr/>
        <w:tc>
          <w:tcPr>
            <w:tcW w:w="525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53"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financial liabilities</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5"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4"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there were no transfers or reclassifications between fair value measurement levels of assets or liabilities. The carrying values of accounts receivable, prepaid expenses and other current assets, accounts payable, and accrued expenses approximate their fair values due to the short-term nature of these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Valuation of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the Company had cash equivalents consisting of money market funds classified as Level 1 financial assets, as these assets are valued using quoted market prices in active markets without any valuation adjustments. </w:t>
      </w:r>
    </w:p>
    <w:p>
      <w:pPr>
        <w:pStyle w:val="TextBody"/>
        <w:bidi w:val="0"/>
        <w:spacing w:before="360" w:after="0"/>
        <w:jc w:val="left"/>
        <w:rPr>
          <w:rFonts w:ascii="Times New Roman" w:hAnsi="Times New Roman"/>
          <w:i/>
          <w:sz w:val="20"/>
        </w:rPr>
      </w:pPr>
      <w:r>
        <w:rPr>
          <w:rFonts w:ascii="Times New Roman" w:hAnsi="Times New Roman"/>
          <w:i/>
          <w:sz w:val="20"/>
        </w:rPr>
        <w:t xml:space="preserve">Preferred Stock Warrant Liability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Loan and Security Agreement (the “Loan Agreement”) entered into with Western Alliance Bank (“Western Alliance”) (see Note 4), the Company issued 21,100 warrants (the “Warrants”) to purchase shares of Series Seed-3 redeemable convertible preferred stock (“Series Seed-3”) at an exercise price of $1.42177. The Company would be required to issue additional warrants to Western Alliance for 1% of the term loan divided by the exercise price if the Company drew down on the Loan Agreement. As no amount was advanced to the Company as part of the Loan Agreement, no additional warrants were issued to Western Alliance. Western Alliance can exercise the Warrants until the termination of the agreement on September 6, 2031. No Warrants were exercised as of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concluded that the Warrants required liability classification based on the guidance in ASC 480. The Warrants were recorded at fair value using the Black-Scholes method with the following inputs: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95"/>
        <w:gridCol w:w="751"/>
        <w:gridCol w:w="240"/>
        <w:gridCol w:w="1775"/>
        <w:gridCol w:w="278"/>
      </w:tblGrid>
      <w:tr>
        <w:trPr/>
        <w:tc>
          <w:tcPr>
            <w:tcW w:w="3895" w:type="dxa"/>
            <w:tcBorders/>
            <w:vAlign w:val="center"/>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895"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2015" w:type="dxa"/>
            <w:gridSpan w:val="2"/>
            <w:tcBorders/>
            <w:vAlign w:val="bottom"/>
          </w:tcPr>
          <w:p>
            <w:pPr>
              <w:pStyle w:val="TableContents"/>
              <w:bidi w:val="0"/>
              <w:spacing w:before="0" w:after="283"/>
              <w:jc w:val="center"/>
              <w:rPr>
                <w:b/>
              </w:rPr>
            </w:pPr>
            <w:r>
              <w:rPr>
                <w:b/>
              </w:rPr>
              <w:t>As of December 31,</w:t>
              <w:br/>
              <w:t>2025</w:t>
            </w:r>
          </w:p>
        </w:tc>
        <w:tc>
          <w:tcPr>
            <w:tcW w:w="278" w:type="dxa"/>
            <w:tcBorders/>
            <w:vAlign w:val="bottom"/>
          </w:tcPr>
          <w:p>
            <w:pPr>
              <w:pStyle w:val="TableContents"/>
              <w:bidi w:val="0"/>
              <w:spacing w:before="0" w:after="283"/>
              <w:jc w:val="left"/>
              <w:rPr/>
            </w:pPr>
            <w:r>
              <w:rPr/>
              <w:t> </w:t>
            </w:r>
          </w:p>
        </w:tc>
      </w:tr>
      <w:tr>
        <w:trPr/>
        <w:tc>
          <w:tcPr>
            <w:tcW w:w="3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equity volatility</w:t>
            </w:r>
          </w:p>
        </w:tc>
        <w:tc>
          <w:tcPr>
            <w:tcW w:w="75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60</w:t>
            </w:r>
          </w:p>
        </w:tc>
        <w:tc>
          <w:tcPr>
            <w:tcW w:w="278" w:type="dxa"/>
            <w:tcBorders/>
            <w:shd w:fill="CCEEFF" w:val="clear"/>
            <w:vAlign w:val="bottom"/>
          </w:tcPr>
          <w:p>
            <w:pPr>
              <w:pStyle w:val="TableContents"/>
              <w:bidi w:val="0"/>
              <w:spacing w:before="0" w:after="283"/>
              <w:jc w:val="left"/>
              <w:rPr/>
            </w:pPr>
            <w:r>
              <w:rPr/>
              <w:t>% </w:t>
            </w:r>
          </w:p>
        </w:tc>
      </w:tr>
      <w:tr>
        <w:trPr/>
        <w:tc>
          <w:tcPr>
            <w:tcW w:w="3895"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751"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3.53</w:t>
            </w:r>
          </w:p>
        </w:tc>
        <w:tc>
          <w:tcPr>
            <w:tcW w:w="278" w:type="dxa"/>
            <w:tcBorders/>
            <w:vAlign w:val="bottom"/>
          </w:tcPr>
          <w:p>
            <w:pPr>
              <w:pStyle w:val="TableContents"/>
              <w:bidi w:val="0"/>
              <w:spacing w:before="0" w:after="283"/>
              <w:jc w:val="left"/>
              <w:rPr/>
            </w:pPr>
            <w:r>
              <w:rPr/>
              <w:t>% </w:t>
            </w:r>
          </w:p>
        </w:tc>
      </w:tr>
      <w:tr>
        <w:trPr/>
        <w:tc>
          <w:tcPr>
            <w:tcW w:w="38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time to exit (in years)</w:t>
            </w:r>
          </w:p>
        </w:tc>
        <w:tc>
          <w:tcPr>
            <w:tcW w:w="75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1.5</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roll-forward of the aggregate fair values of the Preferred Stock Warrant Liability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69"/>
        <w:gridCol w:w="653"/>
        <w:gridCol w:w="417"/>
        <w:gridCol w:w="1142"/>
        <w:gridCol w:w="158"/>
      </w:tblGrid>
      <w:tr>
        <w:trPr/>
        <w:tc>
          <w:tcPr>
            <w:tcW w:w="4569" w:type="dxa"/>
            <w:tcBorders/>
            <w:vAlign w:val="center"/>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69"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 Warrant</w:t>
              <w:br/>
              <w:t>Liability</w:t>
            </w:r>
          </w:p>
        </w:tc>
        <w:tc>
          <w:tcPr>
            <w:tcW w:w="158" w:type="dxa"/>
            <w:tcBorders/>
            <w:vAlign w:val="bottom"/>
          </w:tcPr>
          <w:p>
            <w:pPr>
              <w:pStyle w:val="TableContents"/>
              <w:bidi w:val="0"/>
              <w:spacing w:before="0" w:after="283"/>
              <w:jc w:val="left"/>
              <w:rPr/>
            </w:pPr>
            <w:r>
              <w:rPr/>
              <w:t> </w:t>
            </w:r>
          </w:p>
        </w:tc>
      </w:tr>
      <w:tr>
        <w:trPr/>
        <w:tc>
          <w:tcPr>
            <w:tcW w:w="4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65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13</w:t>
            </w:r>
          </w:p>
        </w:tc>
        <w:tc>
          <w:tcPr>
            <w:tcW w:w="158" w:type="dxa"/>
            <w:tcBorders/>
            <w:shd w:fill="CCEEFF" w:val="clear"/>
            <w:vAlign w:val="bottom"/>
          </w:tcPr>
          <w:p>
            <w:pPr>
              <w:pStyle w:val="TableContents"/>
              <w:bidi w:val="0"/>
              <w:spacing w:before="0" w:after="283"/>
              <w:jc w:val="left"/>
              <w:rPr/>
            </w:pPr>
            <w:r>
              <w:rPr/>
              <w:t> </w:t>
            </w:r>
          </w:p>
        </w:tc>
      </w:tr>
      <w:tr>
        <w:trPr/>
        <w:tc>
          <w:tcPr>
            <w:tcW w:w="4569"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6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653"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569"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65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13</w:t>
            </w:r>
          </w:p>
        </w:tc>
        <w:tc>
          <w:tcPr>
            <w:tcW w:w="158" w:type="dxa"/>
            <w:tcBorders/>
            <w:shd w:fill="CCEEFF" w:val="clear"/>
            <w:vAlign w:val="bottom"/>
          </w:tcPr>
          <w:p>
            <w:pPr>
              <w:pStyle w:val="TableContents"/>
              <w:bidi w:val="0"/>
              <w:spacing w:before="0" w:after="283"/>
              <w:jc w:val="left"/>
              <w:rPr/>
            </w:pPr>
            <w:r>
              <w:rPr/>
              <w:t> </w:t>
            </w:r>
          </w:p>
        </w:tc>
      </w:tr>
      <w:tr>
        <w:trPr/>
        <w:tc>
          <w:tcPr>
            <w:tcW w:w="4569"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69"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653"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(12</w:t>
            </w:r>
          </w:p>
        </w:tc>
        <w:tc>
          <w:tcPr>
            <w:tcW w:w="158" w:type="dxa"/>
            <w:tcBorders/>
            <w:vAlign w:val="bottom"/>
          </w:tcPr>
          <w:p>
            <w:pPr>
              <w:pStyle w:val="TableContents"/>
              <w:bidi w:val="0"/>
              <w:spacing w:before="0" w:after="283"/>
              <w:jc w:val="left"/>
              <w:rPr/>
            </w:pPr>
            <w:r>
              <w:rPr/>
              <w:t>) </w:t>
            </w:r>
          </w:p>
        </w:tc>
      </w:tr>
      <w:tr>
        <w:trPr/>
        <w:tc>
          <w:tcPr>
            <w:tcW w:w="4569"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2025</w:t>
            </w:r>
          </w:p>
        </w:tc>
        <w:tc>
          <w:tcPr>
            <w:tcW w:w="65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4569"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Preferred Stock Tranche Liability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Asset Purchase Agreement (the “Ravenna Agreement”) with Ravenna Pharmaceuticals (“Ravenna”), the Company assumed the existing License Agreement (the “Takeda Agreement”), with Takeda Pharmaceutical Limited (“Takeda”). Pursuant to the Takeda Agreement, there were future contingent milestones to be paid by the Company (Note 6), including a future equity milestone payable to Takeda upon the first dosing in a Phase 3 clinical trial. This milestone was to be paid by the Company in shares (latest round of preferred stock if the Company is still private, or common if public) equal to 3% of the Company’s fully diluted capitalization, capped at an aggregate value of up to $15.0 million. Subsequently in 2026, this provision was renegotiated and removed in its entirety. As the feature was still outstanding as of the years ended December 31, 2025 and 2024, the Company assessed the feature as of each date.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concluded that the probability of dosing a patient in a Phase 3 clinical trial was less than 5%; accordingly, the fair value of the preferred stock tranche liability was determined to be $0. As of December 31, 2025, the parties were actively negotiating removal of the preferred stock tranche liability. Based on the advanced stage of those negotiations at year-end, the Company determined that the fair value of the preferred stock tranche liability remained $0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Notes and Loan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2021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April and May 2021, the Company issued convertible promissory notes (the “2021 Notes”) in the principal amount of $6.8 million. The 2021 Notes bore interest at a rate of 5.0% per annum, with a maturity date of April 7, 2023. In the event that the Company issued and sold its redeemable convertible preferred stock for aggregate gross proceeds of $10.0 million (the “Qualified Financing”), the outstanding principal and accrued interest were automatically converted into shares of redeemable convertible preferred stock at the conversion price equal to (i) the outstanding principal and accrued interest of the 2021 Notes divided by (ii) 85% of the issuance price paid by the other purchasers of preferred stock in the Qualified Financing. The Company elected the fair value option to account for the 2021 Notes. Changes in fair value at every reporting date are recorded as a component of the other income (expense),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March 2022, concurrently with the issuance and sale of the Company’s Series A redeemable convertible preferred stock (“Series A”), which met the definition of a Qualified Financing under the terms of the 2021 Notes, all of the outstanding principal plus accrued interest was automatically converted into 783,153 shares of Series A. </w:t>
      </w:r>
    </w:p>
    <w:p>
      <w:pPr>
        <w:pStyle w:val="TextBody"/>
        <w:bidi w:val="0"/>
        <w:spacing w:before="360" w:after="0"/>
        <w:jc w:val="left"/>
        <w:rPr>
          <w:rFonts w:ascii="Times New Roman" w:hAnsi="Times New Roman"/>
          <w:b/>
          <w:i/>
          <w:sz w:val="20"/>
        </w:rPr>
      </w:pPr>
      <w:r>
        <w:rPr>
          <w:rFonts w:ascii="Times New Roman" w:hAnsi="Times New Roman"/>
          <w:b/>
          <w:i/>
          <w:sz w:val="20"/>
        </w:rPr>
        <w:t xml:space="preserve">Western Alliance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2021, the Company entered into the Loan Agreement with Western Alliance. The Loan Agreement initially provided for borrowings of (i) up to $2.0 million from the period of commencement until March 31, 2022, (ii) additional borrowings of up to $1.0 million dependent upon successful continuation of the Company’s phase 1b/2 clinical trial of Serabelisib (the “Milestone Event”). Any borrowings under the agreement would bear an interest rate of the greater of (i) 3.25% or (ii) the Wall Street Journal prime rate. The loans would be due and payable on September 1, 2025 and bear interest that would be payable monthly, except for the period through April 1, 2023, or October 1, 2023 upon the occurrence of the Milestone Event, during which the Company will make interest-only payments. The Company would also make final payment of 4.50% of the aggregate principal amount at maturity.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did not advance any borrowings under the Loan Agreement during the years ended December 31, 2025 and 2024. The Loan Agreement terminated on September 1, 2025 and was not renewed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67"/>
        <w:gridCol w:w="321"/>
        <w:gridCol w:w="140"/>
        <w:gridCol w:w="563"/>
        <w:gridCol w:w="60"/>
        <w:gridCol w:w="321"/>
        <w:gridCol w:w="140"/>
        <w:gridCol w:w="380"/>
        <w:gridCol w:w="63"/>
      </w:tblGrid>
      <w:tr>
        <w:trPr/>
        <w:tc>
          <w:tcPr>
            <w:tcW w:w="5767"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6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6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576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1,754</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200</w:t>
            </w:r>
          </w:p>
        </w:tc>
        <w:tc>
          <w:tcPr>
            <w:tcW w:w="63" w:type="dxa"/>
            <w:tcBorders/>
            <w:shd w:fill="CCEEFF" w:val="clear"/>
            <w:vAlign w:val="bottom"/>
          </w:tcPr>
          <w:p>
            <w:pPr>
              <w:pStyle w:val="TableContents"/>
              <w:bidi w:val="0"/>
              <w:spacing w:before="0" w:after="283"/>
              <w:jc w:val="left"/>
              <w:rPr/>
            </w:pPr>
            <w:r>
              <w:rPr/>
              <w:t> </w:t>
            </w:r>
          </w:p>
        </w:tc>
      </w:tr>
      <w:tr>
        <w:trPr/>
        <w:tc>
          <w:tcPr>
            <w:tcW w:w="5767" w:type="dxa"/>
            <w:tcBorders/>
          </w:tcPr>
          <w:p>
            <w:pPr>
              <w:pStyle w:val="TableContents"/>
              <w:bidi w:val="0"/>
              <w:spacing w:before="0" w:after="0"/>
              <w:jc w:val="left"/>
              <w:rPr>
                <w:rFonts w:ascii="Times New Roman" w:hAnsi="Times New Roman"/>
                <w:sz w:val="20"/>
              </w:rPr>
            </w:pPr>
            <w:r>
              <w:rPr>
                <w:rFonts w:ascii="Times New Roman" w:hAnsi="Times New Roman"/>
                <w:sz w:val="20"/>
              </w:rPr>
              <w:t>Accrued employee related expenses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599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253</w:t>
            </w:r>
          </w:p>
        </w:tc>
        <w:tc>
          <w:tcPr>
            <w:tcW w:w="63" w:type="dxa"/>
            <w:tcBorders/>
            <w:vAlign w:val="bottom"/>
          </w:tcPr>
          <w:p>
            <w:pPr>
              <w:pStyle w:val="TableContents"/>
              <w:bidi w:val="0"/>
              <w:spacing w:before="0" w:after="283"/>
              <w:jc w:val="left"/>
              <w:rPr/>
            </w:pPr>
            <w:r>
              <w:rPr/>
              <w:t> </w:t>
            </w:r>
          </w:p>
        </w:tc>
      </w:tr>
      <w:tr>
        <w:trPr/>
        <w:tc>
          <w:tcPr>
            <w:tcW w:w="5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professional expenses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74</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105</w:t>
            </w:r>
          </w:p>
        </w:tc>
        <w:tc>
          <w:tcPr>
            <w:tcW w:w="63" w:type="dxa"/>
            <w:tcBorders/>
            <w:shd w:fill="CCEEFF" w:val="clear"/>
            <w:vAlign w:val="bottom"/>
          </w:tcPr>
          <w:p>
            <w:pPr>
              <w:pStyle w:val="TableContents"/>
              <w:bidi w:val="0"/>
              <w:spacing w:before="0" w:after="283"/>
              <w:jc w:val="left"/>
              <w:rPr/>
            </w:pPr>
            <w:r>
              <w:rPr/>
              <w:t> </w:t>
            </w:r>
          </w:p>
        </w:tc>
      </w:tr>
      <w:tr>
        <w:trPr/>
        <w:tc>
          <w:tcPr>
            <w:tcW w:w="5767" w:type="dxa"/>
            <w:tcBorders/>
          </w:tcPr>
          <w:p>
            <w:pPr>
              <w:pStyle w:val="TableContents"/>
              <w:bidi w:val="0"/>
              <w:spacing w:before="0" w:after="0"/>
              <w:jc w:val="left"/>
              <w:rPr>
                <w:rFonts w:ascii="Times New Roman" w:hAnsi="Times New Roman"/>
                <w:sz w:val="20"/>
              </w:rPr>
            </w:pPr>
            <w:r>
              <w:rPr>
                <w:rFonts w:ascii="Times New Roman" w:hAnsi="Times New Roman"/>
                <w:sz w:val="20"/>
              </w:rPr>
              <w:t>Accrued other expenses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576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2,444</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590</w:t>
            </w:r>
          </w:p>
        </w:tc>
        <w:tc>
          <w:tcPr>
            <w:tcW w:w="63" w:type="dxa"/>
            <w:tcBorders/>
            <w:shd w:fill="CCEEFF" w:val="clear"/>
            <w:vAlign w:val="bottom"/>
          </w:tcPr>
          <w:p>
            <w:pPr>
              <w:pStyle w:val="TableContents"/>
              <w:bidi w:val="0"/>
              <w:spacing w:before="0" w:after="283"/>
              <w:jc w:val="left"/>
              <w:rPr/>
            </w:pPr>
            <w:r>
              <w:rPr/>
              <w:t> </w:t>
            </w:r>
          </w:p>
        </w:tc>
      </w:tr>
      <w:tr>
        <w:trPr/>
        <w:tc>
          <w:tcPr>
            <w:tcW w:w="576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License Agreements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Cornell University </w:t>
      </w:r>
    </w:p>
    <w:p>
      <w:pPr>
        <w:pStyle w:val="TextBody"/>
        <w:bidi w:val="0"/>
        <w:spacing w:before="120" w:after="0"/>
        <w:jc w:val="left"/>
        <w:rPr>
          <w:rFonts w:ascii="Times New Roman" w:hAnsi="Times New Roman"/>
          <w:sz w:val="20"/>
        </w:rPr>
      </w:pPr>
      <w:r>
        <w:rPr>
          <w:rFonts w:ascii="Times New Roman" w:hAnsi="Times New Roman"/>
          <w:sz w:val="20"/>
        </w:rPr>
        <w:t xml:space="preserve">In June 2020, the Company entered into a license agreement (the “Cornell Agreement”) with Cornell University (“Cornell”), pursuant to which the Company was granted an exclusive, sublicensable, royalty-bearing license to develop and commercialize products using the licensed combination therapy for PI3K associated diseases and disorders. As consideration for the Cornell Agreement, the Company agreed to pay annual license fees of $0.1 million on the anniversary of the agreement. The license fees are recorded as research and development expense in the statements of operations and comprehensive loss as the acquired license represents in-process research and development with no alternative future use. Under the Cornell Agreement, the Company is required to pay up to an aggregate of $6.2 million upon the achievement of certain development and commercial milestones.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is also required to pay royalties to Cornell in the low to mid single digit percentage range based on net sales of licensed products. The development milestone payment will be recorded when the milestone is achieved, and the commercial milestone payment and royalties will be recorded when the sales occur. During each of the years ended December 31, 2025 and 2024, the Company made annual payments to Cornell of $0.1 million. As of December 31, 2025, no milestones were achieved.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Cancer Research Technology Limited (CRT) </w:t>
      </w:r>
    </w:p>
    <w:p>
      <w:pPr>
        <w:pStyle w:val="TextBody"/>
        <w:bidi w:val="0"/>
        <w:spacing w:before="120" w:after="0"/>
        <w:jc w:val="left"/>
        <w:rPr>
          <w:rFonts w:ascii="Times New Roman" w:hAnsi="Times New Roman"/>
          <w:sz w:val="20"/>
        </w:rPr>
      </w:pPr>
      <w:r>
        <w:rPr>
          <w:rFonts w:ascii="Times New Roman" w:hAnsi="Times New Roman"/>
          <w:sz w:val="20"/>
        </w:rPr>
        <w:t xml:space="preserve">In June 2020, the Company entered into a license agreement (the “CRT Agreement”) with Cancer Research Technology Limited (“CRT”), who is wholly owned by Cancer Research UK, pursuant to which the Company was granted an exclusive, sublicensable, royalty-bearing license to develop and commercialize FTH-002, or other products with dietary modulation of amino acids. As consideration for the CRT Agreement, the Company paid an upfront fee of $0.1 million in 2020 which was recorded as research and development expense in the statements of operations and comprehensive loss as the acquired license represents in-process research and development with no alternative future use. Under the CRT Agreement, the Company is required to pay up to an aggregate of £7.9 million related to the achievement of certain development and commercial milestones and up to an aggregate of £18.1 million related to the achievement of certain partnership milestones. In addition, Company is required to pay royalties to CRT in the low to mid single-digit percentage range based on net sales of licensed products and sublicense royalty fees in the low double-digit percentage range for any revenue derived from sublicensing. The development milestone payment will be recorded when the milestone is achieved, and the commercial milestone payment, royalties, and sublicense revenues will be recorded when the sales occur. As of December 31, 2025, no milestones have been achieved.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Ravenna Pharmaceuticals (Takeda)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2021, the Company entered into the Ravenna Agreement, pursuant to which the Company was granted intellectual property and existing data and agreements to develop and commercialize FTH-001 and FTH-003 in exchange for an upfront fee of $0.5 million. The payment was recorded as research and development expense in the statements of operations and comprehensive loss because the acquired assets represented in-process research and development with no alternative future use.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Ravenna Agreement, the Company assumed the Takeda Agreement pursuant to which the Company is required to pay up to an aggregate of $124.0 million related to the achievement of certain development and commercial milestones. The Company is also required to pay royalties to Takeda in the low to mid-single-digit percentage range based on net sales of licensed products. The development milestone payment will be recorded when the milestone is achieved, and the commercial milestone payment, royalties, and sublicense revenues will be recorded when the sales occur. As of December 31, 2025, no milestones have been achieved. </w:t>
      </w:r>
    </w:p>
    <w:p>
      <w:pPr>
        <w:pStyle w:val="TextBody"/>
        <w:bidi w:val="0"/>
        <w:spacing w:before="240" w:after="0"/>
        <w:jc w:val="left"/>
        <w:rPr>
          <w:rFonts w:ascii="Times New Roman" w:hAnsi="Times New Roman"/>
          <w:sz w:val="20"/>
        </w:rPr>
      </w:pPr>
      <w:r>
        <w:rPr>
          <w:rFonts w:ascii="Times New Roman" w:hAnsi="Times New Roman"/>
          <w:sz w:val="20"/>
        </w:rPr>
        <w:t xml:space="preserve">As additional consideration under the Takeda Agreement, the Company was required to issue up to $15.0 million in equity to Takeda upon the first dosing in a Phase 3 clinical trial. No equity was issued to Takeda as of December 31, 2025, and subsequently in 2026, this provision was renegotiated and removed in its entirety (see Note 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Calithera Biosciences (Millennium Takeda) </w:t>
      </w:r>
    </w:p>
    <w:p>
      <w:pPr>
        <w:pStyle w:val="TextBody"/>
        <w:bidi w:val="0"/>
        <w:spacing w:before="120" w:after="0"/>
        <w:jc w:val="left"/>
        <w:rPr>
          <w:rFonts w:ascii="Times New Roman" w:hAnsi="Times New Roman"/>
          <w:sz w:val="20"/>
        </w:rPr>
      </w:pPr>
      <w:r>
        <w:rPr>
          <w:rFonts w:ascii="Times New Roman" w:hAnsi="Times New Roman"/>
          <w:sz w:val="20"/>
        </w:rPr>
        <w:t xml:space="preserve">In May 2023, the Company entered into a purchase agreement (the “Calithera Agreement”) with Calithera Biosciences (“Calithera”) under which the Company was granted intellectual property and existing data and agreements to develop and commercialize FTH-001 and FTH-003. As consideration for the Calithera Agreement, the Company paid an upfront fee of $0.4 million. The payments were recorded as research and development expense in the statements of operations and comprehensive loss because the acquired assets represented in-process research and development with no alternative future use.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Calithera Agreement, the Company assumed existing license agreements with the Regents of the University of California (the “University of California Agreement”) and Millennium Pharmaceuticals (the “Millennium Agreement”). Under the University of California Agreement, the Company is required to pay up to an aggregate of $1.0 million per licensed product related to the achievement of certain development and commercial milestones, of which $0.8 million remains unpaid as of December 31, 2025. The Company is also required to pay tiered low single-digit royalties based on net sales of licensed products and a low double-digit percentage based on sublicense income if the Company sublicenses the rights granted under the University of California Agreement. Under the Millennium Agreement, the Company is required to pay up to an aggregate of $119.0 million in development, regulatory and commercial launch milestone payments and up to an aggregate of $250.0 million in sales milestone payments. The Company is also required to pay tiered single-digit royalties based on annual net sales of licensed products. Under both agreements, the development milestone payment will be recorded when the milestone is achieved, and the commercial milestone payment and royalties will be recorded when the sales occur. As of December 31, 2025, no milestones have been achieved under either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short-term arrangements for leases of office, lab, and kitchen 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currently a party to any material legal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licenses agreements under which it is obligated to make fixed and contingent payments; see Note 6 “License Agreements” for details.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Contracts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party to various contracts with CROs and contract manufacturers that generally provide for termination on notice, with the exact amounts in the event of termination to be based on the timing of the termination and the terms of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development plans as of December 31, 2025, the Company may be obligated to make future development, regulatory and commercial milestone payments, and royalty payments on future sales of specified products associated with the Company’s license agreements (see Note 6). Payments under these agreements generally become due and payable upon achievement of such milestones or sales. When the achievement of these milestones or sales have not occurred, such contingencies are not recorded in the Company’s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There are no contractual obligations arising from these arrangements as of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As permitted under Delaware law, the Company indemnifies its officers, directors, and employees for certain events or occurrences while the officer or director is, or was, serving at the Company’s request in such capacity. The term of the indemnification is for the officer’s or director’s lifetime. Further, 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The maximum potential amount of future payments the Company could be required to make under these indemnification agreements is, in many cases, unlimited. To date however, the Company has not incurred any material costs as a result of such indemnifications nor experienced any losses related to them. As of December 31, 2025 and 2024, the Company was not aware of any claims under indemnification arrangements and does not expect significant claims related to these indemnification obligations and, consequently, concluded that the fair value of these obligations is negligible; therefore, no related reserves were established.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Redeemable Convertible Preferred Stock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Series Seed </w:t>
      </w:r>
    </w:p>
    <w:p>
      <w:pPr>
        <w:pStyle w:val="TextBody"/>
        <w:bidi w:val="0"/>
        <w:spacing w:before="120" w:after="0"/>
        <w:jc w:val="left"/>
        <w:rPr>
          <w:rFonts w:ascii="Times New Roman" w:hAnsi="Times New Roman"/>
          <w:sz w:val="20"/>
        </w:rPr>
      </w:pPr>
      <w:r>
        <w:rPr>
          <w:rFonts w:ascii="Times New Roman" w:hAnsi="Times New Roman"/>
          <w:sz w:val="20"/>
        </w:rPr>
        <w:t xml:space="preserve">In June 2019, the Company issued and sold 1,454,615 shares of Series Seed-1 redeemable convertible preferred stock (“Series Seed-1”) to a single investor at a purchase price of $1.0321 per share, for proceeds of $1.4 million, net of issuance costs of $0.1 million. </w:t>
      </w:r>
    </w:p>
    <w:p>
      <w:pPr>
        <w:pStyle w:val="TextBody"/>
        <w:bidi w:val="0"/>
        <w:spacing w:before="240" w:after="0"/>
        <w:jc w:val="left"/>
        <w:rPr>
          <w:rFonts w:ascii="Times New Roman" w:hAnsi="Times New Roman"/>
          <w:sz w:val="20"/>
        </w:rPr>
      </w:pPr>
      <w:r>
        <w:rPr>
          <w:rFonts w:ascii="Times New Roman" w:hAnsi="Times New Roman"/>
          <w:sz w:val="20"/>
        </w:rPr>
        <w:t xml:space="preserve">In January 2020, the Company issued and sold 1,060,606 shares of Series Seed-2 redeemable convertible preferred stock (“Series Seed-2”) to the same investor at a purchase price of $1.65 per share, for proceeds of $1.7 million. There were no material financing costs in connection with this issuance.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2020, the Company issued and sold 3,516,742 shares of Series Seed-3 at a purchase price of $2.84354 per share, for proceeds of $10.0 million. There were no material financing costs in connection with this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w:t>
      </w:r>
    </w:p>
    <w:p>
      <w:pPr>
        <w:pStyle w:val="TextBody"/>
        <w:bidi w:val="0"/>
        <w:spacing w:before="120" w:after="0"/>
        <w:jc w:val="left"/>
        <w:rPr>
          <w:rFonts w:ascii="Times New Roman" w:hAnsi="Times New Roman"/>
          <w:sz w:val="20"/>
        </w:rPr>
      </w:pPr>
      <w:r>
        <w:rPr>
          <w:rFonts w:ascii="Times New Roman" w:hAnsi="Times New Roman"/>
          <w:sz w:val="20"/>
        </w:rPr>
        <w:t xml:space="preserve">In March 2022, the Company issued and sold 4,238,234 shares of Series A at a purchase price of $10.712 per share, for proceeds of $45.2 million, net of issuance costs of $0.2 million. </w:t>
      </w:r>
    </w:p>
    <w:p>
      <w:pPr>
        <w:pStyle w:val="TextBody"/>
        <w:bidi w:val="0"/>
        <w:spacing w:before="240" w:after="0"/>
        <w:jc w:val="left"/>
        <w:rPr>
          <w:rFonts w:ascii="Times New Roman" w:hAnsi="Times New Roman"/>
          <w:sz w:val="20"/>
        </w:rPr>
      </w:pPr>
      <w:r>
        <w:rPr>
          <w:rFonts w:ascii="Times New Roman" w:hAnsi="Times New Roman"/>
          <w:sz w:val="20"/>
        </w:rPr>
        <w:t xml:space="preserve">As disclosed in Note 4, the 2021 Notes issued in April and May 2021 converted to Series A Preferred Stock at the initial closing of Series A. The conversion of the 2021 Notes resulted in the issuance of 783,153 additional shares of Series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Series A agreement allowed for additional closings of Series A Preferred Stock subject to Board approval at the same issuance price as the initial closing. Additional closings in April and September 2022 resulted in the issuance of 189,433 shares at a purchase price of $10.712 per share for proceeds of $2.0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A-1 </w:t>
      </w:r>
    </w:p>
    <w:p>
      <w:pPr>
        <w:pStyle w:val="TextBody"/>
        <w:bidi w:val="0"/>
        <w:spacing w:before="120" w:after="0"/>
        <w:jc w:val="left"/>
        <w:rPr>
          <w:rFonts w:ascii="Times New Roman" w:hAnsi="Times New Roman"/>
          <w:sz w:val="20"/>
        </w:rPr>
      </w:pPr>
      <w:r>
        <w:rPr>
          <w:rFonts w:ascii="Times New Roman" w:hAnsi="Times New Roman"/>
          <w:sz w:val="20"/>
        </w:rPr>
        <w:t xml:space="preserve">In August 2025, the Company issued and sold 23,971,059 shares of series A-1 redeemable convertible preferred stock (“Series A-1”, the “Senior Preferred”) at a purchase price of $0.80034 per share, for proceeds of $18.9 million, net of issuance costs of $0.3 million. </w:t>
      </w:r>
    </w:p>
    <w:p>
      <w:pPr>
        <w:pStyle w:val="TextBody"/>
        <w:bidi w:val="0"/>
        <w:spacing w:before="240" w:after="0"/>
        <w:jc w:val="left"/>
        <w:rPr>
          <w:rFonts w:ascii="Times New Roman" w:hAnsi="Times New Roman"/>
          <w:sz w:val="20"/>
        </w:rPr>
      </w:pPr>
      <w:r>
        <w:rPr>
          <w:rFonts w:ascii="Times New Roman" w:hAnsi="Times New Roman"/>
          <w:sz w:val="20"/>
        </w:rPr>
        <w:t xml:space="preserve">The Series A-1 agreement allowed for additional closings of Series A-1 Preferred Stock subject to Board approval at the same issuance price as the initial closing. Additional closings in August and September 2025 resulted in the issuance of 6,558,727 shares at a purchase price of $0.80034 per share for proceeds of $5.3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In August 2025, as part of the Series A-1 agreement, the Company effected a mandatory conversion in which the Company’s Seed-1, Seed-2, Seed-3, and Series A Preferred Stock (together, the “Existing Preferred”) converted into shares of the Company’s common stock at a ratio of 10:1. Each investor who held shares of the Existing Preferred and purchased its pro-rata amount of Series A-1 immediately had the common stock that was issued to them in exchange for their shares of Existing Preferred, exchanged back into preferred stock at a ratio of 1:10 on the same date. The pro-rata amount (“Pro-rata Amount”) is defined as the number of Existing Preferred Shares for the purchaser divided by the total number of Existing Preferred Shares prior to conversion and $8,750,000. For investors who purchased their pro-rata share of Series A-1 Preferred Stock, each investor received a new series of preferred shares in proportion to the series of preferred stock they previously held where Series Seed-1 shareholders received Series Seed-4 redeemable convertible preferred stock (“Series Seed-4”), Series Seed-2 received Series Seed-5 redeemable convertible preferred stock (“Series Seed-5”), Series Seed-3 received Series Seed-6 redeemable convertible preferred stock (“Series Seed-6”), and Series A received Series A-2 redeemable convertible preferred stock (“Series A-2”). The Series Seed-4, Series Seed-5, Series Seed-6, and Series A-2 (the “Junior Preferred”) are designated as junior to Series A-1 and their liquidation preference is subordinate to that of the Series A-1.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accounted for the conversion of the Existing Preferred as a modification with no incremental fair value recorded to Preferred Stock. Two investors did not participate in the Series A-1 financing and their Existing Preferred Shares were converted into common stock at a ratio of 10:1.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Series Seed-1, Series Seed-2, Series Seed-3, Series A and Series A-1 (collectively “Preferred Stock”), the Company assessed the embedded conversion and liquidation features of the shares and determined that such features did not require the Company to separately account for these features.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Stock consists of the following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4"/>
        <w:gridCol w:w="125"/>
        <w:gridCol w:w="84"/>
        <w:gridCol w:w="1556"/>
        <w:gridCol w:w="60"/>
        <w:gridCol w:w="125"/>
        <w:gridCol w:w="84"/>
        <w:gridCol w:w="1556"/>
        <w:gridCol w:w="60"/>
        <w:gridCol w:w="125"/>
        <w:gridCol w:w="277"/>
        <w:gridCol w:w="1347"/>
        <w:gridCol w:w="60"/>
        <w:gridCol w:w="125"/>
        <w:gridCol w:w="208"/>
        <w:gridCol w:w="1012"/>
        <w:gridCol w:w="60"/>
        <w:gridCol w:w="125"/>
        <w:gridCol w:w="82"/>
        <w:gridCol w:w="1513"/>
        <w:gridCol w:w="67"/>
      </w:tblGrid>
      <w:tr>
        <w:trPr/>
        <w:tc>
          <w:tcPr>
            <w:tcW w:w="155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55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7" w:type="dxa"/>
            <w:tcBorders/>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w:t>
              <w:br/>
              <w:t>Authorized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w:t>
              <w:br/>
              <w:t>Issued and</w:t>
              <w:br/>
              <w:t>Outstanding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Value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Issuable Upon</w:t>
              <w:br/>
              <w:t>Conversion</w:t>
            </w:r>
          </w:p>
        </w:tc>
        <w:tc>
          <w:tcPr>
            <w:tcW w:w="67" w:type="dxa"/>
            <w:tcBorders/>
            <w:vAlign w:val="bottom"/>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Seed-4 Redeemable Convertible Preferred Stock</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1,454,616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1,454,615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1,403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1,454,615</w:t>
            </w:r>
          </w:p>
        </w:tc>
        <w:tc>
          <w:tcPr>
            <w:tcW w:w="67" w:type="dxa"/>
            <w:tcBorders/>
            <w:shd w:fill="CCEEFF" w:val="clear"/>
            <w:vAlign w:val="bottom"/>
          </w:tcPr>
          <w:p>
            <w:pPr>
              <w:pStyle w:val="TableContents"/>
              <w:bidi w:val="0"/>
              <w:spacing w:before="0" w:after="283"/>
              <w:jc w:val="left"/>
              <w:rPr/>
            </w:pPr>
            <w:r>
              <w:rPr/>
              <w:t> </w:t>
            </w:r>
          </w:p>
        </w:tc>
      </w:tr>
      <w:tr>
        <w:trPr/>
        <w:tc>
          <w:tcPr>
            <w:tcW w:w="1554" w:type="dxa"/>
            <w:tcBorders/>
          </w:tcPr>
          <w:p>
            <w:pPr>
              <w:pStyle w:val="TableContents"/>
              <w:bidi w:val="0"/>
              <w:spacing w:before="0" w:after="0"/>
              <w:jc w:val="left"/>
              <w:rPr>
                <w:rFonts w:ascii="Times New Roman" w:hAnsi="Times New Roman"/>
                <w:sz w:val="20"/>
              </w:rPr>
            </w:pPr>
            <w:r>
              <w:rPr>
                <w:rFonts w:ascii="Times New Roman" w:hAnsi="Times New Roman"/>
                <w:sz w:val="20"/>
              </w:rPr>
              <w:t>Series Seed-5 Redeemable Convertible Preferred Stock</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1,060,606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1,060,606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1,743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1,750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3" w:type="dxa"/>
            <w:tcBorders/>
            <w:vAlign w:val="bottom"/>
          </w:tcPr>
          <w:p>
            <w:pPr>
              <w:pStyle w:val="TableContents"/>
              <w:bidi w:val="0"/>
              <w:spacing w:before="0" w:after="283"/>
              <w:jc w:val="right"/>
              <w:rPr/>
            </w:pPr>
            <w:r>
              <w:rPr/>
              <w:t>1,060,606</w:t>
            </w:r>
          </w:p>
        </w:tc>
        <w:tc>
          <w:tcPr>
            <w:tcW w:w="67" w:type="dxa"/>
            <w:tcBorders/>
            <w:vAlign w:val="bottom"/>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Seed-6 Redeemable Convertible Preferred Stock</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3,537,844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3,516,742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3,516,742</w:t>
            </w:r>
          </w:p>
        </w:tc>
        <w:tc>
          <w:tcPr>
            <w:tcW w:w="67" w:type="dxa"/>
            <w:tcBorders/>
            <w:shd w:fill="CCEEFF" w:val="clear"/>
            <w:vAlign w:val="bottom"/>
          </w:tcPr>
          <w:p>
            <w:pPr>
              <w:pStyle w:val="TableContents"/>
              <w:bidi w:val="0"/>
              <w:spacing w:before="0" w:after="283"/>
              <w:jc w:val="left"/>
              <w:rPr/>
            </w:pPr>
            <w:r>
              <w:rPr/>
              <w:t> </w:t>
            </w:r>
          </w:p>
        </w:tc>
      </w:tr>
      <w:tr>
        <w:trPr/>
        <w:tc>
          <w:tcPr>
            <w:tcW w:w="1554" w:type="dxa"/>
            <w:tcBorders/>
          </w:tcPr>
          <w:p>
            <w:pPr>
              <w:pStyle w:val="TableContents"/>
              <w:bidi w:val="0"/>
              <w:spacing w:before="0" w:after="0"/>
              <w:jc w:val="left"/>
              <w:rPr>
                <w:rFonts w:ascii="Times New Roman" w:hAnsi="Times New Roman"/>
                <w:sz w:val="20"/>
              </w:rPr>
            </w:pPr>
            <w:r>
              <w:rPr>
                <w:rFonts w:ascii="Times New Roman" w:hAnsi="Times New Roman"/>
                <w:sz w:val="20"/>
              </w:rPr>
              <w:t>Series A-2 Redeemable Convertible Preferred Stock</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5,917,577</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5,002,761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53,400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53,590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3" w:type="dxa"/>
            <w:tcBorders/>
            <w:vAlign w:val="bottom"/>
          </w:tcPr>
          <w:p>
            <w:pPr>
              <w:pStyle w:val="TableContents"/>
              <w:bidi w:val="0"/>
              <w:spacing w:before="0" w:after="283"/>
              <w:jc w:val="right"/>
              <w:rPr/>
            </w:pPr>
            <w:r>
              <w:rPr/>
              <w:t>5,002,761</w:t>
            </w:r>
          </w:p>
        </w:tc>
        <w:tc>
          <w:tcPr>
            <w:tcW w:w="67" w:type="dxa"/>
            <w:tcBorders/>
            <w:vAlign w:val="bottom"/>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Redeemable Convertible Preferred Stock</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31,236,725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30,529,786</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24,162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24,434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30,529,786</w:t>
            </w:r>
          </w:p>
        </w:tc>
        <w:tc>
          <w:tcPr>
            <w:tcW w:w="67" w:type="dxa"/>
            <w:tcBorders/>
            <w:shd w:fill="CCEEFF" w:val="clear"/>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51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55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43,207,368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41,564,510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90,708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91,274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3" w:type="dxa"/>
            <w:tcBorders/>
            <w:vAlign w:val="bottom"/>
          </w:tcPr>
          <w:p>
            <w:pPr>
              <w:pStyle w:val="TableContents"/>
              <w:bidi w:val="0"/>
              <w:spacing w:before="0" w:after="283"/>
              <w:jc w:val="right"/>
              <w:rPr/>
            </w:pPr>
            <w:r>
              <w:rPr/>
              <w:t>41,564,510</w:t>
            </w:r>
          </w:p>
        </w:tc>
        <w:tc>
          <w:tcPr>
            <w:tcW w:w="67" w:type="dxa"/>
            <w:tcBorders/>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5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5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0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51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4"/>
        <w:gridCol w:w="125"/>
        <w:gridCol w:w="84"/>
        <w:gridCol w:w="1556"/>
        <w:gridCol w:w="60"/>
        <w:gridCol w:w="125"/>
        <w:gridCol w:w="84"/>
        <w:gridCol w:w="1556"/>
        <w:gridCol w:w="60"/>
        <w:gridCol w:w="125"/>
        <w:gridCol w:w="277"/>
        <w:gridCol w:w="1347"/>
        <w:gridCol w:w="60"/>
        <w:gridCol w:w="125"/>
        <w:gridCol w:w="208"/>
        <w:gridCol w:w="1012"/>
        <w:gridCol w:w="60"/>
        <w:gridCol w:w="125"/>
        <w:gridCol w:w="82"/>
        <w:gridCol w:w="1513"/>
        <w:gridCol w:w="67"/>
      </w:tblGrid>
      <w:tr>
        <w:trPr/>
        <w:tc>
          <w:tcPr>
            <w:tcW w:w="155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55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7" w:type="dxa"/>
            <w:tcBorders/>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w:t>
              <w:br/>
              <w:t>Authorized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w:t>
              <w:br/>
              <w:t>Issued and</w:t>
              <w:br/>
              <w:t>Outstanding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Value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Issuable Upon</w:t>
              <w:br/>
              <w:t>Conversion</w:t>
            </w:r>
          </w:p>
        </w:tc>
        <w:tc>
          <w:tcPr>
            <w:tcW w:w="67" w:type="dxa"/>
            <w:tcBorders/>
            <w:vAlign w:val="bottom"/>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Seed-1 Redeemable Convertible Preferred Stock</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2,909,231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1,454,615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1,403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1,454,615</w:t>
            </w:r>
          </w:p>
        </w:tc>
        <w:tc>
          <w:tcPr>
            <w:tcW w:w="67" w:type="dxa"/>
            <w:tcBorders/>
            <w:shd w:fill="CCEEFF" w:val="clear"/>
            <w:vAlign w:val="bottom"/>
          </w:tcPr>
          <w:p>
            <w:pPr>
              <w:pStyle w:val="TableContents"/>
              <w:bidi w:val="0"/>
              <w:spacing w:before="0" w:after="283"/>
              <w:jc w:val="left"/>
              <w:rPr/>
            </w:pPr>
            <w:r>
              <w:rPr/>
              <w:t> </w:t>
            </w:r>
          </w:p>
        </w:tc>
      </w:tr>
      <w:tr>
        <w:trPr/>
        <w:tc>
          <w:tcPr>
            <w:tcW w:w="1554" w:type="dxa"/>
            <w:tcBorders/>
          </w:tcPr>
          <w:p>
            <w:pPr>
              <w:pStyle w:val="TableContents"/>
              <w:bidi w:val="0"/>
              <w:spacing w:before="0" w:after="0"/>
              <w:jc w:val="left"/>
              <w:rPr>
                <w:rFonts w:ascii="Times New Roman" w:hAnsi="Times New Roman"/>
                <w:sz w:val="20"/>
              </w:rPr>
            </w:pPr>
            <w:r>
              <w:rPr>
                <w:rFonts w:ascii="Times New Roman" w:hAnsi="Times New Roman"/>
                <w:sz w:val="20"/>
              </w:rPr>
              <w:t>Series Seed-2 Redeemable Convertible Preferred Stock</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2,121,212</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1,060,606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1,743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1,750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3" w:type="dxa"/>
            <w:tcBorders/>
            <w:vAlign w:val="bottom"/>
          </w:tcPr>
          <w:p>
            <w:pPr>
              <w:pStyle w:val="TableContents"/>
              <w:bidi w:val="0"/>
              <w:spacing w:before="0" w:after="283"/>
              <w:jc w:val="right"/>
              <w:rPr/>
            </w:pPr>
            <w:r>
              <w:rPr/>
              <w:t>1,060,606</w:t>
            </w:r>
          </w:p>
        </w:tc>
        <w:tc>
          <w:tcPr>
            <w:tcW w:w="67" w:type="dxa"/>
            <w:tcBorders/>
            <w:vAlign w:val="bottom"/>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Seed-3 Redeemable Convertible Preferred Stock</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7,075,688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3,516,742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3,516,742</w:t>
            </w:r>
          </w:p>
        </w:tc>
        <w:tc>
          <w:tcPr>
            <w:tcW w:w="67" w:type="dxa"/>
            <w:tcBorders/>
            <w:shd w:fill="CCEEFF" w:val="clear"/>
            <w:vAlign w:val="bottom"/>
          </w:tcPr>
          <w:p>
            <w:pPr>
              <w:pStyle w:val="TableContents"/>
              <w:bidi w:val="0"/>
              <w:spacing w:before="0" w:after="283"/>
              <w:jc w:val="left"/>
              <w:rPr/>
            </w:pPr>
            <w:r>
              <w:rPr/>
              <w:t> </w:t>
            </w:r>
          </w:p>
        </w:tc>
      </w:tr>
      <w:tr>
        <w:trPr/>
        <w:tc>
          <w:tcPr>
            <w:tcW w:w="1554" w:type="dxa"/>
            <w:tcBorders/>
          </w:tcPr>
          <w:p>
            <w:pPr>
              <w:pStyle w:val="TableContents"/>
              <w:bidi w:val="0"/>
              <w:spacing w:before="0" w:after="0"/>
              <w:jc w:val="left"/>
              <w:rPr>
                <w:rFonts w:ascii="Times New Roman" w:hAnsi="Times New Roman"/>
                <w:sz w:val="20"/>
              </w:rPr>
            </w:pPr>
            <w:r>
              <w:rPr>
                <w:rFonts w:ascii="Times New Roman" w:hAnsi="Times New Roman"/>
                <w:sz w:val="20"/>
              </w:rPr>
              <w:t>Series A Redeemable Convertible Preferred Stock</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11,835,154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right"/>
              <w:rPr/>
            </w:pPr>
            <w:r>
              <w:rPr/>
              <w:t>5,210,820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55,628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55,818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3" w:type="dxa"/>
            <w:tcBorders/>
            <w:vAlign w:val="bottom"/>
          </w:tcPr>
          <w:p>
            <w:pPr>
              <w:pStyle w:val="TableContents"/>
              <w:bidi w:val="0"/>
              <w:spacing w:before="0" w:after="283"/>
              <w:jc w:val="right"/>
              <w:rPr/>
            </w:pPr>
            <w:r>
              <w:rPr/>
              <w:t>5,210,820</w:t>
            </w:r>
          </w:p>
        </w:tc>
        <w:tc>
          <w:tcPr>
            <w:tcW w:w="67" w:type="dxa"/>
            <w:tcBorders/>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5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51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23,941,285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right"/>
              <w:rPr/>
            </w:pPr>
            <w:r>
              <w:rPr/>
              <w:t>11,242,783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68,774</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69,068</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11,242,783</w:t>
            </w:r>
          </w:p>
        </w:tc>
        <w:tc>
          <w:tcPr>
            <w:tcW w:w="67" w:type="dxa"/>
            <w:tcBorders/>
            <w:shd w:fill="CCEEFF" w:val="clear"/>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5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5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0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51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Preferred Stock have the following rights, preferences and privileges: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Preferred Stock are entitled to one vote with the common stockholders on an as-converted basis at all meetings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outstanding shares of Senior Preferred are entitled to non-cumulative dividends at a rate of 8% of the Original Issue Price per share, per annum, payable if, and when declared by the Board. The Original Issue Price is $0.80034 per share for Series A-1 subject to appropriate adjustment in the event of any stock dividend, stock split, or other similar recapitalization with respect to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Following the payment in full of dividends to Senior Preferred, holders of outstanding shares of Junior Preferred are entitled to non-cumulative dividends at a rate of 8% of the Original Issue Price per share, per annum, payable if, and when declared by the Board. The Original Issue Price is $1.03210 per share for Series Seed-4, $1.65000 per share for Series Seed-5, $2.84354 for Series Seed-6, and $10.71200 for Series A-2, subject to appropriate adjustment in the event of any stock dividend, stock split, or other similar recapitalization with respect to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Preferred Stock participate in any dividends payable to common shareholders on an as-converted basis.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corporation, or upon the occurrence of a Deemed Liquidation Event (as defined in the Company’s Sixth Amended and Restated Certificate of Incorporation), the holders of shares of the Preferred Stock are entitled to preferential payments, in an amount calculated as the greater of (i) the applicable Original Issue Price, plus dividends declared but unpaid and (ii) the amount payable with respect to such share as if it was converted to common stock immediately prior to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does not have redemption rights, except for the contingent redemption upon the occurrence of a Deemed Liquidation Event, which would constitute a merger or consolidation, or the sale, lease, transfer, exclusive license, or other disposition, of all or substantially all of the Company’s or its subsidiaries assets.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Preferred Stock shall be convertible, at the option of the holder (without payment) into common shares as determined by dividing the number of shares by the Original Issue Price. In the event of a liquidation, dissolution or winding up of the Company or a Deemed Liquidation Event, the conversion right shall terminate at the close of business on the last full day preceding the date fixed for the payment of any such amounts distributable on such event to the holders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All Preferred Stock will automatically convert into common shares upon an initial public offering pursuant to which the offering’s gross proceeds to the Company of at least $40.0 million, net of underwriting discount and commissions. An occurrence of an event, specified by vote or written consent of the holders of 75% of the then outstanding shares of Preferred Stock, then, all outstanding shares of Preferred Stock shall automatically be converted into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entitles the holder to one vote on all matters submitted to a vote of the Company’s stockholders provided, however, that, except as otherwise required by law, holders of common stock are not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is no cumulative voting. Common stockholders are entitled to receive dividends, as may be declared by the Company’s Board, if any, subject to the preferential dividend rights of the Preferred Stock. During the year ended December 31, 2025, the Company increased the total number of common shares authorized from 41,691,000 shares to 64,000,000 shares. Through December 31, 2025, no dividends have been declared or paid.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stock reserved for future issuance is summarized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88"/>
        <w:gridCol w:w="158"/>
        <w:gridCol w:w="60"/>
        <w:gridCol w:w="1104"/>
        <w:gridCol w:w="60"/>
        <w:gridCol w:w="158"/>
        <w:gridCol w:w="60"/>
        <w:gridCol w:w="1104"/>
        <w:gridCol w:w="63"/>
      </w:tblGrid>
      <w:tr>
        <w:trPr/>
        <w:tc>
          <w:tcPr>
            <w:tcW w:w="4988"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5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498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41,564,510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11,242,783</w:t>
            </w:r>
          </w:p>
        </w:tc>
        <w:tc>
          <w:tcPr>
            <w:tcW w:w="63"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7,554,656</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2,187,812</w:t>
            </w:r>
          </w:p>
        </w:tc>
        <w:tc>
          <w:tcPr>
            <w:tcW w:w="63"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warrants</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10,550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10,550</w:t>
            </w:r>
          </w:p>
        </w:tc>
        <w:tc>
          <w:tcPr>
            <w:tcW w:w="63"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reserved for future issuance</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6,943,375</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1,059,924</w:t>
            </w:r>
          </w:p>
        </w:tc>
        <w:tc>
          <w:tcPr>
            <w:tcW w:w="63" w:type="dxa"/>
            <w:tcBorders/>
            <w:vAlign w:val="bottom"/>
          </w:tcPr>
          <w:p>
            <w:pPr>
              <w:pStyle w:val="TableContents"/>
              <w:bidi w:val="0"/>
              <w:spacing w:before="0" w:after="283"/>
              <w:jc w:val="left"/>
              <w:rPr/>
            </w:pPr>
            <w:r>
              <w:rPr/>
              <w:t> </w:t>
            </w:r>
          </w:p>
        </w:tc>
      </w:tr>
      <w:tr>
        <w:trPr/>
        <w:tc>
          <w:tcPr>
            <w:tcW w:w="49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56,073,091</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14,501,069</w:t>
            </w:r>
          </w:p>
        </w:tc>
        <w:tc>
          <w:tcPr>
            <w:tcW w:w="63" w:type="dxa"/>
            <w:tcBorders/>
            <w:shd w:fill="CCEEFF" w:val="clear"/>
            <w:vAlign w:val="bottom"/>
          </w:tcPr>
          <w:p>
            <w:pPr>
              <w:pStyle w:val="TableContents"/>
              <w:bidi w:val="0"/>
              <w:spacing w:before="0" w:after="283"/>
              <w:jc w:val="left"/>
              <w:rPr/>
            </w:pPr>
            <w:r>
              <w:rPr/>
              <w:t> </w:t>
            </w:r>
          </w:p>
        </w:tc>
      </w:tr>
      <w:tr>
        <w:trPr/>
        <w:tc>
          <w:tcPr>
            <w:tcW w:w="498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2019 Stock Option and Grant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2019 Stock Incentive Plan (the “2019 Plan”), provides for the Company to sell or issue common shares or restricted common stock, or to grant incentive stock options or nonqualified stock options for the purchase of common shares, to employees, members of the Board and consultants of the Company. The 2019 Plan is administered by the Board, or at the discretion of the Board, by a committee of the Board. The exercise prices, vesting and other restrictions are determined at the discretion of the Board, or their committee if so delegated, except that the exercise price per share of stock options may not be less than 100% of the fair market value of the share of common shares on the date of grant and the term of stock option may not be greater than ten years.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common shares that may be issued under the 2019 Plan is 15,676,793 shares, of which 6,943,375 remained available for future grant as of December 31, 2025. Vesting periods are determined at the discretion of the Board. Stock options and restricted stock granted to-date typically vest over four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Repricing </w:t>
      </w:r>
    </w:p>
    <w:p>
      <w:pPr>
        <w:pStyle w:val="TextBody"/>
        <w:bidi w:val="0"/>
        <w:spacing w:before="120" w:after="0"/>
        <w:jc w:val="left"/>
        <w:rPr>
          <w:rFonts w:ascii="Times New Roman" w:hAnsi="Times New Roman"/>
          <w:sz w:val="20"/>
        </w:rPr>
      </w:pPr>
      <w:r>
        <w:rPr>
          <w:rFonts w:ascii="Times New Roman" w:hAnsi="Times New Roman"/>
          <w:sz w:val="20"/>
        </w:rPr>
        <w:t xml:space="preserve">On December 1, 2025 (the “Modification Date”), the Board approved a stock option repricing (the “Repricing”) of the outstanding stock options held by members of the Board, employees, and other service providers. Under the Repricing, the exercise price of each outstanding stock option under the Company’s 2019 Plan with an exercise price greater $0.23 per share was repriced to $0.23 per share. </w:t>
      </w:r>
    </w:p>
    <w:p>
      <w:pPr>
        <w:pStyle w:val="TextBody"/>
        <w:bidi w:val="0"/>
        <w:spacing w:before="240" w:after="0"/>
        <w:jc w:val="left"/>
        <w:rPr>
          <w:rFonts w:ascii="Times New Roman" w:hAnsi="Times New Roman"/>
          <w:sz w:val="20"/>
        </w:rPr>
      </w:pPr>
      <w:r>
        <w:rPr>
          <w:rFonts w:ascii="Times New Roman" w:hAnsi="Times New Roman"/>
          <w:sz w:val="20"/>
        </w:rPr>
        <w:t xml:space="preserve">The Repricing resulted in $0.1 million of incremental stock compensation expense, which was calculated using the Black-Scholes option-pricing model. The incremental compensation expense of $0.1 million related to vested stock options was recognized on the Modification Date and the incremental compensation expense of less than $0.1 million related to unvested stock options will be recognized on a straight-line over the remaining requisite service period of the respective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Stock Option Valuation </w:t>
      </w:r>
    </w:p>
    <w:p>
      <w:pPr>
        <w:pStyle w:val="TextBody"/>
        <w:bidi w:val="0"/>
        <w:spacing w:before="120" w:after="0"/>
        <w:jc w:val="left"/>
        <w:rPr>
          <w:rFonts w:ascii="Times New Roman" w:hAnsi="Times New Roman"/>
          <w:sz w:val="20"/>
        </w:rPr>
      </w:pPr>
      <w:r>
        <w:rPr>
          <w:rFonts w:ascii="Times New Roman" w:hAnsi="Times New Roman"/>
          <w:sz w:val="20"/>
        </w:rPr>
        <w:t xml:space="preserve">The assumptions used to determine the fair values of stock options granted to employees and directors during the years ended December 31, 2025 and 2024, are presented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95"/>
        <w:gridCol w:w="321"/>
        <w:gridCol w:w="60"/>
        <w:gridCol w:w="569"/>
        <w:gridCol w:w="280"/>
        <w:gridCol w:w="216"/>
        <w:gridCol w:w="60"/>
        <w:gridCol w:w="569"/>
        <w:gridCol w:w="285"/>
      </w:tblGrid>
      <w:tr>
        <w:trPr/>
        <w:tc>
          <w:tcPr>
            <w:tcW w:w="539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39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7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285" w:type="dxa"/>
            <w:tcBorders/>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5" w:type="dxa"/>
            <w:tcBorders/>
            <w:vAlign w:val="bottom"/>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3.75</w:t>
            </w:r>
          </w:p>
        </w:tc>
        <w:tc>
          <w:tcPr>
            <w:tcW w:w="28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4.17</w:t>
            </w:r>
          </w:p>
        </w:tc>
        <w:tc>
          <w:tcPr>
            <w:tcW w:w="285" w:type="dxa"/>
            <w:tcBorders/>
            <w:shd w:fill="CCEEFF" w:val="clear"/>
            <w:vAlign w:val="bottom"/>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5.86</w:t>
            </w:r>
          </w:p>
        </w:tc>
        <w:tc>
          <w:tcPr>
            <w:tcW w:w="28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5.87</w:t>
            </w:r>
          </w:p>
        </w:tc>
        <w:tc>
          <w:tcPr>
            <w:tcW w:w="285" w:type="dxa"/>
            <w:tcBorders/>
            <w:vAlign w:val="bottom"/>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69.34</w:t>
            </w:r>
          </w:p>
        </w:tc>
        <w:tc>
          <w:tcPr>
            <w:tcW w:w="28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81.64</w:t>
            </w:r>
          </w:p>
        </w:tc>
        <w:tc>
          <w:tcPr>
            <w:tcW w:w="285" w:type="dxa"/>
            <w:tcBorders/>
            <w:shd w:fill="CCEEFF" w:val="clear"/>
            <w:vAlign w:val="bottom"/>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0.00</w:t>
            </w:r>
          </w:p>
        </w:tc>
        <w:tc>
          <w:tcPr>
            <w:tcW w:w="28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0.00</w:t>
            </w:r>
          </w:p>
        </w:tc>
        <w:tc>
          <w:tcPr>
            <w:tcW w:w="28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 Activity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Company’s stock option activity under the 2019 Plan for the 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2"/>
        <w:gridCol w:w="147"/>
        <w:gridCol w:w="101"/>
        <w:gridCol w:w="1780"/>
        <w:gridCol w:w="155"/>
        <w:gridCol w:w="147"/>
        <w:gridCol w:w="464"/>
        <w:gridCol w:w="1468"/>
        <w:gridCol w:w="60"/>
        <w:gridCol w:w="147"/>
        <w:gridCol w:w="231"/>
        <w:gridCol w:w="1696"/>
        <w:gridCol w:w="60"/>
        <w:gridCol w:w="147"/>
        <w:gridCol w:w="535"/>
        <w:gridCol w:w="1458"/>
        <w:gridCol w:w="67"/>
      </w:tblGrid>
      <w:tr>
        <w:trPr/>
        <w:tc>
          <w:tcPr>
            <w:tcW w:w="1542"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54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Intrinsic</w:t>
              <w:br/>
              <w:t>Value</w:t>
            </w:r>
          </w:p>
        </w:tc>
        <w:tc>
          <w:tcPr>
            <w:tcW w:w="67" w:type="dxa"/>
            <w:tcBorders/>
            <w:vAlign w:val="bottom"/>
          </w:tcPr>
          <w:p>
            <w:pPr>
              <w:pStyle w:val="TableContents"/>
              <w:bidi w:val="0"/>
              <w:spacing w:before="0" w:after="283"/>
              <w:jc w:val="left"/>
              <w:rPr/>
            </w:pPr>
            <w:r>
              <w:rPr/>
              <w:t> </w:t>
            </w:r>
          </w:p>
        </w:tc>
      </w:tr>
      <w:tr>
        <w:trPr/>
        <w:tc>
          <w:tcPr>
            <w:tcW w:w="154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8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3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27" w:type="dxa"/>
            <w:gridSpan w:val="2"/>
            <w:tcBorders/>
            <w:vAlign w:val="bottom"/>
          </w:tcPr>
          <w:p>
            <w:pPr>
              <w:pStyle w:val="TableContents"/>
              <w:bidi w:val="0"/>
              <w:spacing w:before="0" w:after="283"/>
              <w:jc w:val="center"/>
              <w:rPr/>
            </w:pPr>
            <w:r>
              <w:rPr/>
              <w:t>(in years)</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93" w:type="dxa"/>
            <w:gridSpan w:val="2"/>
            <w:tcBorders/>
            <w:vAlign w:val="bottom"/>
          </w:tcPr>
          <w:p>
            <w:pPr>
              <w:pStyle w:val="TableContents"/>
              <w:bidi w:val="0"/>
              <w:spacing w:before="0" w:after="283"/>
              <w:jc w:val="center"/>
              <w:rPr/>
            </w:pPr>
            <w:r>
              <w:rPr/>
              <w:t>(in thousands)</w:t>
            </w:r>
          </w:p>
        </w:tc>
        <w:tc>
          <w:tcPr>
            <w:tcW w:w="67" w:type="dxa"/>
            <w:tcBorders/>
            <w:vAlign w:val="bottom"/>
          </w:tcPr>
          <w:p>
            <w:pPr>
              <w:pStyle w:val="TableContents"/>
              <w:bidi w:val="0"/>
              <w:spacing w:before="0" w:after="283"/>
              <w:jc w:val="left"/>
              <w:rPr/>
            </w:pPr>
            <w:r>
              <w:rPr/>
              <w:t> </w:t>
            </w:r>
          </w:p>
        </w:tc>
      </w:tr>
      <w:tr>
        <w:trPr/>
        <w:tc>
          <w:tcPr>
            <w:tcW w:w="1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4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2,064,800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0.93</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8.47</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224</w:t>
            </w:r>
          </w:p>
        </w:tc>
        <w:tc>
          <w:tcPr>
            <w:tcW w:w="67" w:type="dxa"/>
            <w:tcBorders/>
            <w:shd w:fill="CCEEFF" w:val="clear"/>
            <w:vAlign w:val="bottom"/>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4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412,207</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6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4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(43,413</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6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45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Cancelled or forfeited</w:t>
            </w:r>
          </w:p>
        </w:tc>
        <w:tc>
          <w:tcPr>
            <w:tcW w:w="14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(245,782</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6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54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6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outstanding at December 31, 2024</w:t>
            </w:r>
          </w:p>
        </w:tc>
        <w:tc>
          <w:tcPr>
            <w:tcW w:w="14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2,187,812</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0.94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7.92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219</w:t>
            </w:r>
          </w:p>
        </w:tc>
        <w:tc>
          <w:tcPr>
            <w:tcW w:w="67" w:type="dxa"/>
            <w:tcBorders/>
            <w:shd w:fill="CCEEFF" w:val="clear"/>
            <w:vAlign w:val="bottom"/>
          </w:tcPr>
          <w:p>
            <w:pPr>
              <w:pStyle w:val="TableContents"/>
              <w:bidi w:val="0"/>
              <w:spacing w:before="0" w:after="283"/>
              <w:jc w:val="left"/>
              <w:rPr/>
            </w:pPr>
            <w:r>
              <w:rPr/>
              <w:t> </w:t>
            </w:r>
          </w:p>
        </w:tc>
      </w:tr>
      <w:tr>
        <w:trPr/>
        <w:tc>
          <w:tcPr>
            <w:tcW w:w="154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7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6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4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7,496,801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0.23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6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4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(58,926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0.38</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6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45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Cancelled or forfeited</w:t>
            </w:r>
          </w:p>
        </w:tc>
        <w:tc>
          <w:tcPr>
            <w:tcW w:w="14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(2,071,031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0.95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6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54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7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6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outstanding at December 31, 2025</w:t>
            </w:r>
          </w:p>
        </w:tc>
        <w:tc>
          <w:tcPr>
            <w:tcW w:w="14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7,554,656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0.24</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9.15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54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7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6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at December 31, 2025</w:t>
            </w:r>
          </w:p>
        </w:tc>
        <w:tc>
          <w:tcPr>
            <w:tcW w:w="14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7,554,656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0.23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9.75</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w:t>
            </w:r>
          </w:p>
        </w:tc>
        <w:tc>
          <w:tcPr>
            <w:tcW w:w="145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1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at December 31, 2025</w:t>
            </w:r>
          </w:p>
        </w:tc>
        <w:tc>
          <w:tcPr>
            <w:tcW w:w="14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2,026,507</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0.25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7.52</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w:t>
            </w:r>
          </w:p>
        </w:tc>
        <w:tc>
          <w:tcPr>
            <w:tcW w:w="145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stock options and the estimated fair value of the Company’s common shares for those stock options that had exercise prices lower than the fair value of the Company’s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in the years ended December 31, 2025 and 2024, was $0.13 and $0.74, respectively. The total intrinsic value of options exercised during each of the years ended December 31, 2025 and 2024, was immaterial.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Common Stock </w:t>
      </w:r>
    </w:p>
    <w:p>
      <w:pPr>
        <w:pStyle w:val="TextBody"/>
        <w:bidi w:val="0"/>
        <w:spacing w:before="120" w:after="0"/>
        <w:jc w:val="left"/>
        <w:rPr>
          <w:rFonts w:ascii="Times New Roman" w:hAnsi="Times New Roman"/>
          <w:sz w:val="20"/>
        </w:rPr>
      </w:pPr>
      <w:r>
        <w:rPr>
          <w:rFonts w:ascii="Times New Roman" w:hAnsi="Times New Roman"/>
          <w:sz w:val="20"/>
        </w:rPr>
        <w:t xml:space="preserve">On December 12, 2019, the Company’s CEO purchased 1,018,181 shares of common stock at a purchase price of $0.14 per share, under the terms of a restricted common stock award granted under the 2019 Plan. These shares were purchased in exchange for a promissory note (the “Promissory Note”) of $0.1 million. </w:t>
      </w:r>
    </w:p>
    <w:p>
      <w:pPr>
        <w:pStyle w:val="TextBody"/>
        <w:bidi w:val="0"/>
        <w:spacing w:before="240" w:after="0"/>
        <w:jc w:val="left"/>
        <w:rPr>
          <w:rFonts w:ascii="Times New Roman" w:hAnsi="Times New Roman"/>
          <w:sz w:val="20"/>
        </w:rPr>
      </w:pPr>
      <w:r>
        <w:rPr>
          <w:rFonts w:ascii="Times New Roman" w:hAnsi="Times New Roman"/>
          <w:sz w:val="20"/>
        </w:rPr>
        <w:t xml:space="preserve">The Promissory Note accrued interest at a rate of 1.69% per annum, compounded annually. The Company has accounted for the Promissory Note as non-recourse in its entirety and has been considered a stock option for accounting purposes as the substance is similar to the grant of an option until the note is settled. The fair value of the common stock granted to the CEO in exchange for the Promissory Note is estimated on the grant date using the Black-Scholes option pricing model. The exercise price is the principal plus interest due on the Promissory Note. The total fair value of option was $0.1 million and the full amount was recognized through compensation cost over the service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December 1, 2025, the Company forgave the entire promissory note, including principal and accrued and unpaid interest. As a result, this is considered a modification to the original award, and the Company recognized the grant date fair value plus any incremental fair value due to the modification. The incremental cost was measured as the difference between the fair value of the award at the modification date and the fair value of the original award immediately prior to modification. As a result of accounting for the modification, the Company recorded an incremental stock-based compensation charge of $0.2 million, which was recognized on the modification (forgiveness) date. </w:t>
      </w:r>
    </w:p>
    <w:p>
      <w:pPr>
        <w:pStyle w:val="TextBody"/>
        <w:bidi w:val="0"/>
        <w:spacing w:before="240" w:after="0"/>
        <w:jc w:val="left"/>
        <w:rPr>
          <w:rFonts w:ascii="Times New Roman" w:hAnsi="Times New Roman"/>
          <w:sz w:val="20"/>
        </w:rPr>
      </w:pPr>
      <w:r>
        <w:rPr>
          <w:rFonts w:ascii="Times New Roman" w:hAnsi="Times New Roman"/>
          <w:sz w:val="20"/>
        </w:rPr>
        <w:t xml:space="preserve">The CEO was paid a one-time special bonus of $0.1 million to offset the CEO’s tax liability as a result of the forgiveness of the promissory note. This amount was recognized through general and administrative expenses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2025 and 2024, the Company recorded share-based compensation in the accompanying statements of operations and comprehensive loss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20"/>
        <w:gridCol w:w="268"/>
        <w:gridCol w:w="248"/>
        <w:gridCol w:w="678"/>
        <w:gridCol w:w="106"/>
        <w:gridCol w:w="443"/>
        <w:gridCol w:w="248"/>
        <w:gridCol w:w="680"/>
        <w:gridCol w:w="64"/>
      </w:tblGrid>
      <w:tr>
        <w:trPr/>
        <w:tc>
          <w:tcPr>
            <w:tcW w:w="502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403"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December 31,  </w:t>
            </w:r>
          </w:p>
        </w:tc>
        <w:tc>
          <w:tcPr>
            <w:tcW w:w="64" w:type="dxa"/>
            <w:tcBorders/>
            <w:vAlign w:val="bottom"/>
          </w:tcPr>
          <w:p>
            <w:pPr>
              <w:pStyle w:val="TableContents"/>
              <w:bidi w:val="0"/>
              <w:spacing w:before="0" w:after="283"/>
              <w:jc w:val="left"/>
              <w:rPr/>
            </w:pPr>
            <w:r>
              <w:rPr/>
              <w:t> </w:t>
            </w:r>
          </w:p>
        </w:tc>
      </w:tr>
      <w:tr>
        <w:trPr/>
        <w:tc>
          <w:tcPr>
            <w:tcW w:w="50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6"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68"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678" w:type="dxa"/>
            <w:tcBorders/>
            <w:shd w:fill="CCEEFF" w:val="clear"/>
            <w:vAlign w:val="bottom"/>
          </w:tcPr>
          <w:p>
            <w:pPr>
              <w:pStyle w:val="TableContents"/>
              <w:bidi w:val="0"/>
              <w:spacing w:before="0" w:after="283"/>
              <w:jc w:val="right"/>
              <w:rPr/>
            </w:pPr>
            <w:r>
              <w:rPr/>
              <w:t>237</w:t>
            </w:r>
          </w:p>
        </w:tc>
        <w:tc>
          <w:tcPr>
            <w:tcW w:w="106"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169</w:t>
            </w:r>
          </w:p>
        </w:tc>
        <w:tc>
          <w:tcPr>
            <w:tcW w:w="64" w:type="dxa"/>
            <w:tcBorders/>
            <w:shd w:fill="CCEEFF" w:val="clear"/>
            <w:vAlign w:val="bottom"/>
          </w:tcPr>
          <w:p>
            <w:pPr>
              <w:pStyle w:val="TableContents"/>
              <w:bidi w:val="0"/>
              <w:spacing w:before="0" w:after="283"/>
              <w:jc w:val="left"/>
              <w:rPr/>
            </w:pPr>
            <w:r>
              <w:rPr/>
              <w:t> </w:t>
            </w:r>
          </w:p>
        </w:tc>
      </w:tr>
      <w:tr>
        <w:trPr/>
        <w:tc>
          <w:tcPr>
            <w:tcW w:w="502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68"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pPr>
            <w:r>
              <w:rPr/>
              <w:t>499</w:t>
            </w:r>
          </w:p>
        </w:tc>
        <w:tc>
          <w:tcPr>
            <w:tcW w:w="106"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230</w:t>
            </w:r>
          </w:p>
        </w:tc>
        <w:tc>
          <w:tcPr>
            <w:tcW w:w="64" w:type="dxa"/>
            <w:tcBorders/>
            <w:vAlign w:val="bottom"/>
          </w:tcPr>
          <w:p>
            <w:pPr>
              <w:pStyle w:val="TableContents"/>
              <w:bidi w:val="0"/>
              <w:spacing w:before="0" w:after="283"/>
              <w:jc w:val="left"/>
              <w:rPr/>
            </w:pPr>
            <w:r>
              <w:rPr/>
              <w:t> </w:t>
            </w:r>
          </w:p>
        </w:tc>
      </w:tr>
      <w:tr>
        <w:trPr/>
        <w:tc>
          <w:tcPr>
            <w:tcW w:w="502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678" w:type="dxa"/>
            <w:tcBorders/>
            <w:vAlign w:val="bottom"/>
          </w:tcPr>
          <w:p>
            <w:pPr>
              <w:pStyle w:val="TableContents"/>
              <w:pBdr>
                <w:top w:val="single" w:sz="2" w:space="1" w:color="000000"/>
              </w:pBdr>
              <w:bidi w:val="0"/>
              <w:spacing w:before="0" w:after="0"/>
              <w:jc w:val="left"/>
              <w:rPr/>
            </w:pPr>
            <w:r>
              <w:rPr/>
              <w:t> </w:t>
            </w:r>
          </w:p>
        </w:tc>
        <w:tc>
          <w:tcPr>
            <w:tcW w:w="106"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268"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678" w:type="dxa"/>
            <w:tcBorders/>
            <w:shd w:fill="CCEEFF" w:val="clear"/>
            <w:vAlign w:val="bottom"/>
          </w:tcPr>
          <w:p>
            <w:pPr>
              <w:pStyle w:val="TableContents"/>
              <w:bidi w:val="0"/>
              <w:spacing w:before="0" w:after="283"/>
              <w:jc w:val="right"/>
              <w:rPr/>
            </w:pPr>
            <w:r>
              <w:rPr/>
              <w:t>736</w:t>
            </w:r>
          </w:p>
        </w:tc>
        <w:tc>
          <w:tcPr>
            <w:tcW w:w="106"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399</w:t>
            </w:r>
          </w:p>
        </w:tc>
        <w:tc>
          <w:tcPr>
            <w:tcW w:w="64" w:type="dxa"/>
            <w:tcBorders/>
            <w:shd w:fill="CCEEFF" w:val="clear"/>
            <w:vAlign w:val="bottom"/>
          </w:tcPr>
          <w:p>
            <w:pPr>
              <w:pStyle w:val="TableContents"/>
              <w:bidi w:val="0"/>
              <w:spacing w:before="0" w:after="283"/>
              <w:jc w:val="left"/>
              <w:rPr/>
            </w:pPr>
            <w:r>
              <w:rPr/>
              <w:t> </w:t>
            </w:r>
          </w:p>
        </w:tc>
      </w:tr>
      <w:tr>
        <w:trPr/>
        <w:tc>
          <w:tcPr>
            <w:tcW w:w="502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678" w:type="dxa"/>
            <w:tcBorders/>
            <w:vAlign w:val="bottom"/>
          </w:tcPr>
          <w:p>
            <w:pPr>
              <w:pStyle w:val="TableContents"/>
              <w:pBdr>
                <w:top w:val="double" w:sz="6" w:space="1" w:color="000000"/>
              </w:pBdr>
              <w:bidi w:val="0"/>
              <w:spacing w:before="0" w:after="0"/>
              <w:jc w:val="left"/>
              <w:rPr/>
            </w:pPr>
            <w:r>
              <w:rPr/>
              <w:t> </w:t>
            </w:r>
          </w:p>
        </w:tc>
        <w:tc>
          <w:tcPr>
            <w:tcW w:w="106"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there was $1.5 million of unrecognized share-based compensation expense for stock option awards that are expected to be recognized over a weighted average period of 3.1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had no federal or state income tax expense due to operating losses incurred for the years ended December 31, 2025 and 2024. The Company’s net loss for the years ended December 31, 2025 and December 31, 2024 was from its domestic operations.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income tax expense (benefit) to the amount computed by applying the statutory federal income tax rate to the pretax income is summarized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84"/>
        <w:gridCol w:w="138"/>
        <w:gridCol w:w="213"/>
        <w:gridCol w:w="1163"/>
        <w:gridCol w:w="236"/>
        <w:gridCol w:w="199"/>
        <w:gridCol w:w="91"/>
        <w:gridCol w:w="788"/>
        <w:gridCol w:w="350"/>
        <w:gridCol w:w="80"/>
        <w:gridCol w:w="213"/>
        <w:gridCol w:w="1162"/>
        <w:gridCol w:w="236"/>
        <w:gridCol w:w="199"/>
        <w:gridCol w:w="91"/>
        <w:gridCol w:w="788"/>
        <w:gridCol w:w="357"/>
      </w:tblGrid>
      <w:tr>
        <w:trPr/>
        <w:tc>
          <w:tcPr>
            <w:tcW w:w="308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08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6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5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6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57" w:type="dxa"/>
            <w:tcBorders/>
            <w:vAlign w:val="bottom"/>
          </w:tcPr>
          <w:p>
            <w:pPr>
              <w:pStyle w:val="TableContents"/>
              <w:bidi w:val="0"/>
              <w:spacing w:before="0" w:after="283"/>
              <w:jc w:val="left"/>
              <w:rPr/>
            </w:pPr>
            <w:r>
              <w:rPr/>
              <w:t> </w:t>
            </w:r>
          </w:p>
        </w:tc>
      </w:tr>
      <w:tr>
        <w:trPr/>
        <w:tc>
          <w:tcPr>
            <w:tcW w:w="308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690" w:type="dxa"/>
            <w:gridSpan w:val="6"/>
            <w:tcBorders/>
            <w:vAlign w:val="bottom"/>
          </w:tcPr>
          <w:p>
            <w:pPr>
              <w:pStyle w:val="TableContents"/>
              <w:bidi w:val="0"/>
              <w:spacing w:before="0" w:after="283"/>
              <w:jc w:val="center"/>
              <w:rPr>
                <w:b/>
              </w:rPr>
            </w:pPr>
            <w:r>
              <w:rPr>
                <w:b/>
              </w:rPr>
              <w:t>2025</w:t>
            </w:r>
          </w:p>
        </w:tc>
        <w:tc>
          <w:tcPr>
            <w:tcW w:w="35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689" w:type="dxa"/>
            <w:gridSpan w:val="6"/>
            <w:tcBorders/>
            <w:vAlign w:val="bottom"/>
          </w:tcPr>
          <w:p>
            <w:pPr>
              <w:pStyle w:val="TableContents"/>
              <w:bidi w:val="0"/>
              <w:spacing w:before="0" w:after="283"/>
              <w:jc w:val="center"/>
              <w:rPr>
                <w:b/>
              </w:rPr>
            </w:pPr>
            <w:r>
              <w:rPr>
                <w:b/>
              </w:rPr>
              <w:t>2024</w:t>
            </w:r>
          </w:p>
        </w:tc>
        <w:tc>
          <w:tcPr>
            <w:tcW w:w="357" w:type="dxa"/>
            <w:tcBorders/>
            <w:vAlign w:val="bottom"/>
          </w:tcPr>
          <w:p>
            <w:pPr>
              <w:pStyle w:val="TableContents"/>
              <w:bidi w:val="0"/>
              <w:spacing w:before="0" w:after="283"/>
              <w:jc w:val="left"/>
              <w:rPr/>
            </w:pPr>
            <w:r>
              <w:rPr/>
              <w:t> </w:t>
            </w:r>
          </w:p>
        </w:tc>
      </w:tr>
      <w:tr>
        <w:trPr/>
        <w:tc>
          <w:tcPr>
            <w:tcW w:w="308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pPr>
            <w:r>
              <w:rPr/>
              <w:t>Amount</w:t>
            </w:r>
          </w:p>
        </w:tc>
        <w:tc>
          <w:tcPr>
            <w:tcW w:w="23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t>Percent</w:t>
            </w:r>
          </w:p>
        </w:tc>
        <w:tc>
          <w:tcPr>
            <w:tcW w:w="35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pPr>
            <w:r>
              <w:rPr/>
              <w:t>Amount</w:t>
            </w:r>
          </w:p>
        </w:tc>
        <w:tc>
          <w:tcPr>
            <w:tcW w:w="23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t>Percent</w:t>
            </w:r>
          </w:p>
        </w:tc>
        <w:tc>
          <w:tcPr>
            <w:tcW w:w="357"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Pretax Loss</w:t>
            </w:r>
          </w:p>
        </w:tc>
        <w:tc>
          <w:tcPr>
            <w:tcW w:w="13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(16,025</w:t>
            </w:r>
          </w:p>
        </w:tc>
        <w:tc>
          <w:tcPr>
            <w:tcW w:w="23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(18,321</w:t>
            </w:r>
          </w:p>
        </w:tc>
        <w:tc>
          <w:tcPr>
            <w:tcW w:w="23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13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(3,366</w:t>
            </w:r>
          </w:p>
        </w:tc>
        <w:tc>
          <w:tcPr>
            <w:tcW w:w="23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21.0</w:t>
            </w:r>
          </w:p>
        </w:tc>
        <w:tc>
          <w:tcPr>
            <w:tcW w:w="35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(3,847</w:t>
            </w:r>
          </w:p>
        </w:tc>
        <w:tc>
          <w:tcPr>
            <w:tcW w:w="23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21.0</w:t>
            </w:r>
          </w:p>
        </w:tc>
        <w:tc>
          <w:tcPr>
            <w:tcW w:w="357"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 income taxes, net of federal benefit</w:t>
            </w:r>
          </w:p>
        </w:tc>
        <w:tc>
          <w:tcPr>
            <w:tcW w:w="13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0.0</w:t>
            </w:r>
          </w:p>
        </w:tc>
        <w:tc>
          <w:tcPr>
            <w:tcW w:w="35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0.0</w:t>
            </w:r>
          </w:p>
        </w:tc>
        <w:tc>
          <w:tcPr>
            <w:tcW w:w="357"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13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3,846</w:t>
            </w:r>
          </w:p>
        </w:tc>
        <w:tc>
          <w:tcPr>
            <w:tcW w:w="23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(24.0</w:t>
            </w:r>
          </w:p>
        </w:tc>
        <w:tc>
          <w:tcPr>
            <w:tcW w:w="35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4,330</w:t>
            </w:r>
          </w:p>
        </w:tc>
        <w:tc>
          <w:tcPr>
            <w:tcW w:w="23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(23.6</w:t>
            </w:r>
          </w:p>
        </w:tc>
        <w:tc>
          <w:tcPr>
            <w:tcW w:w="357"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13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88</w:t>
            </w:r>
          </w:p>
        </w:tc>
        <w:tc>
          <w:tcPr>
            <w:tcW w:w="23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(0.5</w:t>
            </w:r>
          </w:p>
        </w:tc>
        <w:tc>
          <w:tcPr>
            <w:tcW w:w="35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70</w:t>
            </w:r>
          </w:p>
        </w:tc>
        <w:tc>
          <w:tcPr>
            <w:tcW w:w="23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(0.4</w:t>
            </w:r>
          </w:p>
        </w:tc>
        <w:tc>
          <w:tcPr>
            <w:tcW w:w="357"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3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(568</w:t>
            </w:r>
          </w:p>
        </w:tc>
        <w:tc>
          <w:tcPr>
            <w:tcW w:w="23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3.5</w:t>
            </w:r>
          </w:p>
        </w:tc>
        <w:tc>
          <w:tcPr>
            <w:tcW w:w="35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(553</w:t>
            </w:r>
          </w:p>
        </w:tc>
        <w:tc>
          <w:tcPr>
            <w:tcW w:w="23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3.0</w:t>
            </w:r>
          </w:p>
        </w:tc>
        <w:tc>
          <w:tcPr>
            <w:tcW w:w="357" w:type="dxa"/>
            <w:tcBorders/>
            <w:vAlign w:val="bottom"/>
          </w:tcPr>
          <w:p>
            <w:pPr>
              <w:pStyle w:val="TableContents"/>
              <w:bidi w:val="0"/>
              <w:spacing w:before="0" w:after="283"/>
              <w:jc w:val="left"/>
              <w:rPr/>
            </w:pPr>
            <w:r>
              <w:rPr/>
              <w:t>% </w:t>
            </w:r>
          </w:p>
        </w:tc>
      </w:tr>
      <w:tr>
        <w:trPr/>
        <w:tc>
          <w:tcPr>
            <w:tcW w:w="308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0.0</w:t>
            </w:r>
          </w:p>
        </w:tc>
        <w:tc>
          <w:tcPr>
            <w:tcW w:w="35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0.0</w:t>
            </w:r>
          </w:p>
        </w:tc>
        <w:tc>
          <w:tcPr>
            <w:tcW w:w="357" w:type="dxa"/>
            <w:tcBorders/>
            <w:shd w:fill="CCEEFF" w:val="clear"/>
            <w:vAlign w:val="bottom"/>
          </w:tcPr>
          <w:p>
            <w:pPr>
              <w:pStyle w:val="TableContents"/>
              <w:bidi w:val="0"/>
              <w:spacing w:before="0" w:after="283"/>
              <w:jc w:val="left"/>
              <w:rPr/>
            </w:pPr>
            <w:r>
              <w:rPr/>
              <w:t>% </w:t>
            </w:r>
          </w:p>
        </w:tc>
      </w:tr>
      <w:tr>
        <w:trPr/>
        <w:tc>
          <w:tcPr>
            <w:tcW w:w="308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components of the Company’s deferred tax assets and liabilities are comprised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51"/>
        <w:gridCol w:w="150"/>
        <w:gridCol w:w="180"/>
        <w:gridCol w:w="976"/>
        <w:gridCol w:w="199"/>
        <w:gridCol w:w="181"/>
        <w:gridCol w:w="180"/>
        <w:gridCol w:w="979"/>
        <w:gridCol w:w="159"/>
      </w:tblGrid>
      <w:tr>
        <w:trPr/>
        <w:tc>
          <w:tcPr>
            <w:tcW w:w="4751"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9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w:t>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12,204</w:t>
            </w:r>
          </w:p>
        </w:tc>
        <w:tc>
          <w:tcPr>
            <w:tcW w:w="19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8,364</w:t>
            </w:r>
          </w:p>
        </w:tc>
        <w:tc>
          <w:tcPr>
            <w:tcW w:w="159"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IRC Section 174 Capitalization</w:t>
            </w:r>
          </w:p>
        </w:tc>
        <w:tc>
          <w:tcPr>
            <w:tcW w:w="1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3,926</w:t>
            </w:r>
          </w:p>
        </w:tc>
        <w:tc>
          <w:tcPr>
            <w:tcW w:w="19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4,557</w:t>
            </w:r>
          </w:p>
        </w:tc>
        <w:tc>
          <w:tcPr>
            <w:tcW w:w="159"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2,020</w:t>
            </w:r>
          </w:p>
        </w:tc>
        <w:tc>
          <w:tcPr>
            <w:tcW w:w="19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1,349</w:t>
            </w:r>
          </w:p>
        </w:tc>
        <w:tc>
          <w:tcPr>
            <w:tcW w:w="159"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1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251</w:t>
            </w:r>
          </w:p>
        </w:tc>
        <w:tc>
          <w:tcPr>
            <w:tcW w:w="19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245</w:t>
            </w:r>
          </w:p>
        </w:tc>
        <w:tc>
          <w:tcPr>
            <w:tcW w:w="159"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137</w:t>
            </w:r>
          </w:p>
        </w:tc>
        <w:tc>
          <w:tcPr>
            <w:tcW w:w="19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97</w:t>
            </w:r>
          </w:p>
        </w:tc>
        <w:tc>
          <w:tcPr>
            <w:tcW w:w="159"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118</w:t>
            </w:r>
          </w:p>
        </w:tc>
        <w:tc>
          <w:tcPr>
            <w:tcW w:w="19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40</w:t>
            </w:r>
          </w:p>
        </w:tc>
        <w:tc>
          <w:tcPr>
            <w:tcW w:w="159" w:type="dxa"/>
            <w:tcBorders/>
            <w:shd w:fill="CCEEFF" w:val="clear"/>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18,656</w:t>
            </w:r>
          </w:p>
        </w:tc>
        <w:tc>
          <w:tcPr>
            <w:tcW w:w="19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14,652</w:t>
            </w:r>
          </w:p>
        </w:tc>
        <w:tc>
          <w:tcPr>
            <w:tcW w:w="159"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(18,654</w:t>
            </w:r>
          </w:p>
        </w:tc>
        <w:tc>
          <w:tcPr>
            <w:tcW w:w="19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(14,651</w:t>
            </w:r>
          </w:p>
        </w:tc>
        <w:tc>
          <w:tcPr>
            <w:tcW w:w="159" w:type="dxa"/>
            <w:tcBorders/>
            <w:shd w:fill="CCEEFF" w:val="clear"/>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 net of valuation allowance</w:t>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2</w:t>
            </w:r>
          </w:p>
        </w:tc>
        <w:tc>
          <w:tcPr>
            <w:tcW w:w="19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(2</w:t>
            </w:r>
          </w:p>
        </w:tc>
        <w:tc>
          <w:tcPr>
            <w:tcW w:w="19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976" w:type="dxa"/>
            <w:tcBorders/>
            <w:shd w:fill="CCEEFF" w:val="clear"/>
            <w:vAlign w:val="bottom"/>
          </w:tcPr>
          <w:p>
            <w:pPr>
              <w:pStyle w:val="TableContents"/>
              <w:bidi w:val="0"/>
              <w:spacing w:before="0" w:after="283"/>
              <w:jc w:val="right"/>
              <w:rPr/>
            </w:pPr>
            <w:r>
              <w:rPr/>
              <w:t>(2</w:t>
            </w:r>
          </w:p>
        </w:tc>
        <w:tc>
          <w:tcPr>
            <w:tcW w:w="19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w:t>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199"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had federal net operating loss carryforwards of approximately $53.9 million and $35.8 million, respectively, which may be available to offset future income tax liabilities. The 2017 Tax Cuts and Jobs Act (“TCJA”) will generally allow losses incurred after 2017 to be carried over indefinitely but will generally limit the net operating loss deduction to the lesser of the net operating loss carryover or 80% of a corporation’s taxable income (subject to Section 382 of the Internal Revenue Code of 1986, as amended). Also, there are no carryback for losses incurred after 2017. All net operating loss carryforwards were generated after 2017.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has state net operating loss carryforwards of $13.8 million and $13.0 million as of December 31, 2025 and 2024, which will expire at various dates through 2045.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had federal research and development tax credit (“Federal R&amp;D Tax Credit”) carryforwards of $1.7 million and $1.1 million, respectively, available to reduce future tax liabilities, which will expire at various dates through 2045.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had state research and development credit (“State R&amp;D Tax Credit”) carryforwards of approximately $0.4 million and $0.3 million, respectively, available to reduce future tax liabilities, which will expire at various dates through 2033.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its ability to realize its deferred tax assets, which are comprised primarily of net operating loss carryforwards, the capitalization of research and experimental expenditures, and tax credits. Management has considered the Company’s history of cumulative net losses in the United States, estimated future taxable income and prudent and feasible tax planning strategies and has concluded that it is more likely than not that the Company will not realize the benefits of its U.S. federal and state deferred tax assets. Accordingly, a full valuation allowance of $18.7 million and $14.7 million has been established against these net deferred tax assets as of December 31, 2025, and 2024, respectively. The Company reevaluates the positive and negative evidence at each reporting period. The Company’s valuation allowance increased during 2025 by approximately $4.0 million, primarily due to the increase in net operating loss and tax credit carryforwards.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provision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 in the ownership interest of significant shareholders over a three-year period in excess of 50%, as defined under Section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 may further affect the limitation in future years. The Company has not yet completed a change in control analysis, as defined under Section 382 and 383 of the Internal Revenue Code, through December 31, 2025, and the Company has not determined whether the future utilization of net operating loss carryforwards may be materially limited based on past financings. In addition, the Company may complete future financings that could result in a change in control in the future which may limit the amount of tax attributes available to offset future tax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its uncertain tax positions under ASC 740-10, which requires that realization of an uncertain income tax position be recognized in the financial statements. The benefit to be recorded in the financial statements is the amount most likely to be realized assuming a review by tax authorities having all relevant information and applying current conventions. The Company concluded that there are no uncertain tax positions in any of the periods presented. 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legislation on its operations and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tax returns as prescribed by the tax laws of the jurisdictions in which it operates. In a normal course of business, the Company is subject to examination by U.S. federal and states. The Company’s tax years are still open since inception. To the extent that the Company has tax attribute carryforwards, the tax year in which the attributes were generated may still be adjusted upon examination by the U.S. Internal Revenue Services or state tax authorities to the extent utilized in a future period. The Company is not currently under examination by any tax authorities.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CEO Promissory Note </w:t>
      </w:r>
    </w:p>
    <w:p>
      <w:pPr>
        <w:pStyle w:val="TextBody"/>
        <w:bidi w:val="0"/>
        <w:spacing w:before="240" w:after="0"/>
        <w:jc w:val="left"/>
        <w:rPr>
          <w:rFonts w:ascii="Times New Roman" w:hAnsi="Times New Roman"/>
          <w:sz w:val="20"/>
        </w:rPr>
      </w:pPr>
      <w:r>
        <w:rPr>
          <w:rFonts w:ascii="Times New Roman" w:hAnsi="Times New Roman"/>
          <w:sz w:val="20"/>
        </w:rPr>
        <w:t xml:space="preserve">The Promissory Note entered into with the CEO was forgiven in December 2025 (see Note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established a defined contribution savings plan under Section 401(k) of the Internal Revenue Code. This plan covers all employees and allows participants to defer a portion of their annual compensation on a pre-tax basis. Company contributions to the plan may be made at the discretion of the Company’s Board. For the years ended December 31, 2025 and 2024, no contributions have been made to the plan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through April 15, 2026, the date these financial statements were issued, for events requiring recording or disclosure in the financial statements for the year ended December 31, 2025. Except as noted below, the Company concluded that no subsequent events have occurred that require disclosure.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2026 and after receipt of the requisite stockholder approval, the Company effected an automatic conversion of its Preferred Stock into Common Stock (the “Preferred Stock Conversion”). Immediately following the Preferred Stock Conversion, Faeth Holdings Therapeutics, Inc., a Delaware corporation (“Faeth HoldCo”) and the Company entered into a merger agreement (the “Pre-Closing Reorganization Merger Agreement”) to effect a merger, whereby (a) a wholly-owned subsidiary of Faeth HoldCo (“HoldCo Merger Sub”) merged with and into the Company, with the Company surviving the merger as a wholly-owned subsidiary of Faeth HoldCo (the “Pre-Closing Merger”) and (b) each share of Common Stock outstanding immediately prior to the effective time of the Pre-Closing Merger was cancelled and ceased to exist and the holder thereof received, for each share of Common Stock, one share of common stock, $0.0001 par value per share, of Faeth HoldCo (“HoldCo Common Stock”) (collectively, the “Pre-Closing Reorganization”). Immediately following the Pre-Closing Reorganization, the Company was converted into Faeth Therapeutics, LLC, a Delaware limited liability company (“Faeth Subsidiary”).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 by Sensei Bio and PIPE Financing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2026, Faeth HoldCo and Faeth Subsidiary (collectively, “Faeth”) were acquired by Sensei Bio. In accordance with the terms of the Merger Agreement, Faeth HoldCo merged with and into a wholly owned subsidiary of Sensei Bio, with Faeth HoldCo surviving the first merger as a wholly owned subsidiary of Sensei Bio. Immediately following the first merger, Faeth HoldCo merged with and into a wholly owned subsidiary of Sensei Bio with such wholly owned subsidiary surviving the second merger.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Acquisition, Sensei Bio issued the former stockholders of Faeth HoldCo 10,497.0980 shares of Series B Preferred Stock (representing 10,497,098 shares on an as-converted-to-common basis and without giving effect to any beneficial ownership limitations). The outstanding warrant to purchase shares of Faeth Subsidiary capital stock was converted into a warrant to purchase an aggregate of 2.1020 shares of Series B Preferred Stock, representing a warrant to purchase 2,102 shares of common stock on an as-converted-to-common basis and without giving effect to any beneficial ownership limitations. In addition, all outstanding options to purchase Faeth Subsidiary common stock were assumed by Sensei Bio and were converted into options to purchase an aggregate of 252,210 shares of its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Concurrently with the Acquisition on February 17, 2026, the newly combined company entered into the Purchase Agreement in connection with the PIPE Financing, pursuant to which certain investors agreed to purchase 14,440.395 shares of the Acquirer’s Series B Preferred Stock, for aggregate gross proceeds of $200.0 million before deducting offering expenses of approximately $17.2 million. The PIPE Financing closed on February 20, 2026.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receipt of stockholder approval of the Parent Stockholder Matters , each share of Series B Preferred Stock will automatically convert into 1,000 shares of Sensei Bio common stock, subject to certain beneficial ownership limitations established by each holder. As a result of the transactions, equity holders of Sensei Bio immediately prior to the acquisition owned approximately 4.9% of the common stock, equity holders of Faeth immediately prior to the Acquisition owned approximately 40.5% of the common stock and investors in the PIPE Financing owned approximately 54.6% of the common stock of Sensei Bio, in each case, calculated on a fully-diluted, as-converted-to-common basis (and without giving effect to any beneficial ownership limitations) using the treasury stock method and based on the implied equity values of Sensei Bio and Faeth.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Takeda Agreement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executed an amendment to the Takeda Agreement that removed the requirement to issue up to $15.0 million in equity upon the first dosing in a Phase 3 clinical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p>
    <w:p>
      <w:pPr>
        <w:pStyle w:val="TextBody"/>
        <w:bidi w:val="0"/>
        <w:spacing w:before="0" w:after="0"/>
        <w:jc w:val="right"/>
        <w:rPr>
          <w:rFonts w:ascii="Times New Roman" w:hAnsi="Times New Roman"/>
          <w:b/>
          <w:sz w:val="20"/>
        </w:rPr>
      </w:pPr>
      <w:bookmarkStart w:id="6" w:name="d40329dex994.htm"/>
      <w:bookmarkStart w:id="7" w:name="ksd40329dex994"/>
      <w:bookmarkEnd w:id="6"/>
      <w:bookmarkEnd w:id="7"/>
      <w:r>
        <w:rPr>
          <w:rFonts w:ascii="Times New Roman" w:hAnsi="Times New Roman"/>
          <w:b/>
          <w:sz w:val="20"/>
        </w:rPr>
        <w:t xml:space="preserve">Exhibit 99.4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SENSEI BIOTHERAPEUTICS,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2026, Sensei Biotherapeutics, Inc. (the “Company”) acquired Faeth Holdings Therapeutics, Inc. (“Faeth HoldCo”) and its wholly owned subsidiary Faeth Therapeutics, LLC (“Faeth Subsidiary” and, together with Faeth HoldCo, “Faeth Therapeutics” or “Faeth”) pursuant to an Agreement and Plan of Merger (the “Merger Agreement”), dated as of February 17, 2026, by and among the Company, its merger subsidiaries, Faeth HoldCo and Faeth Subsidiary (such transaction,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Company issued to the stockholders of Faeth an aggregate of 10,497.0980 shares of Series B Non-Voting Convertible Preferred Stock, par value $0.0001 per share (the “Series B Preferred Stock”), representing 10,497,098 shares of common stock of the Company, par value $0.0001 per share (“Common Stock”), on an as-converted-to-common basis and without giving effect to any beneficial ownership limitations. The outstanding warrant to purchase shares of Faeth Subsidiary capital stock was converted into a warrant to purchase an aggregate of 2.1020 shares of Series B Preferred Stock, representing a warrant to purchase 2,102 shares of Common Stock on an as-converted-to-common basis and without giving effect to any beneficial ownership limitations. In addition, all outstanding options to purchase Faeth Subsidiary common stock were assumed by the Company and were converted into options to purchase an aggregate of 252,210 shares of Common Stock (the “Assumed Options”). In connection with the Acquisition, stock options to purchase 6,338,670 shares of Faeth common stock, held by certain Faeth employees, were immediately exercised by the Faeth employees, of which 5,021,724 options had their vesting accelerated. Faeth HoldCo paid $14.8 million to cover tax liabilities created by such exercise of the options.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acquisition of Faeth Therapeutics, on February 17, 2026, the Company entered into a Securities Purchase Agreement (the “Purchase Agreement”) with new and returning investors to raise $200.0 million of gross proceeds in which investors were issued an aggregate of 14,440.395 shares of Series B Preferred Stock, or 14,440,395 on an as-converted-to-common basis and without giving effect to any beneficial ownership limitations, (the “PIPE Securities”) at a price of $13,850 per share, or $13.85 per share on an as-converted-to-common basis, (collectively, the “Financing”). The Financing closed on February 20, 2026.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receipt of stockholder approval of the Parent Stockholder Matters (as defined in the Merger Agreement), each share of Series B Preferred Stock will automatically convert into 1,000 shares of Common Stock, subject to certain beneficial ownership limitations established by each holder. As a result of the transactions, equityholders of the Company immediately prior to the acquisition owned approximately 4.9% of the Common Stock, equityholders of Faeth Therapeutics immediately prior to the acquisition owned approximately 40.6% of the Common Stock and investors in the Financing owned approximately 54.5% of the Common Stock, in each case, calculated on a fully-diluted, as-converted-to-common basis (and without giving effect to any beneficial ownership limitations) using the treasury stock method and based on the implied equity values of the Company and Faeth Therapeutics.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provided for illustrative purposes only, does not necessarily reflect what the actual consolidated results of operations and financial position would have been had the acquisition occurred on the dates assumed and may not be useful in predicting the future consolidated results of operations or financial position. The unaudited pro forma condensed combined financial information does not give effect to the potential impact of current financial conditions, regulatory matters, operating efficiencies or other savings or expenses that may result from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 preliminary accounting and estimates reflected in the unaudited pro forma condensed combined financial information and the final accounting and estimates may occur and these differences could have a material impact on the accompanying unaudited pro forma condensed combined financial information and the combined Company’s future results of operations and financial position.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Accounting rules require evaluation of certain assumptions, estimates, or determination of financial statement classifications. During preparation of the unaudited pro forma condensed combined financial information, management has performed a preliminary analysis and is not aware of any material differences, and accordingly, this unaudited pro forma condensed combined financial information assumes no material differences in accounting policies of the two companies. Following the Acquisition, management will conduct a final review of the Company’s accounting policies in order to determine if differences in accounting policies require adjustment or reclassification of Faeth’s results of operations or reclassification of assets or liabilities to conform to the Company’s accounting policies and classifications. As a result of this review, management may identify differences that, when conformed, could have a material impact on these unaudited pro forma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under the Securities Act of 1933, as amended (the “Securities Act”) and presents the combined historical consolidated financial position and consolidated results of operations of the Company and the historical combined financial position and results of operations of Faeth, adjusted to give effect to (i) the Acquisition and the Financing and (ii) the pro forma effects of certain assumptions and adjustments described in “Notes to the Unaudited Pro Forma Condensed Combined Financial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combined financial information is presented to illustrate the estimated effects of the Acquisition and Financing, based on the historical financial statements and accounting records of the Company and Faeth after giving effect to the Acquisition and Financing and the related pro forma adjustments as described in the notes included below.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combined statements of operations for the year ended December 31, 2025 combine the historical statements of operations of the Company and Faeth, giving effect to the Acquisition and Financing as if they had occurred on January 1, 2025. The unaudited pro forma condensed combined balance sheet data assumes that the Acquisition and Financing took place on December 31, 2025, and combines the historical balance sheets of the Company and Faeth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including the notes thereto, should be read in conjunction with the separate historical financial statements of the Company and Faeth, and the Company’s management’s discussion and analysis of financial condition and results of operations included in the Company’s Annual Report on Form 10-K for the year ended December 31, 2025, filed with the Securities and Exchange Commission (“SEC”) on March 30, 2026, and the Company’s Current Report on Form 8-K/A, filed with the SEC on April 14,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and related notes are based on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the Company and the related notes included in its Annual Report on Form 10-K as of and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Faeth and the related notes as of and for the year ended December 31, 2025 included in this Form 8-K/A;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Report on Form 8-K/A of the Company to which these unaudited pro forma condensed combined financial statements are attached as an exhibit.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2905" w:type="dxa"/>
        <w:jc w:val="center"/>
        <w:tblInd w:w="0" w:type="dxa"/>
        <w:tblLayout w:type="fixed"/>
        <w:tblCellMar>
          <w:top w:w="0" w:type="dxa"/>
          <w:left w:w="0" w:type="dxa"/>
          <w:bottom w:w="0" w:type="dxa"/>
          <w:right w:w="0" w:type="dxa"/>
        </w:tblCellMar>
      </w:tblPr>
      <w:tblGrid>
        <w:gridCol w:w="1250"/>
        <w:gridCol w:w="120"/>
        <w:gridCol w:w="292"/>
        <w:gridCol w:w="1828"/>
        <w:gridCol w:w="155"/>
        <w:gridCol w:w="60"/>
        <w:gridCol w:w="291"/>
        <w:gridCol w:w="1574"/>
        <w:gridCol w:w="155"/>
        <w:gridCol w:w="60"/>
        <w:gridCol w:w="369"/>
        <w:gridCol w:w="2111"/>
        <w:gridCol w:w="155"/>
        <w:gridCol w:w="60"/>
        <w:gridCol w:w="260"/>
        <w:gridCol w:w="870"/>
        <w:gridCol w:w="60"/>
        <w:gridCol w:w="120"/>
        <w:gridCol w:w="408"/>
        <w:gridCol w:w="2552"/>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 Sensei</w:t>
              <w:br/>
              <w:t>Biotherapeutics, 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 Faeth</w:t>
              <w:br/>
              <w:t>Therapeutics, 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 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br/>
              <w:t>References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Combined Sensei</w:t>
              <w:br/>
              <w:t>Biotherapeutics, Inc.</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25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1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5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25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8,668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574" w:type="dxa"/>
            <w:tcBorders/>
            <w:shd w:fill="CCEEFF" w:val="clear"/>
            <w:vAlign w:val="bottom"/>
          </w:tcPr>
          <w:p>
            <w:pPr>
              <w:pStyle w:val="TableContents"/>
              <w:bidi w:val="0"/>
              <w:spacing w:before="0" w:after="283"/>
              <w:jc w:val="right"/>
              <w:rPr/>
            </w:pPr>
            <w:r>
              <w:rPr/>
              <w:t>20,392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w:t>
            </w:r>
          </w:p>
        </w:tc>
        <w:tc>
          <w:tcPr>
            <w:tcW w:w="2111" w:type="dxa"/>
            <w:tcBorders/>
            <w:shd w:fill="CCEEFF" w:val="clear"/>
            <w:vAlign w:val="bottom"/>
          </w:tcPr>
          <w:p>
            <w:pPr>
              <w:pStyle w:val="TableContents"/>
              <w:bidi w:val="0"/>
              <w:spacing w:before="0" w:after="283"/>
              <w:jc w:val="right"/>
              <w:rPr/>
            </w:pPr>
            <w:r>
              <w:rPr/>
              <w:t>164,820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w:t>
            </w:r>
          </w:p>
        </w:tc>
        <w:tc>
          <w:tcPr>
            <w:tcW w:w="2552" w:type="dxa"/>
            <w:tcBorders/>
            <w:shd w:fill="CCEEFF" w:val="clear"/>
            <w:vAlign w:val="bottom"/>
          </w:tcPr>
          <w:p>
            <w:pPr>
              <w:pStyle w:val="TableContents"/>
              <w:bidi w:val="0"/>
              <w:spacing w:before="0" w:after="283"/>
              <w:jc w:val="right"/>
              <w:rPr/>
            </w:pPr>
            <w:r>
              <w:rPr/>
              <w:t>193,880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1,020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12,516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12,516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single" w:sz="2" w:space="1" w:color="000000"/>
              </w:pBdr>
              <w:bidi w:val="0"/>
              <w:spacing w:before="0" w:after="0"/>
              <w:jc w:val="left"/>
              <w:rPr/>
            </w:pPr>
            <w:r>
              <w:rPr/>
              <w:t> </w:t>
            </w:r>
          </w:p>
        </w:tc>
        <w:tc>
          <w:tcPr>
            <w:tcW w:w="2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2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21,507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21,181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bidi w:val="0"/>
              <w:spacing w:before="0" w:after="283"/>
              <w:jc w:val="right"/>
              <w:rPr/>
            </w:pPr>
            <w:r>
              <w:rPr/>
              <w:t>164,820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207,508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single" w:sz="2" w:space="1" w:color="000000"/>
              </w:pBdr>
              <w:bidi w:val="0"/>
              <w:spacing w:before="0" w:after="0"/>
              <w:jc w:val="left"/>
              <w:rPr/>
            </w:pPr>
            <w:r>
              <w:rPr/>
              <w:t> </w:t>
            </w:r>
          </w:p>
        </w:tc>
        <w:tc>
          <w:tcPr>
            <w:tcW w:w="2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2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assets—operating leases, net</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1,294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assets—financing leases, net</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noncurrent assets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single" w:sz="2" w:space="1" w:color="000000"/>
              </w:pBdr>
              <w:bidi w:val="0"/>
              <w:spacing w:before="0" w:after="0"/>
              <w:jc w:val="left"/>
              <w:rPr/>
            </w:pPr>
            <w:r>
              <w:rPr/>
              <w:t> </w:t>
            </w:r>
          </w:p>
        </w:tc>
        <w:tc>
          <w:tcPr>
            <w:tcW w:w="2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2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22,902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574" w:type="dxa"/>
            <w:tcBorders/>
            <w:vAlign w:val="bottom"/>
          </w:tcPr>
          <w:p>
            <w:pPr>
              <w:pStyle w:val="TableContents"/>
              <w:bidi w:val="0"/>
              <w:spacing w:before="0" w:after="283"/>
              <w:jc w:val="right"/>
              <w:rPr/>
            </w:pPr>
            <w:r>
              <w:rPr/>
              <w:t>21,274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w:t>
            </w:r>
          </w:p>
        </w:tc>
        <w:tc>
          <w:tcPr>
            <w:tcW w:w="2111" w:type="dxa"/>
            <w:tcBorders/>
            <w:vAlign w:val="bottom"/>
          </w:tcPr>
          <w:p>
            <w:pPr>
              <w:pStyle w:val="TableContents"/>
              <w:bidi w:val="0"/>
              <w:spacing w:before="0" w:after="283"/>
              <w:jc w:val="right"/>
              <w:rPr/>
            </w:pPr>
            <w:r>
              <w:rPr/>
              <w:t>164,820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w:t>
            </w:r>
          </w:p>
        </w:tc>
        <w:tc>
          <w:tcPr>
            <w:tcW w:w="2552" w:type="dxa"/>
            <w:tcBorders/>
            <w:vAlign w:val="bottom"/>
          </w:tcPr>
          <w:p>
            <w:pPr>
              <w:pStyle w:val="TableContents"/>
              <w:bidi w:val="0"/>
              <w:spacing w:before="0" w:after="283"/>
              <w:jc w:val="right"/>
              <w:rPr/>
            </w:pPr>
            <w:r>
              <w:rPr/>
              <w:t>208,996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5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double" w:sz="6" w:space="1" w:color="000000"/>
              </w:pBdr>
              <w:bidi w:val="0"/>
              <w:spacing w:before="0" w:after="0"/>
              <w:jc w:val="left"/>
              <w:rPr/>
            </w:pPr>
            <w:r>
              <w:rPr/>
              <w:t> </w:t>
            </w:r>
          </w:p>
        </w:tc>
        <w:tc>
          <w:tcPr>
            <w:tcW w:w="21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8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double" w:sz="6" w:space="1" w:color="000000"/>
              </w:pBdr>
              <w:bidi w:val="0"/>
              <w:spacing w:before="0" w:after="0"/>
              <w:jc w:val="left"/>
              <w:rPr/>
            </w:pPr>
            <w:r>
              <w:rPr/>
              <w:t> </w:t>
            </w:r>
          </w:p>
        </w:tc>
        <w:tc>
          <w:tcPr>
            <w:tcW w:w="25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25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18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5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25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1,481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574" w:type="dxa"/>
            <w:tcBorders/>
            <w:shd w:fill="CCEEFF" w:val="clear"/>
            <w:vAlign w:val="bottom"/>
          </w:tcPr>
          <w:p>
            <w:pPr>
              <w:pStyle w:val="TableContents"/>
              <w:bidi w:val="0"/>
              <w:spacing w:before="0" w:after="283"/>
              <w:jc w:val="right"/>
              <w:rPr/>
            </w:pPr>
            <w:r>
              <w:rPr/>
              <w:t>3,188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w:t>
            </w:r>
          </w:p>
        </w:tc>
        <w:tc>
          <w:tcPr>
            <w:tcW w:w="2552" w:type="dxa"/>
            <w:tcBorders/>
            <w:shd w:fill="CCEEFF" w:val="clear"/>
            <w:vAlign w:val="bottom"/>
          </w:tcPr>
          <w:p>
            <w:pPr>
              <w:pStyle w:val="TableContents"/>
              <w:bidi w:val="0"/>
              <w:spacing w:before="0" w:after="283"/>
              <w:jc w:val="right"/>
              <w:rPr/>
            </w:pPr>
            <w:r>
              <w:rPr/>
              <w:t>4,669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employee benefits liabilities</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1,320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1,320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1,370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1,370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Financing lease liabilities, current</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single" w:sz="2" w:space="1" w:color="000000"/>
              </w:pBdr>
              <w:bidi w:val="0"/>
              <w:spacing w:before="0" w:after="0"/>
              <w:jc w:val="left"/>
              <w:rPr/>
            </w:pPr>
            <w:r>
              <w:rPr/>
              <w:t> </w:t>
            </w:r>
          </w:p>
        </w:tc>
        <w:tc>
          <w:tcPr>
            <w:tcW w:w="2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2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4,251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3,188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7,439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single" w:sz="2" w:space="1" w:color="000000"/>
              </w:pBdr>
              <w:bidi w:val="0"/>
              <w:spacing w:before="0" w:after="0"/>
              <w:jc w:val="left"/>
              <w:rPr/>
            </w:pPr>
            <w:r>
              <w:rPr/>
              <w:t> </w:t>
            </w:r>
          </w:p>
        </w:tc>
        <w:tc>
          <w:tcPr>
            <w:tcW w:w="2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2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2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single" w:sz="2" w:space="1" w:color="000000"/>
              </w:pBdr>
              <w:bidi w:val="0"/>
              <w:spacing w:before="0" w:after="0"/>
              <w:jc w:val="left"/>
              <w:rPr/>
            </w:pPr>
            <w:r>
              <w:rPr/>
              <w:t> </w:t>
            </w:r>
          </w:p>
        </w:tc>
        <w:tc>
          <w:tcPr>
            <w:tcW w:w="2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2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4,310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574" w:type="dxa"/>
            <w:tcBorders/>
            <w:vAlign w:val="bottom"/>
          </w:tcPr>
          <w:p>
            <w:pPr>
              <w:pStyle w:val="TableContents"/>
              <w:bidi w:val="0"/>
              <w:spacing w:before="0" w:after="283"/>
              <w:jc w:val="right"/>
              <w:rPr/>
            </w:pPr>
            <w:r>
              <w:rPr/>
              <w:t>3,189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w:t>
            </w:r>
          </w:p>
        </w:tc>
        <w:tc>
          <w:tcPr>
            <w:tcW w:w="211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w:t>
            </w:r>
          </w:p>
        </w:tc>
        <w:tc>
          <w:tcPr>
            <w:tcW w:w="2552" w:type="dxa"/>
            <w:tcBorders/>
            <w:vAlign w:val="bottom"/>
          </w:tcPr>
          <w:p>
            <w:pPr>
              <w:pStyle w:val="TableContents"/>
              <w:bidi w:val="0"/>
              <w:spacing w:before="0" w:after="283"/>
              <w:jc w:val="right"/>
              <w:rPr/>
            </w:pPr>
            <w:r>
              <w:rPr/>
              <w:t>7,499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25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90,708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right"/>
              <w:rPr/>
            </w:pPr>
            <w:r>
              <w:rPr/>
              <w:t>237,490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328,198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8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25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b/>
              </w:rPr>
            </w:pPr>
            <w:r>
              <w:rPr>
                <w:b/>
              </w:rPr>
              <w:t>C</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301,728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5,046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2111" w:type="dxa"/>
            <w:tcBorders/>
            <w:shd w:fill="CCEEFF" w:val="clear"/>
            <w:vAlign w:val="bottom"/>
          </w:tcPr>
          <w:p>
            <w:pPr>
              <w:pStyle w:val="TableContents"/>
              <w:bidi w:val="0"/>
              <w:spacing w:before="0" w:after="283"/>
              <w:jc w:val="right"/>
              <w:rPr/>
            </w:pPr>
            <w:r>
              <w:rPr/>
              <w:t>(2,807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b/>
              </w:rPr>
            </w:pPr>
            <w:r>
              <w:rPr>
                <w:b/>
              </w:rPr>
              <w:t>C</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303,967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(283,137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(77,670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right"/>
              <w:rPr/>
            </w:pPr>
            <w:r>
              <w:rPr/>
              <w:t>(69,862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b/>
              </w:rPr>
            </w:pPr>
            <w:r>
              <w:rPr>
                <w:b/>
              </w:rPr>
              <w:t>C</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(430,669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sz w:val="4"/>
                <w:szCs w:val="4"/>
              </w:rPr>
            </w:pPr>
            <w:r>
              <w:rPr>
                <w:sz w:val="4"/>
                <w:szCs w:val="4"/>
              </w:rPr>
            </w:r>
          </w:p>
        </w:tc>
        <w:tc>
          <w:tcPr>
            <w:tcW w:w="2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55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single" w:sz="2" w:space="1" w:color="000000"/>
              </w:pBdr>
              <w:bidi w:val="0"/>
              <w:spacing w:before="0" w:after="0"/>
              <w:jc w:val="left"/>
              <w:rPr/>
            </w:pPr>
            <w:r>
              <w:rPr/>
              <w:t> </w:t>
            </w:r>
          </w:p>
        </w:tc>
        <w:tc>
          <w:tcPr>
            <w:tcW w:w="2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2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18,592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(72,623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283"/>
              <w:jc w:val="right"/>
              <w:rPr/>
            </w:pPr>
            <w:r>
              <w:rPr/>
              <w:t>(72,670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83"/>
              <w:jc w:val="right"/>
              <w:rPr/>
            </w:pPr>
            <w:r>
              <w:rPr/>
              <w:t>(126,701</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single" w:sz="2" w:space="1" w:color="000000"/>
              </w:pBdr>
              <w:bidi w:val="0"/>
              <w:spacing w:before="0" w:after="0"/>
              <w:jc w:val="left"/>
              <w:rPr/>
            </w:pPr>
            <w:r>
              <w:rPr/>
              <w:t> </w:t>
            </w:r>
          </w:p>
        </w:tc>
        <w:tc>
          <w:tcPr>
            <w:tcW w:w="2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2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22,902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574" w:type="dxa"/>
            <w:tcBorders/>
            <w:shd w:fill="CCEEFF" w:val="clear"/>
            <w:vAlign w:val="bottom"/>
          </w:tcPr>
          <w:p>
            <w:pPr>
              <w:pStyle w:val="TableContents"/>
              <w:bidi w:val="0"/>
              <w:spacing w:before="0" w:after="283"/>
              <w:jc w:val="right"/>
              <w:rPr/>
            </w:pPr>
            <w:r>
              <w:rPr/>
              <w:t>21,274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w:t>
            </w:r>
          </w:p>
        </w:tc>
        <w:tc>
          <w:tcPr>
            <w:tcW w:w="2111" w:type="dxa"/>
            <w:tcBorders/>
            <w:shd w:fill="CCEEFF" w:val="clear"/>
            <w:vAlign w:val="bottom"/>
          </w:tcPr>
          <w:p>
            <w:pPr>
              <w:pStyle w:val="TableContents"/>
              <w:bidi w:val="0"/>
              <w:spacing w:before="0" w:after="283"/>
              <w:jc w:val="right"/>
              <w:rPr/>
            </w:pPr>
            <w:r>
              <w:rPr/>
              <w:t>164,820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w:t>
            </w:r>
          </w:p>
        </w:tc>
        <w:tc>
          <w:tcPr>
            <w:tcW w:w="2552" w:type="dxa"/>
            <w:tcBorders/>
            <w:shd w:fill="CCEEFF" w:val="clear"/>
            <w:vAlign w:val="bottom"/>
          </w:tcPr>
          <w:p>
            <w:pPr>
              <w:pStyle w:val="TableContents"/>
              <w:bidi w:val="0"/>
              <w:spacing w:before="0" w:after="283"/>
              <w:jc w:val="right"/>
              <w:rPr/>
            </w:pPr>
            <w:r>
              <w:rPr/>
              <w:t>208,996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5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9" w:type="dxa"/>
            <w:tcBorders/>
            <w:vAlign w:val="bottom"/>
          </w:tcPr>
          <w:p>
            <w:pPr>
              <w:pStyle w:val="TableContents"/>
              <w:pBdr>
                <w:top w:val="double" w:sz="6" w:space="1" w:color="000000"/>
              </w:pBdr>
              <w:bidi w:val="0"/>
              <w:spacing w:before="0" w:after="0"/>
              <w:jc w:val="left"/>
              <w:rPr/>
            </w:pPr>
            <w:r>
              <w:rPr/>
              <w:t> </w:t>
            </w:r>
          </w:p>
        </w:tc>
        <w:tc>
          <w:tcPr>
            <w:tcW w:w="21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8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08" w:type="dxa"/>
            <w:tcBorders/>
            <w:vAlign w:val="bottom"/>
          </w:tcPr>
          <w:p>
            <w:pPr>
              <w:pStyle w:val="TableContents"/>
              <w:pBdr>
                <w:top w:val="double" w:sz="6" w:space="1" w:color="000000"/>
              </w:pBdr>
              <w:bidi w:val="0"/>
              <w:spacing w:before="0" w:after="0"/>
              <w:jc w:val="left"/>
              <w:rPr/>
            </w:pPr>
            <w:r>
              <w:rPr/>
              <w:t> </w:t>
            </w:r>
          </w:p>
        </w:tc>
        <w:tc>
          <w:tcPr>
            <w:tcW w:w="25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13160" w:type="dxa"/>
        <w:jc w:val="center"/>
        <w:tblInd w:w="0" w:type="dxa"/>
        <w:tblLayout w:type="fixed"/>
        <w:tblCellMar>
          <w:top w:w="0" w:type="dxa"/>
          <w:left w:w="0" w:type="dxa"/>
          <w:bottom w:w="0" w:type="dxa"/>
          <w:right w:w="0" w:type="dxa"/>
        </w:tblCellMar>
      </w:tblPr>
      <w:tblGrid>
        <w:gridCol w:w="1505"/>
        <w:gridCol w:w="120"/>
        <w:gridCol w:w="265"/>
        <w:gridCol w:w="1855"/>
        <w:gridCol w:w="155"/>
        <w:gridCol w:w="60"/>
        <w:gridCol w:w="291"/>
        <w:gridCol w:w="1574"/>
        <w:gridCol w:w="155"/>
        <w:gridCol w:w="60"/>
        <w:gridCol w:w="342"/>
        <w:gridCol w:w="2138"/>
        <w:gridCol w:w="155"/>
        <w:gridCol w:w="60"/>
        <w:gridCol w:w="260"/>
        <w:gridCol w:w="870"/>
        <w:gridCol w:w="60"/>
        <w:gridCol w:w="120"/>
        <w:gridCol w:w="370"/>
        <w:gridCol w:w="2590"/>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 Sensei</w:t>
              <w:br/>
              <w:t>Biotherapeutics, 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 Faeth</w:t>
              <w:br/>
              <w:t>Therapeutics, Inc.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 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br/>
              <w:t>References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Combined Sensei</w:t>
              <w:br/>
              <w:t>Biotherapeutics, Inc.</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18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1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25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855" w:type="dxa"/>
            <w:tcBorders/>
            <w:vAlign w:val="bottom"/>
          </w:tcPr>
          <w:p>
            <w:pPr>
              <w:pStyle w:val="TableContents"/>
              <w:bidi w:val="0"/>
              <w:spacing w:before="0" w:after="283"/>
              <w:jc w:val="right"/>
              <w:rPr/>
            </w:pPr>
            <w:r>
              <w:rPr/>
              <w:t>10,960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574" w:type="dxa"/>
            <w:tcBorders/>
            <w:vAlign w:val="bottom"/>
          </w:tcPr>
          <w:p>
            <w:pPr>
              <w:pStyle w:val="TableContents"/>
              <w:bidi w:val="0"/>
              <w:spacing w:before="0" w:after="283"/>
              <w:jc w:val="right"/>
              <w:rPr/>
            </w:pPr>
            <w:r>
              <w:rPr/>
              <w:t>11,981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w:t>
            </w:r>
          </w:p>
        </w:tc>
        <w:tc>
          <w:tcPr>
            <w:tcW w:w="2138" w:type="dxa"/>
            <w:tcBorders/>
            <w:vAlign w:val="bottom"/>
          </w:tcPr>
          <w:p>
            <w:pPr>
              <w:pStyle w:val="TableContents"/>
              <w:bidi w:val="0"/>
              <w:spacing w:before="0" w:after="283"/>
              <w:jc w:val="right"/>
              <w:rPr/>
            </w:pPr>
            <w:r>
              <w:rPr/>
              <w:t>13,823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center"/>
              <w:rPr>
                <w:b/>
              </w:rPr>
            </w:pPr>
            <w:r>
              <w:rPr>
                <w:b/>
              </w:rPr>
              <w:t>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w:t>
            </w:r>
          </w:p>
        </w:tc>
        <w:tc>
          <w:tcPr>
            <w:tcW w:w="2590" w:type="dxa"/>
            <w:tcBorders/>
            <w:vAlign w:val="bottom"/>
          </w:tcPr>
          <w:p>
            <w:pPr>
              <w:pStyle w:val="TableContents"/>
              <w:bidi w:val="0"/>
              <w:spacing w:before="0" w:after="283"/>
              <w:jc w:val="right"/>
              <w:rPr/>
            </w:pPr>
            <w:r>
              <w:rPr/>
              <w:t>36,764</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11,328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4,334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138" w:type="dxa"/>
            <w:tcBorders/>
            <w:shd w:fill="CCEEFF" w:val="clear"/>
            <w:vAlign w:val="bottom"/>
          </w:tcPr>
          <w:p>
            <w:pPr>
              <w:pStyle w:val="TableContents"/>
              <w:bidi w:val="0"/>
              <w:spacing w:before="0" w:after="283"/>
              <w:jc w:val="right"/>
              <w:rPr/>
            </w:pPr>
            <w:r>
              <w:rPr/>
              <w:t>18,181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center"/>
              <w:rPr>
                <w:b/>
              </w:rPr>
            </w:pPr>
            <w:r>
              <w:rPr>
                <w:b/>
              </w:rPr>
              <w:t>E</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590" w:type="dxa"/>
            <w:tcBorders/>
            <w:shd w:fill="CCEEFF" w:val="clear"/>
            <w:vAlign w:val="bottom"/>
          </w:tcPr>
          <w:p>
            <w:pPr>
              <w:pStyle w:val="TableContents"/>
              <w:bidi w:val="0"/>
              <w:spacing w:before="0" w:after="283"/>
              <w:jc w:val="right"/>
              <w:rPr/>
            </w:pPr>
            <w:r>
              <w:rPr/>
              <w:t>33,843</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138" w:type="dxa"/>
            <w:tcBorders/>
            <w:vAlign w:val="bottom"/>
          </w:tcPr>
          <w:p>
            <w:pPr>
              <w:pStyle w:val="TableContents"/>
              <w:bidi w:val="0"/>
              <w:spacing w:before="0" w:after="283"/>
              <w:jc w:val="right"/>
              <w:rPr/>
            </w:pPr>
            <w:r>
              <w:rPr/>
              <w:t>129,537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center"/>
              <w:rPr>
                <w:b/>
              </w:rPr>
            </w:pPr>
            <w:r>
              <w:rPr>
                <w:b/>
              </w:rPr>
              <w:t>F</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590" w:type="dxa"/>
            <w:tcBorders/>
            <w:vAlign w:val="bottom"/>
          </w:tcPr>
          <w:p>
            <w:pPr>
              <w:pStyle w:val="TableContents"/>
              <w:bidi w:val="0"/>
              <w:spacing w:before="0" w:after="283"/>
              <w:jc w:val="right"/>
              <w:rPr/>
            </w:pPr>
            <w:r>
              <w:rPr/>
              <w:t>129,537</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21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single" w:sz="2" w:space="1" w:color="000000"/>
              </w:pBdr>
              <w:bidi w:val="0"/>
              <w:spacing w:before="0" w:after="0"/>
              <w:jc w:val="left"/>
              <w:rPr/>
            </w:pPr>
            <w:r>
              <w:rPr/>
              <w:t> </w:t>
            </w:r>
          </w:p>
        </w:tc>
        <w:tc>
          <w:tcPr>
            <w:tcW w:w="2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22,288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16,315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138" w:type="dxa"/>
            <w:tcBorders/>
            <w:shd w:fill="CCEEFF" w:val="clear"/>
            <w:vAlign w:val="bottom"/>
          </w:tcPr>
          <w:p>
            <w:pPr>
              <w:pStyle w:val="TableContents"/>
              <w:bidi w:val="0"/>
              <w:spacing w:before="0" w:after="283"/>
              <w:jc w:val="right"/>
              <w:rPr/>
            </w:pPr>
            <w:r>
              <w:rPr/>
              <w:t>161,541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590" w:type="dxa"/>
            <w:tcBorders/>
            <w:shd w:fill="CCEEFF" w:val="clear"/>
            <w:vAlign w:val="bottom"/>
          </w:tcPr>
          <w:p>
            <w:pPr>
              <w:pStyle w:val="TableContents"/>
              <w:bidi w:val="0"/>
              <w:spacing w:before="0" w:after="283"/>
              <w:jc w:val="right"/>
              <w:rPr/>
            </w:pPr>
            <w:r>
              <w:rPr/>
              <w:t>200,144</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21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single" w:sz="2" w:space="1" w:color="000000"/>
              </w:pBdr>
              <w:bidi w:val="0"/>
              <w:spacing w:before="0" w:after="0"/>
              <w:jc w:val="left"/>
              <w:rPr/>
            </w:pPr>
            <w:r>
              <w:rPr/>
              <w:t> </w:t>
            </w:r>
          </w:p>
        </w:tc>
        <w:tc>
          <w:tcPr>
            <w:tcW w:w="2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855" w:type="dxa"/>
            <w:tcBorders/>
            <w:vAlign w:val="bottom"/>
          </w:tcPr>
          <w:p>
            <w:pPr>
              <w:pStyle w:val="TableContents"/>
              <w:bidi w:val="0"/>
              <w:spacing w:before="0" w:after="283"/>
              <w:jc w:val="right"/>
              <w:rPr/>
            </w:pPr>
            <w:r>
              <w:rPr/>
              <w:t>(22,288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574" w:type="dxa"/>
            <w:tcBorders/>
            <w:vAlign w:val="bottom"/>
          </w:tcPr>
          <w:p>
            <w:pPr>
              <w:pStyle w:val="TableContents"/>
              <w:bidi w:val="0"/>
              <w:spacing w:before="0" w:after="283"/>
              <w:jc w:val="right"/>
              <w:rPr/>
            </w:pPr>
            <w:r>
              <w:rPr/>
              <w:t>(16,315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w:t>
            </w:r>
          </w:p>
        </w:tc>
        <w:tc>
          <w:tcPr>
            <w:tcW w:w="2138" w:type="dxa"/>
            <w:tcBorders/>
            <w:vAlign w:val="bottom"/>
          </w:tcPr>
          <w:p>
            <w:pPr>
              <w:pStyle w:val="TableContents"/>
              <w:bidi w:val="0"/>
              <w:spacing w:before="0" w:after="283"/>
              <w:jc w:val="right"/>
              <w:rPr/>
            </w:pPr>
            <w:r>
              <w:rPr/>
              <w:t>(161,541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w:t>
            </w:r>
          </w:p>
        </w:tc>
        <w:tc>
          <w:tcPr>
            <w:tcW w:w="2590" w:type="dxa"/>
            <w:tcBorders/>
            <w:vAlign w:val="bottom"/>
          </w:tcPr>
          <w:p>
            <w:pPr>
              <w:pStyle w:val="TableContents"/>
              <w:bidi w:val="0"/>
              <w:spacing w:before="0" w:after="283"/>
              <w:jc w:val="right"/>
              <w:rPr/>
            </w:pPr>
            <w:r>
              <w:rPr/>
              <w:t>(200,144</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21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single" w:sz="2" w:space="1" w:color="000000"/>
              </w:pBdr>
              <w:bidi w:val="0"/>
              <w:spacing w:before="0" w:after="0"/>
              <w:jc w:val="left"/>
              <w:rPr/>
            </w:pPr>
            <w:r>
              <w:rPr/>
              <w:t> </w:t>
            </w:r>
          </w:p>
        </w:tc>
        <w:tc>
          <w:tcPr>
            <w:tcW w:w="2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18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1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25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1,239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362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13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590" w:type="dxa"/>
            <w:tcBorders/>
            <w:vAlign w:val="bottom"/>
          </w:tcPr>
          <w:p>
            <w:pPr>
              <w:pStyle w:val="TableContents"/>
              <w:bidi w:val="0"/>
              <w:spacing w:before="0" w:after="283"/>
              <w:jc w:val="right"/>
              <w:rPr/>
            </w:pPr>
            <w:r>
              <w:rPr/>
              <w:t>1,601</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13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59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13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590"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21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single" w:sz="2" w:space="1" w:color="000000"/>
              </w:pBdr>
              <w:bidi w:val="0"/>
              <w:spacing w:before="0" w:after="0"/>
              <w:jc w:val="left"/>
              <w:rPr/>
            </w:pPr>
            <w:r>
              <w:rPr/>
              <w:t> </w:t>
            </w:r>
          </w:p>
        </w:tc>
        <w:tc>
          <w:tcPr>
            <w:tcW w:w="2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1,203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290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1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590" w:type="dxa"/>
            <w:tcBorders/>
            <w:shd w:fill="CCEEFF" w:val="clear"/>
            <w:vAlign w:val="bottom"/>
          </w:tcPr>
          <w:p>
            <w:pPr>
              <w:pStyle w:val="TableContents"/>
              <w:bidi w:val="0"/>
              <w:spacing w:before="0" w:after="283"/>
              <w:jc w:val="right"/>
              <w:rPr/>
            </w:pPr>
            <w:r>
              <w:rPr/>
              <w:t>1,493</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21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single" w:sz="2" w:space="1" w:color="000000"/>
              </w:pBdr>
              <w:bidi w:val="0"/>
              <w:spacing w:before="0" w:after="0"/>
              <w:jc w:val="left"/>
              <w:rPr/>
            </w:pPr>
            <w:r>
              <w:rPr/>
              <w:t> </w:t>
            </w:r>
          </w:p>
        </w:tc>
        <w:tc>
          <w:tcPr>
            <w:tcW w:w="2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855" w:type="dxa"/>
            <w:tcBorders/>
            <w:vAlign w:val="bottom"/>
          </w:tcPr>
          <w:p>
            <w:pPr>
              <w:pStyle w:val="TableContents"/>
              <w:bidi w:val="0"/>
              <w:spacing w:before="0" w:after="283"/>
              <w:jc w:val="right"/>
              <w:rPr/>
            </w:pPr>
            <w:r>
              <w:rPr/>
              <w:t>(21,085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574" w:type="dxa"/>
            <w:tcBorders/>
            <w:vAlign w:val="bottom"/>
          </w:tcPr>
          <w:p>
            <w:pPr>
              <w:pStyle w:val="TableContents"/>
              <w:bidi w:val="0"/>
              <w:spacing w:before="0" w:after="283"/>
              <w:jc w:val="right"/>
              <w:rPr/>
            </w:pPr>
            <w:r>
              <w:rPr/>
              <w:t>(16,025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w:t>
            </w:r>
          </w:p>
        </w:tc>
        <w:tc>
          <w:tcPr>
            <w:tcW w:w="2138" w:type="dxa"/>
            <w:tcBorders/>
            <w:vAlign w:val="bottom"/>
          </w:tcPr>
          <w:p>
            <w:pPr>
              <w:pStyle w:val="TableContents"/>
              <w:bidi w:val="0"/>
              <w:spacing w:before="0" w:after="283"/>
              <w:jc w:val="right"/>
              <w:rPr/>
            </w:pPr>
            <w:r>
              <w:rPr/>
              <w:t>(161,541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w:t>
            </w:r>
          </w:p>
        </w:tc>
        <w:tc>
          <w:tcPr>
            <w:tcW w:w="2590" w:type="dxa"/>
            <w:tcBorders/>
            <w:vAlign w:val="bottom"/>
          </w:tcPr>
          <w:p>
            <w:pPr>
              <w:pStyle w:val="TableContents"/>
              <w:bidi w:val="0"/>
              <w:spacing w:before="0" w:after="283"/>
              <w:jc w:val="right"/>
              <w:rPr/>
            </w:pPr>
            <w:r>
              <w:rPr/>
              <w:t>(198,651</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8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5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double" w:sz="6" w:space="1" w:color="000000"/>
              </w:pBdr>
              <w:bidi w:val="0"/>
              <w:spacing w:before="0" w:after="0"/>
              <w:jc w:val="left"/>
              <w:rPr/>
            </w:pPr>
            <w:r>
              <w:rPr/>
              <w:t> </w:t>
            </w:r>
          </w:p>
        </w:tc>
        <w:tc>
          <w:tcPr>
            <w:tcW w:w="21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8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double" w:sz="6" w:space="1" w:color="000000"/>
              </w:pBdr>
              <w:bidi w:val="0"/>
              <w:spacing w:before="0" w:after="0"/>
              <w:jc w:val="left"/>
              <w:rPr/>
            </w:pPr>
            <w:r>
              <w:rPr/>
              <w:t> </w:t>
            </w:r>
          </w:p>
        </w:tc>
        <w:tc>
          <w:tcPr>
            <w:tcW w:w="2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share—basic and diluted</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1855" w:type="dxa"/>
            <w:tcBorders/>
            <w:shd w:fill="CCEEFF" w:val="clear"/>
            <w:vAlign w:val="bottom"/>
          </w:tcPr>
          <w:p>
            <w:pPr>
              <w:pStyle w:val="TableContents"/>
              <w:bidi w:val="0"/>
              <w:spacing w:before="0" w:after="283"/>
              <w:jc w:val="right"/>
              <w:rPr/>
            </w:pPr>
            <w:r>
              <w:rPr/>
              <w:t>(16.72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1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w:t>
            </w:r>
          </w:p>
        </w:tc>
        <w:tc>
          <w:tcPr>
            <w:tcW w:w="2590" w:type="dxa"/>
            <w:tcBorders/>
            <w:shd w:fill="CCEEFF" w:val="clear"/>
            <w:vAlign w:val="bottom"/>
          </w:tcPr>
          <w:p>
            <w:pPr>
              <w:pStyle w:val="TableContents"/>
              <w:bidi w:val="0"/>
              <w:spacing w:before="0" w:after="283"/>
              <w:jc w:val="right"/>
              <w:rPr/>
            </w:pPr>
            <w:r>
              <w:rPr/>
              <w:t>(157.56</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8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5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sz w:val="4"/>
                <w:szCs w:val="4"/>
              </w:rPr>
            </w:pPr>
            <w:r>
              <w:rPr>
                <w:sz w:val="4"/>
                <w:szCs w:val="4"/>
              </w:rPr>
            </w:r>
          </w:p>
        </w:tc>
        <w:tc>
          <w:tcPr>
            <w:tcW w:w="21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double" w:sz="6" w:space="1" w:color="000000"/>
              </w:pBdr>
              <w:bidi w:val="0"/>
              <w:spacing w:before="0" w:after="0"/>
              <w:jc w:val="left"/>
              <w:rPr/>
            </w:pPr>
            <w:r>
              <w:rPr/>
              <w:t> </w:t>
            </w:r>
          </w:p>
        </w:tc>
        <w:tc>
          <w:tcPr>
            <w:tcW w:w="2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stock outstanding—basic and diluted</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855" w:type="dxa"/>
            <w:tcBorders/>
            <w:vAlign w:val="bottom"/>
          </w:tcPr>
          <w:p>
            <w:pPr>
              <w:pStyle w:val="TableContents"/>
              <w:bidi w:val="0"/>
              <w:spacing w:before="0" w:after="283"/>
              <w:jc w:val="right"/>
              <w:rPr/>
            </w:pPr>
            <w:r>
              <w:rPr/>
              <w:t>1,260,772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5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sz w:val="4"/>
                <w:szCs w:val="4"/>
              </w:rPr>
            </w:pPr>
            <w:r>
              <w:rPr>
                <w:sz w:val="4"/>
                <w:szCs w:val="4"/>
              </w:rPr>
            </w:r>
          </w:p>
        </w:tc>
        <w:tc>
          <w:tcPr>
            <w:tcW w:w="21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w:t>
            </w:r>
          </w:p>
        </w:tc>
        <w:tc>
          <w:tcPr>
            <w:tcW w:w="2590" w:type="dxa"/>
            <w:tcBorders/>
            <w:vAlign w:val="bottom"/>
          </w:tcPr>
          <w:p>
            <w:pPr>
              <w:pStyle w:val="TableContents"/>
              <w:bidi w:val="0"/>
              <w:spacing w:before="0" w:after="283"/>
              <w:jc w:val="right"/>
              <w:rPr/>
            </w:pPr>
            <w:r>
              <w:rPr/>
              <w:t>1,260,772</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8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5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sz w:val="4"/>
                <w:szCs w:val="4"/>
              </w:rPr>
            </w:pPr>
            <w:r>
              <w:rPr>
                <w:sz w:val="4"/>
                <w:szCs w:val="4"/>
              </w:rPr>
            </w:r>
          </w:p>
        </w:tc>
        <w:tc>
          <w:tcPr>
            <w:tcW w:w="21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double" w:sz="6" w:space="1" w:color="000000"/>
              </w:pBdr>
              <w:bidi w:val="0"/>
              <w:spacing w:before="0" w:after="0"/>
              <w:jc w:val="left"/>
              <w:rPr/>
            </w:pPr>
            <w:r>
              <w:rPr/>
              <w:t> </w:t>
            </w:r>
          </w:p>
        </w:tc>
        <w:tc>
          <w:tcPr>
            <w:tcW w:w="2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18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1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25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855" w:type="dxa"/>
            <w:tcBorders/>
            <w:vAlign w:val="bottom"/>
          </w:tcPr>
          <w:p>
            <w:pPr>
              <w:pStyle w:val="TableContents"/>
              <w:bidi w:val="0"/>
              <w:spacing w:before="0" w:after="283"/>
              <w:jc w:val="right"/>
              <w:rPr/>
            </w:pPr>
            <w:r>
              <w:rPr/>
              <w:t>(21,085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574" w:type="dxa"/>
            <w:tcBorders/>
            <w:vAlign w:val="bottom"/>
          </w:tcPr>
          <w:p>
            <w:pPr>
              <w:pStyle w:val="TableContents"/>
              <w:bidi w:val="0"/>
              <w:spacing w:before="0" w:after="283"/>
              <w:jc w:val="right"/>
              <w:rPr/>
            </w:pPr>
            <w:r>
              <w:rPr/>
              <w:t>(16,025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w:t>
            </w:r>
          </w:p>
        </w:tc>
        <w:tc>
          <w:tcPr>
            <w:tcW w:w="2138" w:type="dxa"/>
            <w:tcBorders/>
            <w:vAlign w:val="bottom"/>
          </w:tcPr>
          <w:p>
            <w:pPr>
              <w:pStyle w:val="TableContents"/>
              <w:bidi w:val="0"/>
              <w:spacing w:before="0" w:after="283"/>
              <w:jc w:val="right"/>
              <w:rPr/>
            </w:pPr>
            <w:r>
              <w:rPr/>
              <w:t>(161,541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w:t>
            </w:r>
          </w:p>
        </w:tc>
        <w:tc>
          <w:tcPr>
            <w:tcW w:w="2590" w:type="dxa"/>
            <w:tcBorders/>
            <w:vAlign w:val="bottom"/>
          </w:tcPr>
          <w:p>
            <w:pPr>
              <w:pStyle w:val="TableContents"/>
              <w:bidi w:val="0"/>
              <w:spacing w:before="0" w:after="283"/>
              <w:jc w:val="right"/>
              <w:rPr/>
            </w:pPr>
            <w:r>
              <w:rPr/>
              <w:t>(198,651</w:t>
            </w:r>
          </w:p>
        </w:tc>
        <w:tc>
          <w:tcPr>
            <w:tcW w:w="155"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items:</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18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21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sz w:val="4"/>
                <w:szCs w:val="4"/>
              </w:rPr>
            </w:pPr>
            <w:r>
              <w:rPr>
                <w:sz w:val="4"/>
                <w:szCs w:val="4"/>
              </w:rPr>
            </w:r>
          </w:p>
        </w:tc>
        <w:tc>
          <w:tcPr>
            <w:tcW w:w="25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13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590"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21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single" w:sz="2" w:space="1" w:color="000000"/>
              </w:pBdr>
              <w:bidi w:val="0"/>
              <w:spacing w:before="0" w:after="0"/>
              <w:jc w:val="left"/>
              <w:rPr/>
            </w:pPr>
            <w:r>
              <w:rPr/>
              <w:t> </w:t>
            </w:r>
          </w:p>
        </w:tc>
        <w:tc>
          <w:tcPr>
            <w:tcW w:w="2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w:t>
            </w:r>
          </w:p>
        </w:tc>
        <w:tc>
          <w:tcPr>
            <w:tcW w:w="12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55"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13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590"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8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21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8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single" w:sz="2" w:space="1" w:color="000000"/>
              </w:pBdr>
              <w:bidi w:val="0"/>
              <w:spacing w:before="0" w:after="0"/>
              <w:jc w:val="left"/>
              <w:rPr/>
            </w:pPr>
            <w:r>
              <w:rPr/>
              <w:t> </w:t>
            </w:r>
          </w:p>
        </w:tc>
        <w:tc>
          <w:tcPr>
            <w:tcW w:w="25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855" w:type="dxa"/>
            <w:tcBorders/>
            <w:vAlign w:val="bottom"/>
          </w:tcPr>
          <w:p>
            <w:pPr>
              <w:pStyle w:val="TableContents"/>
              <w:bidi w:val="0"/>
              <w:spacing w:before="0" w:after="283"/>
              <w:jc w:val="right"/>
              <w:rPr/>
            </w:pPr>
            <w:r>
              <w:rPr/>
              <w:t>(21,071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574" w:type="dxa"/>
            <w:tcBorders/>
            <w:vAlign w:val="bottom"/>
          </w:tcPr>
          <w:p>
            <w:pPr>
              <w:pStyle w:val="TableContents"/>
              <w:bidi w:val="0"/>
              <w:spacing w:before="0" w:after="283"/>
              <w:jc w:val="right"/>
              <w:rPr/>
            </w:pPr>
            <w:r>
              <w:rPr/>
              <w:t>(16,025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w:t>
            </w:r>
          </w:p>
        </w:tc>
        <w:tc>
          <w:tcPr>
            <w:tcW w:w="2138" w:type="dxa"/>
            <w:tcBorders/>
            <w:vAlign w:val="bottom"/>
          </w:tcPr>
          <w:p>
            <w:pPr>
              <w:pStyle w:val="TableContents"/>
              <w:bidi w:val="0"/>
              <w:spacing w:before="0" w:after="283"/>
              <w:jc w:val="right"/>
              <w:rPr/>
            </w:pPr>
            <w:r>
              <w:rPr/>
              <w:t>(161,541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w:t>
            </w:r>
          </w:p>
        </w:tc>
        <w:tc>
          <w:tcPr>
            <w:tcW w:w="2590" w:type="dxa"/>
            <w:tcBorders/>
            <w:vAlign w:val="bottom"/>
          </w:tcPr>
          <w:p>
            <w:pPr>
              <w:pStyle w:val="TableContents"/>
              <w:bidi w:val="0"/>
              <w:spacing w:before="0" w:after="283"/>
              <w:jc w:val="right"/>
              <w:rPr/>
            </w:pPr>
            <w:r>
              <w:rPr/>
              <w:t>(198,637</w:t>
            </w:r>
          </w:p>
        </w:tc>
        <w:tc>
          <w:tcPr>
            <w:tcW w:w="155"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8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5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double" w:sz="6" w:space="1" w:color="000000"/>
              </w:pBdr>
              <w:bidi w:val="0"/>
              <w:spacing w:before="0" w:after="0"/>
              <w:jc w:val="left"/>
              <w:rPr/>
            </w:pPr>
            <w:r>
              <w:rPr/>
              <w:t> </w:t>
            </w:r>
          </w:p>
        </w:tc>
        <w:tc>
          <w:tcPr>
            <w:tcW w:w="21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8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 w:type="dxa"/>
            <w:tcBorders/>
            <w:vAlign w:val="bottom"/>
          </w:tcPr>
          <w:p>
            <w:pPr>
              <w:pStyle w:val="TableContents"/>
              <w:pBdr>
                <w:top w:val="double" w:sz="6" w:space="1" w:color="000000"/>
              </w:pBdr>
              <w:bidi w:val="0"/>
              <w:spacing w:before="0" w:after="0"/>
              <w:jc w:val="left"/>
              <w:rPr/>
            </w:pPr>
            <w:r>
              <w:rPr/>
              <w:t> </w:t>
            </w:r>
          </w:p>
        </w:tc>
        <w:tc>
          <w:tcPr>
            <w:tcW w:w="25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SENSEI BIOTHERAPEUTICS,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 1. Basis of presentation </w:t>
      </w:r>
    </w:p>
    <w:p>
      <w:pPr>
        <w:pStyle w:val="TextBody"/>
        <w:bidi w:val="0"/>
        <w:spacing w:before="120" w:after="0"/>
        <w:jc w:val="left"/>
        <w:rPr>
          <w:rFonts w:ascii="Times New Roman" w:hAnsi="Times New Roman"/>
          <w:b/>
          <w:sz w:val="20"/>
        </w:rPr>
      </w:pPr>
      <w:r>
        <w:rPr>
          <w:rFonts w:ascii="Times New Roman" w:hAnsi="Times New Roman"/>
          <w:b/>
          <w:sz w:val="20"/>
        </w:rPr>
        <w:t xml:space="preserve">Description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2026, the Company acquired Faeth through the Acquisition. Upon consummation of the Acquisition, the Company issued to the stockholders of Faeth HoldCo an aggregate of 10,497.0980 shares of Series B Preferred Stock, each share of which is convertible into 1,000 shares of Common Stock, subject to stockholder approval of the Parent Stockholder Matters and beneficial ownership limitations. Pursuant to the terms of the Merger Agreement, each option to purchase Faeth Subsidiary common stock was assumed by the Company and was converted into an option, as applicable, to purchase Common Stock and the warrant to purchase Faeth Subsidiary common stock was converted into a warrant to purchase Series B Preferred Stock. Once exercisable, the Assumed Options will be exercisable for an aggregate of 252,210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2026, the Company entered into the Purchase Agreement with new and returning investors, pursuant to which the Company agreed to sell an aggregate of 14,440.395 shares of Series B Preferred Stock for an aggregate cash purchase price of approximately $200.0 million. Each share of Series B Preferred Stock is convertible into 1,000 shares of Common Stock, subject to stockholder approval of the Parent Stockholder Matters and beneficial ownership limitations. The closing of the Financing occurred on February 20, 2026.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Company has agreed to hold a stockholders’ meeting to submit the following matters to its stockholders for their consideration, among other matters: (i) the approval of the conversion of shares of Series B Preferred Stock into shares of Common Stock in accordance with the rules of the Nasdaq Stock Market LLC, (ii) the approval of a “change of control” under Nasdaq Listing Rules 5110 and 5635(b), and (iii) the amendment of the Company’s certificate of incorporation to authorize an increase of up to 300,000,000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was preliminarily prepared with the Acquisition being accounted for as an asset acquisition with the Company as the accounting acquirer. Upon completion of the Acquisition and Financing, the Company obtained control of Faeth’s assets, consisting primarily of cash and in-process research and development (“IPR&amp;D”). </w:t>
      </w:r>
    </w:p>
    <w:p>
      <w:pPr>
        <w:pStyle w:val="TextBody"/>
        <w:bidi w:val="0"/>
        <w:spacing w:before="240" w:after="0"/>
        <w:jc w:val="left"/>
        <w:rPr>
          <w:rFonts w:ascii="Times New Roman" w:hAnsi="Times New Roman"/>
          <w:sz w:val="20"/>
        </w:rPr>
      </w:pPr>
      <w:r>
        <w:rPr>
          <w:rFonts w:ascii="Times New Roman" w:hAnsi="Times New Roman"/>
          <w:sz w:val="20"/>
        </w:rPr>
        <w:t>In accordance with Accounting Standards Codification Topic 805, </w:t>
      </w:r>
      <w:r>
        <w:rPr>
          <w:rFonts w:ascii="Times New Roman" w:hAnsi="Times New Roman"/>
          <w:i/>
          <w:sz w:val="20"/>
        </w:rPr>
        <w:t>Business Combinations</w:t>
      </w:r>
      <w:r>
        <w:rPr>
          <w:rFonts w:ascii="Times New Roman" w:hAnsi="Times New Roman"/>
          <w:sz w:val="20"/>
        </w:rPr>
        <w:t xml:space="preserve"> (“ASC 805”), under the asset acquisition method of accounting, the assets acquired and liabilities assumed are recognized and measured at fair value and no goodwill is recorded or recognized. Acquired IPR&amp;D that has no future alternative use is expensed at the time of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have been prepared based on the Company’s and Faeth’s historical financial information, giving effect to the acquisition and related adjustments described in these notes to show how the acquisition might have affected the historical financial statements if it had been completed on January 1, 2025 for the purposes of the unaudited pro forma condensed combined statements of operations, and as of December 31, 2025, for purposes of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reflecting the consummation of the Acquisition and the Financing are based on certain currently available information and certain assumptions and methodologies that the Company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Acquisition based on information available to management at this time and that the pro forma adjustments give appropriate effect to those assumptions and are properly applied in the unaudited pro forma condensed combined financial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anticipated synergies, operating efficiencies, tax savings, or other savings or expenses that may be associated with the integration of the two companies and does not purport to represent the actual results of operations that the Company and Faeth would have achieved had the companies been combined during the periods presented and is not intended to project the future results of operations that the combined company may achieve after the Acquisition.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2. Estimated consideration and preliminary purchase price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estimated fair value of the consideration transferred of $147.6 million is summarized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7"/>
        <w:gridCol w:w="353"/>
        <w:gridCol w:w="140"/>
        <w:gridCol w:w="817"/>
        <w:gridCol w:w="62"/>
      </w:tblGrid>
      <w:tr>
        <w:trPr/>
        <w:tc>
          <w:tcPr>
            <w:tcW w:w="5567"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Options (1)</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2,239</w:t>
            </w:r>
          </w:p>
        </w:tc>
        <w:tc>
          <w:tcPr>
            <w:tcW w:w="62" w:type="dxa"/>
            <w:tcBorders/>
            <w:shd w:fill="CCEEFF" w:val="clear"/>
            <w:vAlign w:val="bottom"/>
          </w:tcPr>
          <w:p>
            <w:pPr>
              <w:pStyle w:val="TableContents"/>
              <w:bidi w:val="0"/>
              <w:spacing w:before="0" w:after="283"/>
              <w:jc w:val="left"/>
              <w:rPr/>
            </w:pPr>
            <w:r>
              <w:rPr/>
              <w:t> </w:t>
            </w:r>
          </w:p>
        </w:tc>
      </w:tr>
      <w:tr>
        <w:trPr/>
        <w:tc>
          <w:tcPr>
            <w:tcW w:w="5567" w:type="dxa"/>
            <w:tcBorders/>
          </w:tcPr>
          <w:p>
            <w:pPr>
              <w:pStyle w:val="TableContents"/>
              <w:bidi w:val="0"/>
              <w:spacing w:before="0" w:after="0"/>
              <w:jc w:val="left"/>
              <w:rPr>
                <w:rFonts w:ascii="Times New Roman" w:hAnsi="Times New Roman"/>
                <w:sz w:val="20"/>
              </w:rPr>
            </w:pPr>
            <w:r>
              <w:rPr>
                <w:rFonts w:ascii="Times New Roman" w:hAnsi="Times New Roman"/>
                <w:sz w:val="20"/>
              </w:rPr>
              <w:t>Series B Preferred Stock (2)</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145,384</w:t>
            </w:r>
          </w:p>
        </w:tc>
        <w:tc>
          <w:tcPr>
            <w:tcW w:w="62" w:type="dxa"/>
            <w:tcBorders/>
            <w:vAlign w:val="bottom"/>
          </w:tcPr>
          <w:p>
            <w:pPr>
              <w:pStyle w:val="TableContents"/>
              <w:bidi w:val="0"/>
              <w:spacing w:before="0" w:after="283"/>
              <w:jc w:val="left"/>
              <w:rPr/>
            </w:pPr>
            <w:r>
              <w:rPr/>
              <w:t> </w:t>
            </w:r>
          </w:p>
        </w:tc>
      </w:tr>
      <w:tr>
        <w:trPr/>
        <w:tc>
          <w:tcPr>
            <w:tcW w:w="5567"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consideration transferred</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147,623</w:t>
            </w:r>
          </w:p>
        </w:tc>
        <w:tc>
          <w:tcPr>
            <w:tcW w:w="62" w:type="dxa"/>
            <w:tcBorders/>
            <w:shd w:fill="CCEEFF" w:val="clear"/>
            <w:vAlign w:val="bottom"/>
          </w:tcPr>
          <w:p>
            <w:pPr>
              <w:pStyle w:val="TableContents"/>
              <w:bidi w:val="0"/>
              <w:spacing w:before="0" w:after="283"/>
              <w:jc w:val="left"/>
              <w:rPr/>
            </w:pPr>
            <w:r>
              <w:rPr/>
              <w:t> </w:t>
            </w:r>
          </w:p>
        </w:tc>
      </w:tr>
      <w:tr>
        <w:trPr/>
        <w:tc>
          <w:tcPr>
            <w:tcW w:w="5567"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509"/>
        <w:gridCol w:w="6431"/>
        <w:gridCol w:w="1633"/>
      </w:tblGrid>
      <w:tr>
        <w:trPr/>
        <w:tc>
          <w:tcPr>
            <w:tcW w:w="163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64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portion of the acquisition date fair-value based measure of the Assumed Options that relates to the pre-combination service period. </w:t>
            </w:r>
          </w:p>
        </w:tc>
        <w:tc>
          <w:tcPr>
            <w:tcW w:w="163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632"/>
        <w:gridCol w:w="509"/>
        <w:gridCol w:w="6431"/>
        <w:gridCol w:w="1633"/>
      </w:tblGrid>
      <w:tr>
        <w:trPr/>
        <w:tc>
          <w:tcPr>
            <w:tcW w:w="163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64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the consideration transferred was measured using the price per share the investors paid as part of the Financing. </w:t>
            </w:r>
          </w:p>
        </w:tc>
        <w:tc>
          <w:tcPr>
            <w:tcW w:w="163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allocation of the estimated fair value of the consideration transferred to the net assets acquired and is based on the Faeth balance sheet as of December 31,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7"/>
        <w:gridCol w:w="353"/>
        <w:gridCol w:w="140"/>
        <w:gridCol w:w="817"/>
        <w:gridCol w:w="62"/>
      </w:tblGrid>
      <w:tr>
        <w:trPr/>
        <w:tc>
          <w:tcPr>
            <w:tcW w:w="5567"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 acquired:</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56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20,392</w:t>
            </w:r>
          </w:p>
        </w:tc>
        <w:tc>
          <w:tcPr>
            <w:tcW w:w="62" w:type="dxa"/>
            <w:tcBorders/>
            <w:vAlign w:val="bottom"/>
          </w:tcPr>
          <w:p>
            <w:pPr>
              <w:pStyle w:val="TableContents"/>
              <w:bidi w:val="0"/>
              <w:spacing w:before="0" w:after="283"/>
              <w:jc w:val="left"/>
              <w:rPr/>
            </w:pPr>
            <w:r>
              <w:rPr/>
              <w:t> </w:t>
            </w:r>
          </w:p>
        </w:tc>
      </w:tr>
      <w:tr>
        <w:trPr/>
        <w:tc>
          <w:tcPr>
            <w:tcW w:w="5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w:t>
            </w:r>
          </w:p>
        </w:tc>
        <w:tc>
          <w:tcPr>
            <w:tcW w:w="62" w:type="dxa"/>
            <w:tcBorders/>
            <w:shd w:fill="CCEEFF" w:val="clear"/>
            <w:vAlign w:val="bottom"/>
          </w:tcPr>
          <w:p>
            <w:pPr>
              <w:pStyle w:val="TableContents"/>
              <w:bidi w:val="0"/>
              <w:spacing w:before="0" w:after="283"/>
              <w:jc w:val="left"/>
              <w:rPr/>
            </w:pPr>
            <w:r>
              <w:rPr/>
              <w:t> </w:t>
            </w:r>
          </w:p>
        </w:tc>
      </w:tr>
      <w:tr>
        <w:trPr/>
        <w:tc>
          <w:tcPr>
            <w:tcW w:w="556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872</w:t>
            </w:r>
          </w:p>
        </w:tc>
        <w:tc>
          <w:tcPr>
            <w:tcW w:w="62" w:type="dxa"/>
            <w:tcBorders/>
            <w:vAlign w:val="bottom"/>
          </w:tcPr>
          <w:p>
            <w:pPr>
              <w:pStyle w:val="TableContents"/>
              <w:bidi w:val="0"/>
              <w:spacing w:before="0" w:after="283"/>
              <w:jc w:val="left"/>
              <w:rPr/>
            </w:pPr>
            <w:r>
              <w:rPr/>
              <w:t> </w:t>
            </w:r>
          </w:p>
        </w:tc>
      </w:tr>
      <w:tr>
        <w:trPr/>
        <w:tc>
          <w:tcPr>
            <w:tcW w:w="5567"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 acquired</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21,274</w:t>
            </w:r>
          </w:p>
        </w:tc>
        <w:tc>
          <w:tcPr>
            <w:tcW w:w="62" w:type="dxa"/>
            <w:tcBorders/>
            <w:shd w:fill="CCEEFF" w:val="clear"/>
            <w:vAlign w:val="bottom"/>
          </w:tcPr>
          <w:p>
            <w:pPr>
              <w:pStyle w:val="TableContents"/>
              <w:bidi w:val="0"/>
              <w:spacing w:before="0" w:after="283"/>
              <w:jc w:val="left"/>
              <w:rPr/>
            </w:pPr>
            <w:r>
              <w:rPr/>
              <w:t> </w:t>
            </w:r>
          </w:p>
        </w:tc>
      </w:tr>
      <w:tr>
        <w:trPr/>
        <w:tc>
          <w:tcPr>
            <w:tcW w:w="5567"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assumed:</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744</w:t>
            </w:r>
          </w:p>
        </w:tc>
        <w:tc>
          <w:tcPr>
            <w:tcW w:w="62" w:type="dxa"/>
            <w:tcBorders/>
            <w:shd w:fill="CCEEFF" w:val="clear"/>
            <w:vAlign w:val="bottom"/>
          </w:tcPr>
          <w:p>
            <w:pPr>
              <w:pStyle w:val="TableContents"/>
              <w:bidi w:val="0"/>
              <w:spacing w:before="0" w:after="283"/>
              <w:jc w:val="left"/>
              <w:rPr/>
            </w:pPr>
            <w:r>
              <w:rPr/>
              <w:t> </w:t>
            </w:r>
          </w:p>
        </w:tc>
      </w:tr>
      <w:tr>
        <w:trPr/>
        <w:tc>
          <w:tcPr>
            <w:tcW w:w="556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2,444</w:t>
            </w:r>
          </w:p>
        </w:tc>
        <w:tc>
          <w:tcPr>
            <w:tcW w:w="62" w:type="dxa"/>
            <w:tcBorders/>
            <w:vAlign w:val="bottom"/>
          </w:tcPr>
          <w:p>
            <w:pPr>
              <w:pStyle w:val="TableContents"/>
              <w:bidi w:val="0"/>
              <w:spacing w:before="0" w:after="283"/>
              <w:jc w:val="left"/>
              <w:rPr/>
            </w:pPr>
            <w:r>
              <w:rPr/>
              <w:t> </w:t>
            </w:r>
          </w:p>
        </w:tc>
      </w:tr>
      <w:tr>
        <w:trPr/>
        <w:tc>
          <w:tcPr>
            <w:tcW w:w="5567"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assumed</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3,188</w:t>
            </w:r>
          </w:p>
        </w:tc>
        <w:tc>
          <w:tcPr>
            <w:tcW w:w="62" w:type="dxa"/>
            <w:tcBorders/>
            <w:shd w:fill="CCEEFF" w:val="clear"/>
            <w:vAlign w:val="bottom"/>
          </w:tcPr>
          <w:p>
            <w:pPr>
              <w:pStyle w:val="TableContents"/>
              <w:bidi w:val="0"/>
              <w:spacing w:before="0" w:after="283"/>
              <w:jc w:val="left"/>
              <w:rPr/>
            </w:pPr>
            <w:r>
              <w:rPr/>
              <w:t> </w:t>
            </w:r>
          </w:p>
        </w:tc>
      </w:tr>
      <w:tr>
        <w:trPr/>
        <w:tc>
          <w:tcPr>
            <w:tcW w:w="5567"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67" w:type="dxa"/>
            <w:tcBorders/>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18,086</w:t>
            </w:r>
          </w:p>
        </w:tc>
        <w:tc>
          <w:tcPr>
            <w:tcW w:w="62" w:type="dxa"/>
            <w:tcBorders/>
            <w:vAlign w:val="bottom"/>
          </w:tcPr>
          <w:p>
            <w:pPr>
              <w:pStyle w:val="TableContents"/>
              <w:bidi w:val="0"/>
              <w:spacing w:before="0" w:after="283"/>
              <w:jc w:val="left"/>
              <w:rPr/>
            </w:pPr>
            <w:r>
              <w:rPr/>
              <w:t> </w:t>
            </w:r>
          </w:p>
        </w:tc>
      </w:tr>
      <w:tr>
        <w:trPr/>
        <w:tc>
          <w:tcPr>
            <w:tcW w:w="5567"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In-process research and development</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129,537</w:t>
            </w:r>
          </w:p>
        </w:tc>
        <w:tc>
          <w:tcPr>
            <w:tcW w:w="62" w:type="dxa"/>
            <w:tcBorders/>
            <w:shd w:fill="CCEEFF" w:val="clear"/>
            <w:vAlign w:val="bottom"/>
          </w:tcPr>
          <w:p>
            <w:pPr>
              <w:pStyle w:val="TableContents"/>
              <w:bidi w:val="0"/>
              <w:spacing w:before="0" w:after="283"/>
              <w:jc w:val="left"/>
              <w:rPr/>
            </w:pPr>
            <w:r>
              <w:rPr/>
              <w:t> </w:t>
            </w:r>
          </w:p>
        </w:tc>
      </w:tr>
      <w:tr>
        <w:trPr/>
        <w:tc>
          <w:tcPr>
            <w:tcW w:w="5567"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67" w:type="dxa"/>
            <w:tcBorders/>
          </w:tcPr>
          <w:p>
            <w:pPr>
              <w:pStyle w:val="TableContents"/>
              <w:bidi w:val="0"/>
              <w:spacing w:before="0" w:after="0"/>
              <w:jc w:val="left"/>
              <w:rPr>
                <w:rFonts w:ascii="Times New Roman" w:hAnsi="Times New Roman"/>
                <w:sz w:val="20"/>
              </w:rPr>
            </w:pPr>
            <w:r>
              <w:rPr>
                <w:rFonts w:ascii="Times New Roman" w:hAnsi="Times New Roman"/>
                <w:sz w:val="20"/>
              </w:rPr>
              <w:t>Total consideration transferred</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147,623</w:t>
            </w:r>
          </w:p>
        </w:tc>
        <w:tc>
          <w:tcPr>
            <w:tcW w:w="62" w:type="dxa"/>
            <w:tcBorders/>
            <w:vAlign w:val="bottom"/>
          </w:tcPr>
          <w:p>
            <w:pPr>
              <w:pStyle w:val="TableContents"/>
              <w:bidi w:val="0"/>
              <w:spacing w:before="0" w:after="283"/>
              <w:jc w:val="left"/>
              <w:rPr/>
            </w:pPr>
            <w:r>
              <w:rPr/>
              <w:t> </w:t>
            </w:r>
          </w:p>
        </w:tc>
      </w:tr>
      <w:tr>
        <w:trPr/>
        <w:tc>
          <w:tcPr>
            <w:tcW w:w="5567"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Transaction accounting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Adjustments included in the column under the heading “Transaction Accounting Adjustments” are primarily based on information contained within the Merger Agreement. Further analysis will be performed after the completion of the Acquisition to confirm these estimates or make adjustments in the final purchase price allocation, as necessary. The transaction adjustments included in the unaudited pro forma condensed combined financial statements are as follows: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recording of (i) gross proceeds from the Financing and the payment of transaction costs associated with the asset acquisition of Faeth and the Financing and (ii) the cash paid to settle the tax liability associated with the accelerated option exercises (in thousands):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66"/>
        <w:gridCol w:w="358"/>
        <w:gridCol w:w="148"/>
        <w:gridCol w:w="807"/>
        <w:gridCol w:w="160"/>
      </w:tblGrid>
      <w:tr>
        <w:trPr/>
        <w:tc>
          <w:tcPr>
            <w:tcW w:w="546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 from Financing</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200,000</w:t>
            </w:r>
          </w:p>
        </w:tc>
        <w:tc>
          <w:tcPr>
            <w:tcW w:w="160" w:type="dxa"/>
            <w:tcBorders/>
            <w:shd w:fill="CCEEFF" w:val="clear"/>
            <w:vAlign w:val="bottom"/>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sz w:val="20"/>
              </w:rPr>
            </w:pPr>
            <w:r>
              <w:rPr>
                <w:rFonts w:ascii="Times New Roman" w:hAnsi="Times New Roman"/>
                <w:sz w:val="20"/>
              </w:rPr>
              <w:t>Payment of cash transaction costs</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(20,364</w:t>
            </w:r>
          </w:p>
        </w:tc>
        <w:tc>
          <w:tcPr>
            <w:tcW w:w="160" w:type="dxa"/>
            <w:tcBorders/>
            <w:vAlign w:val="bottom"/>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gross-up payments</w:t>
            </w:r>
          </w:p>
        </w:tc>
        <w:tc>
          <w:tcPr>
            <w:tcW w:w="3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(14,816</w:t>
            </w:r>
          </w:p>
        </w:tc>
        <w:tc>
          <w:tcPr>
            <w:tcW w:w="160" w:type="dxa"/>
            <w:tcBorders/>
            <w:shd w:fill="CCEEFF" w:val="clear"/>
            <w:vAlign w:val="bottom"/>
          </w:tcPr>
          <w:p>
            <w:pPr>
              <w:pStyle w:val="TableContents"/>
              <w:bidi w:val="0"/>
              <w:spacing w:before="0" w:after="283"/>
              <w:jc w:val="left"/>
              <w:rPr/>
            </w:pPr>
            <w:r>
              <w:rPr/>
              <w:t>) </w:t>
            </w:r>
          </w:p>
        </w:tc>
      </w:tr>
      <w:tr>
        <w:trPr/>
        <w:tc>
          <w:tcPr>
            <w:tcW w:w="54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w:t>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164,820</w:t>
            </w:r>
          </w:p>
        </w:tc>
        <w:tc>
          <w:tcPr>
            <w:tcW w:w="160" w:type="dxa"/>
            <w:tcBorders/>
            <w:vAlign w:val="bottom"/>
          </w:tcPr>
          <w:p>
            <w:pPr>
              <w:pStyle w:val="TableContents"/>
              <w:bidi w:val="0"/>
              <w:spacing w:before="0" w:after="283"/>
              <w:jc w:val="left"/>
              <w:rPr/>
            </w:pPr>
            <w:r>
              <w:rPr/>
              <w:t> </w:t>
            </w:r>
          </w:p>
        </w:tc>
      </w:tr>
      <w:tr>
        <w:trPr/>
        <w:tc>
          <w:tcPr>
            <w:tcW w:w="54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recording of the (i) elimination of Faeth historical redeemable convertible preferred stock balance, (ii) issuance of 10,497 of the Company’s shares of Series B Preferred Stock to Faeth stockholders, and (iii) issuance of 14,440 of the Company’s shares of Series B Preferred Stock as a result of the Financing, which resulted in net cash proceeds of $182.8 million (in thousands, except share amounts):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04"/>
        <w:gridCol w:w="239"/>
        <w:gridCol w:w="60"/>
        <w:gridCol w:w="1257"/>
        <w:gridCol w:w="155"/>
        <w:gridCol w:w="186"/>
        <w:gridCol w:w="145"/>
        <w:gridCol w:w="849"/>
        <w:gridCol w:w="160"/>
      </w:tblGrid>
      <w:tr>
        <w:trPr/>
        <w:tc>
          <w:tcPr>
            <w:tcW w:w="4704"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0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6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 Preferred Stock</w:t>
            </w:r>
          </w:p>
        </w:tc>
        <w:tc>
          <w:tcPr>
            <w:tcW w:w="160" w:type="dxa"/>
            <w:tcBorders/>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Faeth’s historical redeemable convertible preferred stock</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(41,564,510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(90,708</w:t>
            </w:r>
          </w:p>
        </w:tc>
        <w:tc>
          <w:tcPr>
            <w:tcW w:w="160" w:type="dxa"/>
            <w:tcBorders/>
            <w:shd w:fill="CCEEFF" w:val="clear"/>
            <w:vAlign w:val="bottom"/>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B Preferred Stock to Faeth’s stockholders</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10,497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145,384</w:t>
            </w:r>
          </w:p>
        </w:tc>
        <w:tc>
          <w:tcPr>
            <w:tcW w:w="160"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Series B Preferred Stock related to the Financing</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14,440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182,814</w:t>
            </w:r>
          </w:p>
        </w:tc>
        <w:tc>
          <w:tcPr>
            <w:tcW w:w="160" w:type="dxa"/>
            <w:tcBorders/>
            <w:shd w:fill="CCEEFF" w:val="clear"/>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(41,539,573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9" w:type="dxa"/>
            <w:tcBorders/>
            <w:vAlign w:val="bottom"/>
          </w:tcPr>
          <w:p>
            <w:pPr>
              <w:pStyle w:val="TableContents"/>
              <w:bidi w:val="0"/>
              <w:spacing w:before="0" w:after="283"/>
              <w:jc w:val="right"/>
              <w:rPr/>
            </w:pPr>
            <w:r>
              <w:rPr/>
              <w:t>237,490</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recording of the (i) elimination of Faeth’s historical equity balances, and (ii) exchange of Faeth stock options for the Assumed Options, which is reflected as consideration, (iii) the immediate expensing of acquired Faeth IPR&amp;D as it has no future alternative use, (iv) the expensing of transaction costs associated with the Acquisition, and (v) payment to settle the tax liability associated with the accelerated option exercises (in thousands, except share amounts):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45"/>
        <w:gridCol w:w="145"/>
        <w:gridCol w:w="60"/>
        <w:gridCol w:w="1059"/>
        <w:gridCol w:w="155"/>
        <w:gridCol w:w="86"/>
        <w:gridCol w:w="231"/>
        <w:gridCol w:w="632"/>
        <w:gridCol w:w="155"/>
        <w:gridCol w:w="86"/>
        <w:gridCol w:w="475"/>
        <w:gridCol w:w="2163"/>
        <w:gridCol w:w="155"/>
        <w:gridCol w:w="86"/>
        <w:gridCol w:w="281"/>
        <w:gridCol w:w="1770"/>
        <w:gridCol w:w="155"/>
        <w:gridCol w:w="86"/>
        <w:gridCol w:w="140"/>
        <w:gridCol w:w="876"/>
        <w:gridCol w:w="164"/>
      </w:tblGrid>
      <w:tr>
        <w:trPr/>
        <w:tc>
          <w:tcPr>
            <w:tcW w:w="124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2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63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5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12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6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 paid-in-capital</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 deficit</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1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Faeth’s historical equity balances as of December 31, 2025</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(5,199,567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w:t>
            </w:r>
          </w:p>
        </w:tc>
        <w:tc>
          <w:tcPr>
            <w:tcW w:w="2163" w:type="dxa"/>
            <w:tcBorders/>
            <w:shd w:fill="CCEEFF" w:val="clear"/>
            <w:vAlign w:val="bottom"/>
          </w:tcPr>
          <w:p>
            <w:pPr>
              <w:pStyle w:val="TableContents"/>
              <w:bidi w:val="0"/>
              <w:spacing w:before="0" w:after="283"/>
              <w:jc w:val="right"/>
              <w:rPr/>
            </w:pPr>
            <w:r>
              <w:rPr/>
              <w:t>(5,046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770" w:type="dxa"/>
            <w:tcBorders/>
            <w:shd w:fill="CCEEFF" w:val="clear"/>
            <w:vAlign w:val="bottom"/>
          </w:tcPr>
          <w:p>
            <w:pPr>
              <w:pStyle w:val="TableContents"/>
              <w:bidi w:val="0"/>
              <w:spacing w:before="0" w:after="283"/>
              <w:jc w:val="right"/>
              <w:rPr/>
            </w:pPr>
            <w:r>
              <w:rPr/>
              <w:t>77,670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72,623</w:t>
            </w:r>
          </w:p>
        </w:tc>
        <w:tc>
          <w:tcPr>
            <w:tcW w:w="164" w:type="dxa"/>
            <w:tcBorders/>
            <w:shd w:fill="CCEEFF" w:val="clear"/>
            <w:vAlign w:val="bottom"/>
          </w:tcPr>
          <w:p>
            <w:pPr>
              <w:pStyle w:val="TableContents"/>
              <w:bidi w:val="0"/>
              <w:spacing w:before="0" w:after="283"/>
              <w:jc w:val="left"/>
              <w:rPr/>
            </w:pPr>
            <w:r>
              <w:rPr/>
              <w:t> </w:t>
            </w:r>
          </w:p>
        </w:tc>
      </w:tr>
      <w:tr>
        <w:trPr/>
        <w:tc>
          <w:tcPr>
            <w:tcW w:w="1245"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Faeth options for stock options of the Company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163" w:type="dxa"/>
            <w:tcBorders/>
            <w:vAlign w:val="bottom"/>
          </w:tcPr>
          <w:p>
            <w:pPr>
              <w:pStyle w:val="TableContents"/>
              <w:bidi w:val="0"/>
              <w:spacing w:before="0" w:after="283"/>
              <w:jc w:val="right"/>
              <w:rPr/>
            </w:pPr>
            <w:r>
              <w:rPr/>
              <w:t>2,239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2,239</w:t>
            </w:r>
          </w:p>
        </w:tc>
        <w:tc>
          <w:tcPr>
            <w:tcW w:w="164" w:type="dxa"/>
            <w:tcBorders/>
            <w:vAlign w:val="bottom"/>
          </w:tcPr>
          <w:p>
            <w:pPr>
              <w:pStyle w:val="TableContents"/>
              <w:bidi w:val="0"/>
              <w:spacing w:before="0" w:after="283"/>
              <w:jc w:val="left"/>
              <w:rPr/>
            </w:pPr>
            <w:r>
              <w:rPr/>
              <w:t> </w:t>
            </w:r>
          </w:p>
        </w:tc>
      </w:tr>
      <w:tr>
        <w:trPr/>
        <w:tc>
          <w:tcPr>
            <w:tcW w:w="1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Expensing of acquired IPR&amp;D</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(129,537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(129,537</w:t>
            </w:r>
          </w:p>
        </w:tc>
        <w:tc>
          <w:tcPr>
            <w:tcW w:w="164" w:type="dxa"/>
            <w:tcBorders/>
            <w:shd w:fill="CCEEFF" w:val="clear"/>
            <w:vAlign w:val="bottom"/>
          </w:tcPr>
          <w:p>
            <w:pPr>
              <w:pStyle w:val="TableContents"/>
              <w:bidi w:val="0"/>
              <w:spacing w:before="0" w:after="283"/>
              <w:jc w:val="left"/>
              <w:rPr/>
            </w:pPr>
            <w:r>
              <w:rPr/>
              <w:t>) </w:t>
            </w:r>
          </w:p>
        </w:tc>
      </w:tr>
      <w:tr>
        <w:trPr/>
        <w:tc>
          <w:tcPr>
            <w:tcW w:w="1245" w:type="dxa"/>
            <w:tcBorders/>
          </w:tcPr>
          <w:p>
            <w:pPr>
              <w:pStyle w:val="TableContents"/>
              <w:bidi w:val="0"/>
              <w:spacing w:before="0" w:after="0"/>
              <w:jc w:val="left"/>
              <w:rPr>
                <w:rFonts w:ascii="Times New Roman" w:hAnsi="Times New Roman"/>
                <w:sz w:val="20"/>
              </w:rPr>
            </w:pPr>
            <w:r>
              <w:rPr>
                <w:rFonts w:ascii="Times New Roman" w:hAnsi="Times New Roman"/>
                <w:sz w:val="20"/>
              </w:rPr>
              <w:t>Expensing of Company transaction costs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(3,179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(3,179</w:t>
            </w:r>
          </w:p>
        </w:tc>
        <w:tc>
          <w:tcPr>
            <w:tcW w:w="164" w:type="dxa"/>
            <w:tcBorders/>
            <w:vAlign w:val="bottom"/>
          </w:tcPr>
          <w:p>
            <w:pPr>
              <w:pStyle w:val="TableContents"/>
              <w:bidi w:val="0"/>
              <w:spacing w:before="0" w:after="283"/>
              <w:jc w:val="left"/>
              <w:rPr/>
            </w:pPr>
            <w:r>
              <w:rPr/>
              <w:t>) </w:t>
            </w:r>
          </w:p>
        </w:tc>
      </w:tr>
      <w:tr>
        <w:trPr/>
        <w:tc>
          <w:tcPr>
            <w:tcW w:w="1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gross-up payments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(14,816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(14,816</w:t>
            </w:r>
          </w:p>
        </w:tc>
        <w:tc>
          <w:tcPr>
            <w:tcW w:w="164" w:type="dxa"/>
            <w:tcBorders/>
            <w:shd w:fill="CCEEFF" w:val="clear"/>
            <w:vAlign w:val="bottom"/>
          </w:tcPr>
          <w:p>
            <w:pPr>
              <w:pStyle w:val="TableContents"/>
              <w:bidi w:val="0"/>
              <w:spacing w:before="0" w:after="283"/>
              <w:jc w:val="left"/>
              <w:rPr/>
            </w:pPr>
            <w:r>
              <w:rPr/>
              <w:t>) </w:t>
            </w:r>
          </w:p>
        </w:tc>
      </w:tr>
      <w:tr>
        <w:trPr/>
        <w:tc>
          <w:tcPr>
            <w:tcW w:w="124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475" w:type="dxa"/>
            <w:tcBorders/>
            <w:vAlign w:val="bottom"/>
          </w:tcPr>
          <w:p>
            <w:pPr>
              <w:pStyle w:val="TableContents"/>
              <w:pBdr>
                <w:top w:val="single" w:sz="2" w:space="1" w:color="000000"/>
              </w:pBdr>
              <w:bidi w:val="0"/>
              <w:spacing w:before="0" w:after="0"/>
              <w:jc w:val="left"/>
              <w:rPr/>
            </w:pPr>
            <w:r>
              <w:rPr/>
              <w:t> </w:t>
            </w:r>
          </w:p>
        </w:tc>
        <w:tc>
          <w:tcPr>
            <w:tcW w:w="2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245"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(5,199,567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3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w:t>
            </w:r>
          </w:p>
        </w:tc>
        <w:tc>
          <w:tcPr>
            <w:tcW w:w="2163" w:type="dxa"/>
            <w:tcBorders/>
            <w:vAlign w:val="bottom"/>
          </w:tcPr>
          <w:p>
            <w:pPr>
              <w:pStyle w:val="TableContents"/>
              <w:bidi w:val="0"/>
              <w:spacing w:before="0" w:after="283"/>
              <w:jc w:val="right"/>
              <w:rPr/>
            </w:pPr>
            <w:r>
              <w:rPr/>
              <w:t>(2,807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770" w:type="dxa"/>
            <w:tcBorders/>
            <w:vAlign w:val="bottom"/>
          </w:tcPr>
          <w:p>
            <w:pPr>
              <w:pStyle w:val="TableContents"/>
              <w:bidi w:val="0"/>
              <w:spacing w:before="0" w:after="283"/>
              <w:jc w:val="right"/>
              <w:rPr/>
            </w:pPr>
            <w:r>
              <w:rPr/>
              <w:t>(69,862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(72,670</w:t>
            </w:r>
          </w:p>
        </w:tc>
        <w:tc>
          <w:tcPr>
            <w:tcW w:w="164" w:type="dxa"/>
            <w:tcBorders/>
            <w:vAlign w:val="bottom"/>
          </w:tcPr>
          <w:p>
            <w:pPr>
              <w:pStyle w:val="TableContents"/>
              <w:bidi w:val="0"/>
              <w:spacing w:before="0" w:after="283"/>
              <w:jc w:val="left"/>
              <w:rPr/>
            </w:pPr>
            <w:r>
              <w:rPr/>
              <w:t>) </w:t>
            </w:r>
          </w:p>
        </w:tc>
      </w:tr>
      <w:tr>
        <w:trPr/>
        <w:tc>
          <w:tcPr>
            <w:tcW w:w="1245"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475" w:type="dxa"/>
            <w:tcBorders/>
            <w:vAlign w:val="bottom"/>
          </w:tcPr>
          <w:p>
            <w:pPr>
              <w:pStyle w:val="TableContents"/>
              <w:pBdr>
                <w:top w:val="double" w:sz="6" w:space="1" w:color="000000"/>
              </w:pBdr>
              <w:bidi w:val="0"/>
              <w:spacing w:before="0" w:after="0"/>
              <w:jc w:val="left"/>
              <w:rPr/>
            </w:pPr>
            <w:r>
              <w:rPr/>
              <w:t> </w:t>
            </w:r>
          </w:p>
        </w:tc>
        <w:tc>
          <w:tcPr>
            <w:tcW w:w="2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compensation-related costs associated with the Acquisition that are reflected within research and development expense, summarized as follows (in thousands):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93"/>
        <w:gridCol w:w="346"/>
        <w:gridCol w:w="141"/>
        <w:gridCol w:w="696"/>
        <w:gridCol w:w="63"/>
      </w:tblGrid>
      <w:tr>
        <w:trPr/>
        <w:tc>
          <w:tcPr>
            <w:tcW w:w="5693"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related to the accelerated vesting of Faeth stock options</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4,781</w:t>
            </w:r>
          </w:p>
        </w:tc>
        <w:tc>
          <w:tcPr>
            <w:tcW w:w="63" w:type="dxa"/>
            <w:tcBorders/>
            <w:shd w:fill="CCEEFF" w:val="clear"/>
            <w:vAlign w:val="bottom"/>
          </w:tcPr>
          <w:p>
            <w:pPr>
              <w:pStyle w:val="TableContents"/>
              <w:bidi w:val="0"/>
              <w:spacing w:before="0" w:after="283"/>
              <w:jc w:val="left"/>
              <w:rPr/>
            </w:pPr>
            <w:r>
              <w:rPr/>
              <w:t> </w:t>
            </w:r>
          </w:p>
        </w:tc>
      </w:tr>
      <w:tr>
        <w:trPr/>
        <w:tc>
          <w:tcPr>
            <w:tcW w:w="5693" w:type="dxa"/>
            <w:tcBorders/>
          </w:tcPr>
          <w:p>
            <w:pPr>
              <w:pStyle w:val="TableContents"/>
              <w:bidi w:val="0"/>
              <w:spacing w:before="0" w:after="0"/>
              <w:jc w:val="left"/>
              <w:rPr>
                <w:rFonts w:ascii="Times New Roman" w:hAnsi="Times New Roman"/>
                <w:sz w:val="20"/>
              </w:rPr>
            </w:pPr>
            <w:r>
              <w:rPr>
                <w:rFonts w:ascii="Times New Roman" w:hAnsi="Times New Roman"/>
                <w:sz w:val="20"/>
              </w:rPr>
              <w:t>Tax gross-up payments related to the accelerated vesting of Faeth stock options</w:t>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8,311</w:t>
            </w:r>
          </w:p>
        </w:tc>
        <w:tc>
          <w:tcPr>
            <w:tcW w:w="63" w:type="dxa"/>
            <w:tcBorders/>
            <w:vAlign w:val="bottom"/>
          </w:tcPr>
          <w:p>
            <w:pPr>
              <w:pStyle w:val="TableContents"/>
              <w:bidi w:val="0"/>
              <w:spacing w:before="0" w:after="283"/>
              <w:jc w:val="left"/>
              <w:rPr/>
            </w:pPr>
            <w:r>
              <w:rPr/>
              <w:t> </w:t>
            </w:r>
          </w:p>
        </w:tc>
      </w:tr>
      <w:tr>
        <w:trPr/>
        <w:tc>
          <w:tcPr>
            <w:tcW w:w="5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for Assumed Options attributable to post-combination services (1)</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731</w:t>
            </w:r>
          </w:p>
        </w:tc>
        <w:tc>
          <w:tcPr>
            <w:tcW w:w="63" w:type="dxa"/>
            <w:tcBorders/>
            <w:shd w:fill="CCEEFF" w:val="clear"/>
            <w:vAlign w:val="bottom"/>
          </w:tcPr>
          <w:p>
            <w:pPr>
              <w:pStyle w:val="TableContents"/>
              <w:bidi w:val="0"/>
              <w:spacing w:before="0" w:after="283"/>
              <w:jc w:val="left"/>
              <w:rPr/>
            </w:pPr>
            <w:r>
              <w:rPr/>
              <w:t> </w:t>
            </w:r>
          </w:p>
        </w:tc>
      </w:tr>
      <w:tr>
        <w:trPr/>
        <w:tc>
          <w:tcPr>
            <w:tcW w:w="5693"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93"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w:t>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13,823</w:t>
            </w:r>
          </w:p>
        </w:tc>
        <w:tc>
          <w:tcPr>
            <w:tcW w:w="63" w:type="dxa"/>
            <w:tcBorders/>
            <w:vAlign w:val="bottom"/>
          </w:tcPr>
          <w:p>
            <w:pPr>
              <w:pStyle w:val="TableContents"/>
              <w:bidi w:val="0"/>
              <w:spacing w:before="0" w:after="283"/>
              <w:jc w:val="left"/>
              <w:rPr/>
            </w:pPr>
            <w:r>
              <w:rPr/>
              <w:t> </w:t>
            </w:r>
          </w:p>
        </w:tc>
      </w:tr>
      <w:tr>
        <w:trPr/>
        <w:tc>
          <w:tcPr>
            <w:tcW w:w="5693"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510"/>
        <w:gridCol w:w="6430"/>
        <w:gridCol w:w="1633"/>
      </w:tblGrid>
      <w:tr>
        <w:trPr/>
        <w:tc>
          <w:tcPr>
            <w:tcW w:w="163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64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compensation expense for the Assumed Options has been calculated using the acquisition-date fair value of the Assumed Options. </w:t>
            </w:r>
          </w:p>
        </w:tc>
        <w:tc>
          <w:tcPr>
            <w:tcW w:w="163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transaction-related and compensation-related costs associated with the Acquisition that are reflected within general and administrative expense, summarized as follows (in thousands):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93"/>
        <w:gridCol w:w="346"/>
        <w:gridCol w:w="141"/>
        <w:gridCol w:w="696"/>
        <w:gridCol w:w="63"/>
      </w:tblGrid>
      <w:tr>
        <w:trPr/>
        <w:tc>
          <w:tcPr>
            <w:tcW w:w="5693"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transaction costs to be incurred subsequent to December 31, 2025 (1)</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3,179</w:t>
            </w:r>
          </w:p>
        </w:tc>
        <w:tc>
          <w:tcPr>
            <w:tcW w:w="63" w:type="dxa"/>
            <w:tcBorders/>
            <w:shd w:fill="CCEEFF" w:val="clear"/>
            <w:vAlign w:val="bottom"/>
          </w:tcPr>
          <w:p>
            <w:pPr>
              <w:pStyle w:val="TableContents"/>
              <w:bidi w:val="0"/>
              <w:spacing w:before="0" w:after="283"/>
              <w:jc w:val="left"/>
              <w:rPr/>
            </w:pPr>
            <w:r>
              <w:rPr/>
              <w:t> </w:t>
            </w:r>
          </w:p>
        </w:tc>
      </w:tr>
      <w:tr>
        <w:trPr/>
        <w:tc>
          <w:tcPr>
            <w:tcW w:w="569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related to the accelerated vesting of Faeth stock options</w:t>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8,176</w:t>
            </w:r>
          </w:p>
        </w:tc>
        <w:tc>
          <w:tcPr>
            <w:tcW w:w="63" w:type="dxa"/>
            <w:tcBorders/>
            <w:vAlign w:val="bottom"/>
          </w:tcPr>
          <w:p>
            <w:pPr>
              <w:pStyle w:val="TableContents"/>
              <w:bidi w:val="0"/>
              <w:spacing w:before="0" w:after="283"/>
              <w:jc w:val="left"/>
              <w:rPr/>
            </w:pPr>
            <w:r>
              <w:rPr/>
              <w:t> </w:t>
            </w:r>
          </w:p>
        </w:tc>
      </w:tr>
      <w:tr>
        <w:trPr/>
        <w:tc>
          <w:tcPr>
            <w:tcW w:w="5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gross-up payments related to the accelerated vesting of Faeth stock options</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6,505</w:t>
            </w:r>
          </w:p>
        </w:tc>
        <w:tc>
          <w:tcPr>
            <w:tcW w:w="63" w:type="dxa"/>
            <w:tcBorders/>
            <w:shd w:fill="CCEEFF" w:val="clear"/>
            <w:vAlign w:val="bottom"/>
          </w:tcPr>
          <w:p>
            <w:pPr>
              <w:pStyle w:val="TableContents"/>
              <w:bidi w:val="0"/>
              <w:spacing w:before="0" w:after="283"/>
              <w:jc w:val="left"/>
              <w:rPr/>
            </w:pPr>
            <w:r>
              <w:rPr/>
              <w:t> </w:t>
            </w:r>
          </w:p>
        </w:tc>
      </w:tr>
      <w:tr>
        <w:trPr/>
        <w:tc>
          <w:tcPr>
            <w:tcW w:w="5693"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for Assumed Options attributable to post-combination services (2)</w:t>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321</w:t>
            </w:r>
          </w:p>
        </w:tc>
        <w:tc>
          <w:tcPr>
            <w:tcW w:w="63" w:type="dxa"/>
            <w:tcBorders/>
            <w:vAlign w:val="bottom"/>
          </w:tcPr>
          <w:p>
            <w:pPr>
              <w:pStyle w:val="TableContents"/>
              <w:bidi w:val="0"/>
              <w:spacing w:before="0" w:after="283"/>
              <w:jc w:val="left"/>
              <w:rPr/>
            </w:pPr>
            <w:r>
              <w:rPr/>
              <w:t> </w:t>
            </w:r>
          </w:p>
        </w:tc>
      </w:tr>
      <w:tr>
        <w:trPr/>
        <w:tc>
          <w:tcPr>
            <w:tcW w:w="5693"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18,181</w:t>
            </w:r>
          </w:p>
        </w:tc>
        <w:tc>
          <w:tcPr>
            <w:tcW w:w="63" w:type="dxa"/>
            <w:tcBorders/>
            <w:shd w:fill="CCEEFF" w:val="clear"/>
            <w:vAlign w:val="bottom"/>
          </w:tcPr>
          <w:p>
            <w:pPr>
              <w:pStyle w:val="TableContents"/>
              <w:bidi w:val="0"/>
              <w:spacing w:before="0" w:after="283"/>
              <w:jc w:val="left"/>
              <w:rPr/>
            </w:pPr>
            <w:r>
              <w:rPr/>
              <w:t> </w:t>
            </w:r>
          </w:p>
        </w:tc>
      </w:tr>
      <w:tr>
        <w:trPr/>
        <w:tc>
          <w:tcPr>
            <w:tcW w:w="5693"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509"/>
        <w:gridCol w:w="6431"/>
        <w:gridCol w:w="1633"/>
      </w:tblGrid>
      <w:tr>
        <w:trPr/>
        <w:tc>
          <w:tcPr>
            <w:tcW w:w="163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64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costs are expensed as incurred as substantially all of the value acquired is within the Faeth IPR&amp;D asset that has no alternative future use. These transaction costs will not affect the Company’s statement of operations beyond the 12 months after the Acquisition. </w:t>
            </w:r>
          </w:p>
        </w:tc>
        <w:tc>
          <w:tcPr>
            <w:tcW w:w="163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632"/>
        <w:gridCol w:w="510"/>
        <w:gridCol w:w="6430"/>
        <w:gridCol w:w="1633"/>
      </w:tblGrid>
      <w:tr>
        <w:trPr/>
        <w:tc>
          <w:tcPr>
            <w:tcW w:w="163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64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compensation expense for the Assumed Options has been calculated using the acquisition-date fair value of the Assumed Options. </w:t>
            </w:r>
          </w:p>
        </w:tc>
        <w:tc>
          <w:tcPr>
            <w:tcW w:w="163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b/>
              </w:rPr>
            </w:pPr>
            <w:r>
              <w:rPr>
                <w:b/>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recognition of $129.5 million of in-process research and development expense related to the acquired programs that had no alternative future use at the time of acquisition which requires immediate expense recognition.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9802/000119312526056135/d112826dex21.htm" TargetMode="External"/><Relationship Id="rId3" Type="http://schemas.openxmlformats.org/officeDocument/2006/relationships/hyperlink" Target="http://www.sec.gov/Archives/edgar/data/1829802/000119312526056135/d112826dex31.htm" TargetMode="External"/><Relationship Id="rId4" Type="http://schemas.openxmlformats.org/officeDocument/2006/relationships/hyperlink" Target="http://www.sec.gov/Archives/edgar/data/1829802/000119312526056135/d112826dex101.htm" TargetMode="External"/><Relationship Id="rId5" Type="http://schemas.openxmlformats.org/officeDocument/2006/relationships/hyperlink" Target="http://www.sec.gov/Archives/edgar/data/1829802/000119312526056135/d112826dex102.htm" TargetMode="External"/><Relationship Id="rId6" Type="http://schemas.openxmlformats.org/officeDocument/2006/relationships/hyperlink" Target="http://www.sec.gov/Archives/edgar/data/1829802/000119312526056135/d112826dex103.htm" TargetMode="External"/><Relationship Id="rId7" Type="http://schemas.openxmlformats.org/officeDocument/2006/relationships/hyperlink" Target="http://www.sec.gov/Archives/edgar/data/1829802/000119312526056135/d112826dex104.htm" TargetMode="External"/><Relationship Id="rId8" Type="http://schemas.openxmlformats.org/officeDocument/2006/relationships/hyperlink" Target="http://www.sec.gov/Archives/edgar/data/1829802/000119312526056135/d112826dex991.htm" TargetMode="External"/><Relationship Id="rId9" Type="http://schemas.openxmlformats.org/officeDocument/2006/relationships/hyperlink" Target="http://www.sec.gov/Archives/edgar/data/1829802/000119312526056135/d112826dex99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18168</Words>
  <Characters>100741</Characters>
  <CharactersWithSpaces>122823</CharactersWithSpaces>
  <Paragraphs>6243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