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se-20251231.htm"/>
      <w:bookmarkStart w:id="1" w:name="kssnse2025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ind w:left="4320" w:right="4320" w:hanging="0"/>
        <w:jc w:val="center"/>
        <w:rPr>
          <w:rFonts w:ascii="Times New Roman" w:hAnsi="Times New Roman"/>
          <w:b/>
          <w:color w:val="000000"/>
          <w:sz w:val="36"/>
        </w:rPr>
      </w:pPr>
      <w:r>
        <w:rPr>
          <w:rFonts w:ascii="Times New Roman" w:hAnsi="Times New Roman"/>
          <w:b/>
          <w:color w:val="000000"/>
          <w:sz w:val="36"/>
        </w:rPr>
        <w:t>FORM 10-K</w:t>
      </w:r>
    </w:p>
    <w:p>
      <w:pPr>
        <w:pStyle w:val="TextBody"/>
        <w:bidi w:val="0"/>
        <w:spacing w:before="60" w:after="283"/>
        <w:ind w:left="4320" w:right="4320" w:hanging="0"/>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001-39980</w:t>
      </w:r>
    </w:p>
    <w:p>
      <w:pPr>
        <w:pStyle w:val="TextBody"/>
        <w:bidi w:val="0"/>
        <w:spacing w:before="60" w:after="283"/>
        <w:ind w:left="4320" w:right="4320" w:hanging="0"/>
        <w:jc w:val="center"/>
        <w:rPr>
          <w:rFonts w:ascii="Times New Roman" w:hAnsi="Times New Roman"/>
          <w:b/>
          <w:color w:val="000000"/>
          <w:sz w:val="48"/>
        </w:rPr>
      </w:pPr>
      <w:r>
        <w:rPr>
          <w:rFonts w:ascii="Times New Roman" w:hAnsi="Times New Roman"/>
          <w:b/>
          <w:color w:val="000000"/>
          <w:sz w:val="48"/>
        </w:rPr>
        <w:t>Sensei Biotherapeutics,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112" w:type="dxa"/>
        <w:jc w:val="left"/>
        <w:tblInd w:w="0" w:type="dxa"/>
        <w:tblLayout w:type="fixed"/>
        <w:tblCellMar>
          <w:top w:w="28" w:type="dxa"/>
          <w:left w:w="28" w:type="dxa"/>
          <w:bottom w:w="28" w:type="dxa"/>
          <w:right w:w="28" w:type="dxa"/>
        </w:tblCellMar>
      </w:tblPr>
      <w:tblGrid>
        <w:gridCol w:w="2866"/>
        <w:gridCol w:w="1246"/>
      </w:tblGrid>
      <w:tr>
        <w:trPr/>
        <w:tc>
          <w:tcPr>
            <w:tcW w:w="28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83-1863385</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1405 Research Boulevard, Suite 125</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Rockville, MD</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20850</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(240) 243-8000</w:t>
      </w:r>
    </w:p>
    <w:p>
      <w:pPr>
        <w:pStyle w:val="TextBody"/>
        <w:bidi w:val="0"/>
        <w:ind w:left="4320" w:right="4320" w:hanging="0"/>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SNSE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Securities registered pursuant to Section 12(g) of the Act: None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As of June 30, 2025 (the last business day of the Registrant’s second fiscal quarter), the Registrant’s aggregate market value of its voting common equity held by non-affiliates was approximately $7.1</w:t>
      </w:r>
      <w:r>
        <w:rPr>
          <w:rFonts w:ascii="Times New Roman" w:hAnsi="Times New Roman"/>
          <w:color w:val="000000"/>
          <w:sz w:val="20"/>
        </w:rPr>
        <w:t xml:space="preserve"> </w:t>
      </w:r>
      <w:r>
        <w:rPr>
          <w:rFonts w:ascii="Times New Roman" w:hAnsi="Times New Roman"/>
          <w:color w:val="000000"/>
          <w:sz w:val="16"/>
        </w:rPr>
        <w:t>million based on the closing sale price of $8.58 per share as reported on the Nasdaq Capital Market on that date. The number of shares of Registrant’s Common Stock outstanding as of March 23, 2026 was 1,340,281.</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Portions of the Registrant’s definitive proxy statement, to be filed pursuant to Regulation 14A under the Securities Exchange Act of 1934, for its 2026 Annual Meeting of Stockholders are incorporated by reference in Part III of this Form 10-K.</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563C1"/>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563C1"/>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563C1"/>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563C1"/>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563C1"/>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563C1"/>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563C1"/>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563C1"/>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563C1"/>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563C1"/>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563C1"/>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563C1"/>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563C1"/>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563C1"/>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563C1"/>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563C1"/>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563C1"/>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563C1"/>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563C1"/>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563C1"/>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Notice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All statements other than statements of historical fact included in this Annual Report on Form 10-K, or the Report, including, without limitation, statements under “Business” and “Management’s Discussion and Analysis of Financial Condition and Results of Operations” regarding our financial position, business strategy and the plans and objectives of management for future operations, are forward-looking statements. When used in this Report, words and phrases such as “aim,” “anticipate,” “assume,” “believe,” “can,” “continue,” “could,” “designed to,” “estimate,” “evaluate,” “expect,” “explore,” “intend,” “intended to,” “likely,” “may,” “might,” “objective,” “ongoing,” “plan,” “potential,” “predict,” “project,” “pursue,” “seek,” “should,” “to be,” “will,” and “would,” or the negative of such terms or other similar expressions, as they relate to us or our management, identify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Any statements in this Report,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our preclinical studies and clinical trials to demonstrate acceptable safety and efficacy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beliefs regarding the scientific rationale for multi-node inhibition of the PI3K/AKT/mTOR pathway, including the potential for deeper and more durable pathway suppression compared to single-node inhibition, and the clinical utility of our approach across patient populations regardless of mutational status;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beliefs regarding PIKTOR’s efficacy and tolerability profile relative to other PI3K/AKT/mTOR pathway agents, which are based on cross-trial comparisons involving differences in trial design, patient populations, endpoints, and grading criteria;</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disruptions affecting the initiation, patient enrollment, development and operation of our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and results of preclinical studies and clinical trials for our current and future product candidates,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scope and likelihood of regulatory filings and approvals, including Investigational New Drug, or IND, submissions for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and advance our current product candidates and programs into, and successfully complete, clinical trials;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integrate the operations of the Company and Faeth Therapeutics and to realize the anticipated benefits of the merger, including the advancement of the combined pipeline and retention of key personnel;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commercialization, and marketing capabilities and strategy;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hire additional personnel and our ability to attract and retain such personnel;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the market opportunity for our product candidates, including our estimates of the number of patients who suffer from the diseases we are targeting;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approval and use of our product candidates as first, second or subsequent lines of therapy or in combination with other drugs;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competitive landscape for PI3K/AKT/mTOR pathway therapies, including the anticipated clinical development, regulatory outcomes, and commercial positioning of competing product candidates, and our ability to compete effectively against such products, including other multi-node inhibitors and mutant-selective inhibitors;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characteristics and therapeutic effects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recognize the benefits of our acquisition of Faeth Therapeutics;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relating to the further development of our product candidates, including additional indications we may pursue;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intellectual property position, including the scope of protection we are able to establish and maintain for intellectual property rights covering product candidates we may develop, including the validity of intellectual property rights held by third parties, and our ability not to infringe, misappropriate or otherwise violate any third-party intellectual property rights;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manufacture and conduct clinical trials of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negotiate favorable terms of, any collaboration, licensing or other arrangements that may be necessary or desirable to develop, manufacture or commercialize our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and reimbursement of our product candidates we may develop, if approved;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and clinical utility of our current and future product candidates;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 and our ability to effectively manage our anticipated growth;</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period over which we estimate our existing cash and cash equivalents will be sufficient to fund our future operating expenses and capital expenditure requirements;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laws and regulations;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JOBS Act;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use of our existing resources and the proceeds of any offerings of our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statements involve known and unknown risks, uncertainties and other factors that may cause our actual results, levels of activity, performance or achievements to be materially different from the information expressed or implied by these forward-looking statements. Except as required by law, we assume no obligation to update these forward-looking statements publicly, or to revise any forward-looking statements to reflect events or developments occurring after the date of this Report, even if new information becomes available in the future. You should refer to the Risk Factors section of this Report for a discussion of important factors that may cause our actual results to differ materially from those expressed or implied by our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36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400" w:after="120"/>
        <w:jc w:val="both"/>
        <w:rPr>
          <w:rFonts w:ascii="Times New Roman" w:hAnsi="Times New Roman"/>
          <w:sz w:val="20"/>
        </w:rPr>
      </w:pPr>
      <w:r>
        <w:rPr>
          <w:rFonts w:ascii="Times New Roman" w:hAnsi="Times New Roman"/>
          <w:i/>
          <w:color w:val="000000"/>
          <w:sz w:val="20"/>
        </w:rPr>
        <w:t>In this Annual Report, unless the context otherwise dictates, the terms (i) “we,” “us,” “our,” “Sensei,” the “Company” and other similar terms refer to the business and operations of Sensei Biotherapeutics, Inc. and its consolidated subsidiaries for periods prior to the Acquisition (as defined below) and to Sensei Biotherapeutics, Inc. and its consolidated subsidiaries, including Faeth Therapeutics for periods after the Acquisition; (ii) “Faeth HoldCo” refers to Faeth Holdings Therapeutics, Inc., (iii) “Faeth Subsidiary” refers to Faeth Therapeutics, LLC, a wholly owned subsidiary of Faeth HoldCo, (iv) “Faeth” or “Faeth Therapeutics” refer collectively to Faeth HoldCo and Faeth Subsidiary and (v) “Acquisition” refers to the acquisition by the Company of Faeth Therapeutics pursuant to that Agreement and Plan of Merger, dated February 17, 2026, by and among the Company, Sapphire First Merger Sub, Inc., a Delaware corporation and a wholly owned subsidiary of the Company, Sapphire Second Merger Sub, LLC, a Delaware limited liability company and wholly owned subsidiary of the Company, Faeth HoldCo and Faeth Subsidiary.</w:t>
      </w:r>
      <w:r>
        <w:rPr>
          <w:rFonts w:ascii="Times New Roman" w:hAnsi="Times New Roman"/>
          <w:color w:val="000000"/>
          <w:sz w:val="20"/>
        </w:rPr>
        <w:t xml:space="preserve"> </w:t>
      </w:r>
    </w:p>
    <w:p>
      <w:pPr>
        <w:pStyle w:val="TextBody"/>
        <w:bidi w:val="0"/>
        <w:spacing w:before="280" w:after="12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are a clinical-stage biotechnology company focused on improving outcomes for cancer patients through multi-node inhibition of critical oncogenic pathways. On February 17, 2026, we completed the acquisition of Faeth Therapeutics, a clinical-stage biotechnology company developing multi-node therapies that target tumor metabolism and signaling. The Acquisition brought Faeth's lead asset, PIKTOR, a proprietary investigational all-oral combination of serabelisib and sapanisertib that inhibits multiple nodes of the PI3K/AKT/mTOR pathway, into our pipeline. In connection with the Acquisition, we received $200 million in gross proceeds from a private placement financing, or the 2026 Private Placement, from a broad syndicate of investors, including several leading life sciences funds, including B Group Capital, Balyasny Asset Management, Columbia Threadneedle Investments, Cormorant Asset Management, Fairmount, Logos Capital, RA Capital Management, and Vivo Capital, to advance PIKTOR through key clinical milestones. For additional information regarding the terms of the Acquisition and the 2026 Private Placement, see Note 15 to the consolidated financial statements and "Management's Discussion and Analysis of Financial Condition and Results of Operations" included in this Annual Report.</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Following the Acquisition, our lead program is PIKTOR, an investigational multi-node inhibitor, or MNI, of the PI3K/AKT/mTOR pathway in development for endometrial and breast cancer. The PI3K/AKT/mTOR pathway is dysregulated in up to 50% of all solid tumors, making it one of the most prevalent therapeutic targets in oncology. Despite this, currently approved therapies — all of which target only a single pathway node — have produced limited clinical benefits, often accompanied by toxicities that have constrained their utilization. Our core scientific thesis is that simultaneously suppressing multiple nodes of a pathway produces deeper, more durable tumor suppression than targeting any single-node alone, which we believe may also enable lower drug dosing, potentially contributing to an improved tolerability profile.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PIKTOR is currently being evaluated in an ongoing Phase 2 trial in second-line advanced endometrial cancer (Study FTH-PIK-201), with topline data anticipated by year-end 2026, and we intend to initiate a Phase 1b trial in HR+/HER2- advanced breast cancer (Study FTH-PIK-101) by the first half of 2026.</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Faeth was co-founded in 2019 by Anand Parikh and Oliver Maddocks, PhD, together with scientific founders Lewis Cantley, PhD, the discoverer of the PI3K pathway, Siddhartha Mukherjee, MD, DPhil, Karen Vousden, PhD, Scott Lowe, PhD, and Greg Hannon, PhD. We are led by an experienced management team with expertise spanning cancer biology, translational research, clinical drug development, regulatory affairs and corporate strategy gained through prior roles within both biotechnology and large pharmaceutical companies as well as academia.</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Our Pipeline</w:t>
      </w:r>
    </w:p>
    <w:p>
      <w:pPr>
        <w:pStyle w:val="TextBody"/>
        <w:bidi w:val="0"/>
        <w:jc w:val="both"/>
        <w:rPr/>
      </w:pPr>
      <w:r>
        <w:rPr/>
        <w:t> </w:t>
      </w:r>
    </w:p>
    <w:p>
      <w:pPr>
        <w:pStyle w:val="TextBody"/>
        <w:bidi w:val="0"/>
        <w:spacing w:before="0" w:after="120"/>
        <w:jc w:val="center"/>
        <w:rPr/>
      </w:pPr>
      <w:r>
        <w:rPr/>
        <w:drawing>
          <wp:inline distT="0" distB="0" distL="0" distR="0">
            <wp:extent cx="6858000" cy="259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590800"/>
                    </a:xfrm>
                    <a:prstGeom prst="rect">
                      <a:avLst/>
                    </a:prstGeom>
                  </pic:spPr>
                </pic:pic>
              </a:graphicData>
            </a:graphic>
          </wp:inline>
        </w:drawing>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Corporate Strategy</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Our mission is to improve the lives of patients by developing novel therapeutics to treat some of the most devastating types of cancer. Our strategy to achieve these goals centers on the following development priorities:</w:t>
      </w:r>
    </w:p>
    <w:p>
      <w:pPr>
        <w:pStyle w:val="TextBody"/>
        <w:bidi w:val="0"/>
        <w:jc w:val="both"/>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We intend to establish PIKTOR</w:t>
      </w:r>
      <w:r>
        <w:rPr>
          <w:color w:val="000000"/>
        </w:rPr>
        <w:t>’</w:t>
      </w:r>
      <w:r>
        <w:rPr>
          <w:rFonts w:ascii="Times New Roman" w:hAnsi="Times New Roman"/>
          <w:color w:val="000000"/>
          <w:sz w:val="20"/>
        </w:rPr>
        <w:t>s initial therapeutic proof of concept in endometrial cancer through our ongoing Phase 2 trial (FTH-PIK-201), with topline data anticipated by year-end 2026 and longer-term follow-up data in 2027.</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Concurrently, we plan to broaden PIKTOR</w:t>
      </w:r>
      <w:r>
        <w:rPr>
          <w:color w:val="000000"/>
        </w:rPr>
        <w:t>’</w:t>
      </w:r>
      <w:r>
        <w:rPr>
          <w:rFonts w:ascii="Times New Roman" w:hAnsi="Times New Roman"/>
          <w:color w:val="000000"/>
          <w:sz w:val="20"/>
        </w:rPr>
        <w:t>s development into advanced HR+/HER2- breast cancer through Study FTH-PIK-101, with trial initiation targeted for the first half of 2026, interim dose escalation data and expansion cohort initiation in 2027, and expansion cohort data in 2028.</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Beyond these near-term priorities, we intend to explore PIKTOR</w:t>
      </w:r>
      <w:r>
        <w:rPr>
          <w:color w:val="000000"/>
        </w:rPr>
        <w:t>’</w:t>
      </w:r>
      <w:r>
        <w:rPr>
          <w:rFonts w:ascii="Times New Roman" w:hAnsi="Times New Roman"/>
          <w:color w:val="000000"/>
          <w:sz w:val="20"/>
        </w:rPr>
        <w:t>s potential as a first-line treatment across our targeted indications. We believe that PIKTOR</w:t>
      </w:r>
      <w:r>
        <w:rPr>
          <w:color w:val="000000"/>
        </w:rPr>
        <w:t>’</w:t>
      </w:r>
      <w:r>
        <w:rPr>
          <w:rFonts w:ascii="Times New Roman" w:hAnsi="Times New Roman"/>
          <w:color w:val="000000"/>
          <w:sz w:val="20"/>
        </w:rPr>
        <w:t xml:space="preserve">s convenient oral formulation, potentially differentiated therapeutic profile and demonstrated synergy in combination with many relevant agents in our targeted tumor types may benefit patients at the earliest stages of disease.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pursue development in additional indications, including ovarian cancer and genetically defined subtypes of lung cancer, as well as advance additional pipeline candidates beyond PIKTOR, including our NEAAR and IEM programs. In the future we intend to utilize our deep expertise in cancer and metabolic disease to identify additional compelling development opportunities.</w:t>
      </w:r>
    </w:p>
    <w:p>
      <w:pPr>
        <w:pStyle w:val="TextBody"/>
        <w:bidi w:val="0"/>
        <w:spacing w:before="400" w:after="120"/>
        <w:jc w:val="both"/>
        <w:rPr>
          <w:rFonts w:ascii="Times New Roman" w:hAnsi="Times New Roman"/>
          <w:b/>
          <w:color w:val="000000"/>
          <w:sz w:val="20"/>
        </w:rPr>
      </w:pPr>
      <w:r>
        <w:rPr>
          <w:rFonts w:ascii="Times New Roman" w:hAnsi="Times New Roman"/>
          <w:b/>
          <w:color w:val="000000"/>
          <w:sz w:val="20"/>
        </w:rPr>
        <w:t>The PI3K/AKT/mTOR Pathway and the Case for Multi-Node Inhibition</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Pathway Biology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PI3K/AKT/mTOR pathway is a vital, complex intracellular signaling network that plays a central role in regulating cellular metabolism, proliferation and survival by activating either pro-growth or regulatory signals in response to nutrient availability and extracellular stimuli. Given its importance to these key functions of healthy cells, it is not surprising that dysregulated pathway activity can play an integral role in tumorigenesis, proliferation and treatment resistance as many validated cancer targets, in their natural state, govern these processes. It is estimated that the growth of up to 50% of all solid tumors is driven or amplified by the aberrant activation of the PI3K/AKT/mTOR pathway, as depicted below.</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pPr>
      <w:r>
        <w:rPr/>
        <w:drawing>
          <wp:inline distT="0" distB="0" distL="0" distR="0">
            <wp:extent cx="6858000" cy="3019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019425"/>
                    </a:xfrm>
                    <a:prstGeom prst="rect">
                      <a:avLst/>
                    </a:prstGeom>
                  </pic:spPr>
                </pic:pic>
              </a:graphicData>
            </a:graphic>
          </wp:inline>
        </w:drawing>
      </w:r>
    </w:p>
    <w:p>
      <w:pPr>
        <w:pStyle w:val="TextBody"/>
        <w:bidi w:val="0"/>
        <w:jc w:val="both"/>
        <w:rPr>
          <w:rFonts w:ascii="Times New Roman" w:hAnsi="Times New Roman"/>
          <w:i/>
          <w:color w:val="000000"/>
          <w:sz w:val="18"/>
        </w:rPr>
      </w:pPr>
      <w:r>
        <w:rPr>
          <w:rFonts w:ascii="Times New Roman" w:hAnsi="Times New Roman"/>
          <w:i/>
          <w:color w:val="000000"/>
          <w:sz w:val="18"/>
        </w:rPr>
        <w:t>Source: cBioPortal for Cancer Genomics (approximately 21,000 patients). Cerami et al., Cancer Discov. 2012; Gao et al., Sci. Signal, 2013. NSCLC: non-small cell lung cancer.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key components of the pathway are:</w:t>
      </w:r>
    </w:p>
    <w:p>
      <w:pPr>
        <w:pStyle w:val="TextBody"/>
        <w:bidi w:val="0"/>
        <w:spacing w:before="120" w:after="120"/>
        <w:ind w:left="0" w:right="0" w:firstLine="490"/>
        <w:jc w:val="both"/>
        <w:rPr>
          <w:rFonts w:ascii="Times New Roman" w:hAnsi="Times New Roman"/>
          <w:sz w:val="20"/>
        </w:rPr>
      </w:pPr>
      <w:r>
        <w:rPr>
          <w:rFonts w:ascii="Times New Roman" w:hAnsi="Times New Roman"/>
          <w:b/>
          <w:color w:val="000000"/>
          <w:sz w:val="20"/>
        </w:rPr>
        <w:t>Phosphoinositide 3-kinase (PI3K)</w:t>
      </w:r>
      <w:r>
        <w:rPr>
          <w:rFonts w:ascii="Times New Roman" w:hAnsi="Times New Roman"/>
          <w:color w:val="000000"/>
          <w:sz w:val="20"/>
        </w:rPr>
        <w:t xml:space="preserve">, an upstream node in the pathway which is activated by various growth factor receptors in response to extracellular stimuli to produce either growth or regulatory signals. PI3K is further broken down into four subtypes, or isoforms, that are expressed in different cell types. The PI3K alpha isoform (PI3Kα, encoded by the </w:t>
      </w:r>
      <w:r>
        <w:rPr>
          <w:rFonts w:ascii="Times New Roman" w:hAnsi="Times New Roman"/>
          <w:i/>
          <w:color w:val="000000"/>
          <w:sz w:val="20"/>
        </w:rPr>
        <w:t>PIK3CA</w:t>
      </w:r>
      <w:r>
        <w:rPr>
          <w:rFonts w:ascii="Times New Roman" w:hAnsi="Times New Roman"/>
          <w:color w:val="000000"/>
          <w:sz w:val="20"/>
        </w:rPr>
        <w:t xml:space="preserve"> gene) is responsible for either initiating or regulating cellular proliferation.</w:t>
      </w:r>
    </w:p>
    <w:p>
      <w:pPr>
        <w:pStyle w:val="TextBody"/>
        <w:bidi w:val="0"/>
        <w:spacing w:before="0" w:after="120"/>
        <w:ind w:left="0" w:right="0" w:firstLine="490"/>
        <w:jc w:val="both"/>
        <w:rPr>
          <w:rFonts w:ascii="Times New Roman" w:hAnsi="Times New Roman"/>
          <w:sz w:val="20"/>
        </w:rPr>
      </w:pPr>
      <w:r>
        <w:rPr>
          <w:rFonts w:ascii="Times New Roman" w:hAnsi="Times New Roman"/>
          <w:b/>
          <w:color w:val="000000"/>
          <w:sz w:val="20"/>
        </w:rPr>
        <w:t>AKT serine/threonine kinase (AKT)</w:t>
      </w:r>
      <w:r>
        <w:rPr>
          <w:rFonts w:ascii="Times New Roman" w:hAnsi="Times New Roman"/>
          <w:color w:val="000000"/>
          <w:sz w:val="20"/>
        </w:rPr>
        <w:t>, a central coordinator that receives the signals from PI3K and ensures that the cell responds in the appropriate manner based on the nature of the signal.</w:t>
      </w:r>
    </w:p>
    <w:p>
      <w:pPr>
        <w:pStyle w:val="TextBody"/>
        <w:bidi w:val="0"/>
        <w:spacing w:before="0" w:after="120"/>
        <w:ind w:left="0" w:right="0" w:firstLine="490"/>
        <w:jc w:val="both"/>
        <w:rPr>
          <w:rFonts w:ascii="Times New Roman" w:hAnsi="Times New Roman"/>
          <w:sz w:val="20"/>
        </w:rPr>
      </w:pPr>
      <w:r>
        <w:rPr>
          <w:rFonts w:ascii="Times New Roman" w:hAnsi="Times New Roman"/>
          <w:b/>
          <w:color w:val="000000"/>
          <w:sz w:val="20"/>
        </w:rPr>
        <w:t>Mechanistic target of rapamycin (mTOR)</w:t>
      </w:r>
      <w:r>
        <w:rPr>
          <w:rFonts w:ascii="Times New Roman" w:hAnsi="Times New Roman"/>
          <w:color w:val="000000"/>
          <w:sz w:val="20"/>
        </w:rPr>
        <w:t>, which orchestrates cell growth, proliferation and survival by determining whether cells grow and divide or conserve their resources in response to signals from PI3K/AKT. mTOR operates through two distinct complexes: mTORC1 and mTORC2. mTORC1 is activated when nutrients are abundant, driving cell growth and proliferation. mTORC2 plays a role in controlling the full activation of AKT in either a proliferative or regulatory state.</w:t>
      </w:r>
    </w:p>
    <w:p>
      <w:pPr>
        <w:pStyle w:val="TextBody"/>
        <w:bidi w:val="0"/>
        <w:spacing w:before="0" w:after="120"/>
        <w:ind w:left="0" w:right="0" w:firstLine="490"/>
        <w:jc w:val="both"/>
        <w:rPr>
          <w:rFonts w:ascii="Times New Roman" w:hAnsi="Times New Roman"/>
          <w:sz w:val="20"/>
        </w:rPr>
      </w:pPr>
      <w:r>
        <w:rPr>
          <w:rFonts w:ascii="Times New Roman" w:hAnsi="Times New Roman"/>
          <w:b/>
          <w:color w:val="000000"/>
          <w:sz w:val="20"/>
        </w:rPr>
        <w:t>Phosphatase and tensin homolog (PTEN)</w:t>
      </w:r>
      <w:r>
        <w:rPr>
          <w:rFonts w:ascii="Times New Roman" w:hAnsi="Times New Roman"/>
          <w:color w:val="000000"/>
          <w:sz w:val="20"/>
        </w:rPr>
        <w:t>, a pathway regulator that counteracts PI3K’s pro-growth actions to ensure the PI3K/AKT pathway’s pro-growth activities are appropriately controlled in healthy tissues.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4610100" cy="3152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10100" cy="3152775"/>
                    </a:xfrm>
                    <a:prstGeom prst="rect">
                      <a:avLst/>
                    </a:prstGeom>
                  </pic:spPr>
                </pic:pic>
              </a:graphicData>
            </a:graphic>
          </wp:inline>
        </w:drawing>
      </w:r>
    </w:p>
    <w:p>
      <w:pPr>
        <w:pStyle w:val="TextBody"/>
        <w:bidi w:val="0"/>
        <w:spacing w:before="0" w:after="120"/>
        <w:jc w:val="center"/>
        <w:rPr>
          <w:rFonts w:ascii="Times New Roman" w:hAnsi="Times New Roman"/>
          <w:b/>
          <w:i/>
          <w:color w:val="000000"/>
          <w:sz w:val="20"/>
        </w:rPr>
      </w:pPr>
      <w:r>
        <w:rPr>
          <w:rFonts w:ascii="Times New Roman" w:hAnsi="Times New Roman"/>
          <w:b/>
          <w:i/>
          <w:color w:val="000000"/>
          <w:sz w:val="20"/>
        </w:rPr>
        <w:t>The PI3K/AKT/mTOR Pathway</w:t>
      </w:r>
    </w:p>
    <w:p>
      <w:pPr>
        <w:pStyle w:val="TextBody"/>
        <w:bidi w:val="0"/>
        <w:spacing w:before="0" w:after="120"/>
        <w:ind w:left="0" w:right="0" w:firstLine="490"/>
        <w:jc w:val="both"/>
        <w:rPr>
          <w:rFonts w:ascii="Times New Roman" w:hAnsi="Times New Roman"/>
          <w:sz w:val="20"/>
        </w:rPr>
      </w:pPr>
      <w:r>
        <w:rPr>
          <w:rFonts w:ascii="Times New Roman" w:hAnsi="Times New Roman"/>
          <w:color w:val="000000"/>
          <w:sz w:val="20"/>
        </w:rPr>
        <w:t xml:space="preserve">Mutation of the </w:t>
      </w:r>
      <w:r>
        <w:rPr>
          <w:rFonts w:ascii="Times New Roman" w:hAnsi="Times New Roman"/>
          <w:i/>
          <w:color w:val="000000"/>
          <w:sz w:val="20"/>
        </w:rPr>
        <w:t xml:space="preserve">PIK3CA </w:t>
      </w:r>
      <w:r>
        <w:rPr>
          <w:rFonts w:ascii="Times New Roman" w:hAnsi="Times New Roman"/>
          <w:color w:val="000000"/>
          <w:sz w:val="20"/>
        </w:rPr>
        <w:t>gene is the most common oncogenic alteration of the PI3K/AKT/mTOR pathway, encompassing approximately 40% of total pathway mutations. However, mutations in any pathway component, which collectively outnumber those to PI3Kα, can also lead to oncogenic activity and the pathway can also be aberrantly activated in support of tumor growth in its non-mutated, “wild type” state either by dysregulated upstream signaling or as an adaptive response to therapy. The pathway’s ability to support tumors without its own mutation suggests its clinical relevance may extend beyond those patients with direct pathway mutations.</w:t>
      </w:r>
    </w:p>
    <w:p>
      <w:pPr>
        <w:pStyle w:val="TextBody"/>
        <w:bidi w:val="0"/>
        <w:jc w:val="both"/>
        <w:rPr/>
      </w:pPr>
      <w:r>
        <w:rPr/>
        <w:t> </w:t>
      </w:r>
    </w:p>
    <w:p>
      <w:pPr>
        <w:pStyle w:val="TextBody"/>
        <w:bidi w:val="0"/>
        <w:jc w:val="center"/>
        <w:rPr/>
      </w:pPr>
      <w:r>
        <w:rPr/>
        <w:drawing>
          <wp:inline distT="0" distB="0" distL="0" distR="0">
            <wp:extent cx="6858000" cy="2714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271462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b/>
          <w:color w:val="000000"/>
          <w:sz w:val="20"/>
        </w:rPr>
        <w:t>Broader pathway mutations outnumber PI3Kα</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18"/>
        </w:rPr>
        <w:t>Source: cBioPortal for Cancer Genomics (approximately 21,000 patients). Cerami et al., Cancer Discov. 2012; Gao et al., Sci. Signal, 2013. The “PIKTOR = 85%” figure represents the estimated percentage of PI3K/AKT/mTOR pathway-mutated tumors, across the tumor types depicted, that harbor mutations within the broad pathway nodes addressable by PIKTOR</w:t>
      </w:r>
      <w:r>
        <w:rPr>
          <w:rFonts w:ascii="Times New Roman" w:hAnsi="Times New Roman"/>
          <w:color w:val="000000"/>
          <w:sz w:val="20"/>
        </w:rPr>
        <w:t>’</w:t>
      </w:r>
      <w:r>
        <w:rPr>
          <w:rFonts w:ascii="Times New Roman" w:hAnsi="Times New Roman"/>
          <w:i/>
          <w:color w:val="000000"/>
          <w:sz w:val="18"/>
        </w:rPr>
        <w:t>s multi-node mechanism (PI3Kα, mTORC1, mTORC2 and associated pathway components). The "Mut Spec = 8%" figure represents the estimated average percentage of endometrial tumors harboring a PIK3CA mutation as the sole pathway alteration, reflecting the narrower population that may be addressable by mutant-specific PI3Ka inhibitors. The percentages in the Venn diagram relate to all ten tumor types reflected in the bar chart. These estimates are based on the Company’s analysis of publicly available genomic data. NSCLC: non-small cell lung cancer.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Approved Single-Node Inhibitors (SNI) Therapies and Their Limitations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Given the relevance of the PI3K/AKT/mTOR pathway in the context of cancer, considerable effort and resources have been expended to develop pathway inhibitors. These efforts have resulted in the approval of five agents for the treatment of PI3K/AKT/mTOR pathway-associated solid tumors, each of which is a single-node inhibitor, or SNI, of the pathway:</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Alpelisib: selective PI3Kα inhibitor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Inavolisib: selective PI3Kα inhibitor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Capivasertib: pan-AKT inhibitor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Everolimus: mTORC1 inhibitor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Temsirolimus: mTORC1 inhibitor</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The currently approved therapies have focused on single-node inhibition and PI3Kα isoform selectivity in an attempt to improve the class’s therapeutic window. Earlier pan-PI3K isoform inhibitors produced numerous trial failures, and one withdrawn approval, due to weak efficacy or immunologic and metabolic toxicities.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primary factor limiting the effectiveness of these approved treatments is that inhibition of a single pathway node can produce only partial pathway suppression, leaving the remaining nodes available to sustain or reroute oncogenic signaling. This approach, common in cancer drug development and successful in other settings where tumor growth is driven by a single mutated “on/off switch,” is inadequate in this setting due to the redundant, distributed signaling capabilities of the PI3K/AKT/mTOR pathway. SNIs, therefore, have only limited impact on many key oncogenic dysregulations and are circumvented by the acute adaptive rerouting of signaling, and due to emergence of additional pathway mutations, both of which arise in response to treatment. SNIs have also been associated with elevated on-target toxicities that have led to either clinical trial discontinuations or restricted commercial uptake.</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The MNI Thesis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discovery and development of targeted therapies for cancer in the early 2000s marked a major innovative breakthrough in cancer treatment and has improved the lives of millions of patients over the past two decades. More than twenty years of experience with these treatments, however, has taught us that cancer’s biology is often far too complex to be vanquished by the blockade of single oncogenic mutations.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Our core scientific thesis is that simultaneously suppressing multiple nodes of complex signaling pathways can produce deeper, more durable tumor suppression than targeting any single node alone because it not only can block initial oncogenic mutations but also restrict the development of adaptive resistance mechanisms that emerge in response to treatment. Emerging clinical evidence suggests that SNI-driven suppression may itself promote acquired resistance, further underscoring the need for a more comprehensive approach.</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In contrast to single-node inhibition, MNIs are designed to better match the biologic architecture of the PI3K/AKT/mTOR pathway to maintain durable suppression, as they not only inhibit initial dysregulated oncogenic signaling at multiple points but also shut down the "escape routes" that tumors often employ to resist treatment. Because MNI suppresses the pathway more comprehensively, emerging evidence suggests its clinical benefit may extend beyond patients with direct pathway mutations to include tumors where the pathway is aberrantly activated as a resistance mechanism rather than a primary oncogenic driver. This differentiated capability has been reflected in clinical trial data generated by some development stage MNIs relative to the approved SNIs, as discussed further below.</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PIKTOR — Our Lead Clinical Candidate</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Composition and Mechanism of Action</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PIKTOR, our lead clinical candidate, is an oral MNI of the PI3K/AKT/mTOR pathway. PIKTOR is comprised of two independently dosed inhibitors of discrete pathway nodes: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pPr>
      <w:r>
        <w:rPr>
          <w:rFonts w:ascii="Times New Roman" w:hAnsi="Times New Roman"/>
          <w:b/>
          <w:color w:val="000000"/>
          <w:sz w:val="20"/>
        </w:rPr>
        <w:t>Serabelisib</w:t>
      </w:r>
      <w:r>
        <w:rPr>
          <w:rFonts w:ascii="Times New Roman" w:hAnsi="Times New Roman"/>
          <w:color w:val="000000"/>
          <w:sz w:val="20"/>
        </w:rPr>
        <w:t>, a selective phosphoinositide 3-kinase alpha (PI3Kα) inhibitor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Sapanisertib</w:t>
      </w:r>
      <w:r>
        <w:rPr>
          <w:rFonts w:ascii="Times New Roman" w:hAnsi="Times New Roman"/>
          <w:color w:val="000000"/>
          <w:sz w:val="20"/>
        </w:rPr>
        <w:t>, a mammalian target of rapamycin complexes (mTORC) 1 and 2 inhibitor</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 xml:space="preserve">PIKTOR’s design reflects a strategy of vertical pathway blockade, targeting PI3Kα upstream and mTORC1 and mTORC2 downstream, simultaneously addressing oncogenic pathway activation and the adaptive escape routes tumors employ to resist treatment,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while suppressing downstream signaling regardless of mutational status. In addition, the selectivity of serabelisib for PI3Kα versus other PI3K isoforms may reduce the risk of off-target toxicities associated with pan-PI3K inhibition. </w:t>
      </w:r>
    </w:p>
    <w:p>
      <w:pPr>
        <w:pStyle w:val="TextBody"/>
        <w:bidi w:val="0"/>
        <w:jc w:val="center"/>
        <w:rPr/>
      </w:pPr>
      <w:r>
        <w:rPr/>
        <w:drawing>
          <wp:inline distT="0" distB="0" distL="0" distR="0">
            <wp:extent cx="6858000" cy="3686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6861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PIKTOR’s Multi-node Mechanism of Action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8"/>
        </w:rPr>
        <w:t>Source: Tyrakis et al., British Journal of Cancer, 2025; 133: 144–154. Hopkins BD, Pauli C, Du X, Wang DG, Li X, Wu D, et al. Suppression of insulin feedback enhances the efficacy of PI3K inhibitors. Nature. 2018;560:499–503.</w:t>
      </w:r>
      <w:r>
        <w:rPr>
          <w:rFonts w:ascii="Times New Roman" w:hAnsi="Times New Roman"/>
          <w:color w:val="000000"/>
          <w:sz w:val="20"/>
        </w:rPr>
        <w:t xml:space="preserve"> </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Differentiated Product Profile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believe PIKTOR may have a substantially differentiated clinical profile versus both currently available and developmental treatments for multiple solid tumors, including:</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pPr>
      <w:r>
        <w:rPr>
          <w:rFonts w:ascii="Times New Roman" w:hAnsi="Times New Roman"/>
          <w:b/>
          <w:color w:val="000000"/>
          <w:sz w:val="20"/>
        </w:rPr>
        <w:t>Oral MNI mechanism of action</w:t>
      </w:r>
      <w:r>
        <w:rPr>
          <w:rFonts w:ascii="Times New Roman" w:hAnsi="Times New Roman"/>
          <w:color w:val="000000"/>
          <w:sz w:val="20"/>
        </w:rPr>
        <w:t>, providing convenient administration relative to IV-based alternatives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Favorable emerging tolerability profile</w:t>
      </w:r>
      <w:r>
        <w:rPr>
          <w:rFonts w:ascii="Times New Roman" w:hAnsi="Times New Roman"/>
          <w:color w:val="000000"/>
          <w:sz w:val="20"/>
        </w:rPr>
        <w:t>, with rates of hyperglycemia and stomatitis observed in clinical trials to date that compare favorably to those reported for both approved SNIs and other MNIs in development, as described in the “Emerging Safety Profile” section below</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Potentially best-in-class-potency, </w:t>
      </w:r>
      <w:r>
        <w:rPr>
          <w:rFonts w:ascii="Times New Roman" w:hAnsi="Times New Roman"/>
          <w:color w:val="000000"/>
          <w:sz w:val="20"/>
        </w:rPr>
        <w:t>with preclinical data suggesting PIKTOR may achieve pathway suppression at lower concentrations than either approved or developmental competitors</w:t>
      </w:r>
      <w:r>
        <w:rPr>
          <w:color w:val="000000"/>
        </w:rPr>
        <w:t xml:space="preserve">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Broad anti-tumor impact</w:t>
      </w:r>
      <w:r>
        <w:rPr>
          <w:rFonts w:ascii="Times New Roman" w:hAnsi="Times New Roman"/>
          <w:color w:val="000000"/>
          <w:sz w:val="20"/>
        </w:rPr>
        <w:t>, with responses observed across multiple tumor types and mutational profiles, including in patients with no detectable PI3K/AKT/mTOR pathway mutations, suggesting that multi-node inhibition may confer clinical benefit independent of mutational status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Selective PI3Kα inhibition </w:t>
      </w:r>
      <w:r>
        <w:rPr>
          <w:rFonts w:ascii="Times New Roman" w:hAnsi="Times New Roman"/>
          <w:color w:val="000000"/>
          <w:sz w:val="20"/>
        </w:rPr>
        <w:t>that may avoid immunologic toxicity that has been historically associated with pan-PI3K inhibitors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Synergistic activity </w:t>
      </w:r>
      <w:r>
        <w:rPr>
          <w:rFonts w:ascii="Times New Roman" w:hAnsi="Times New Roman"/>
          <w:color w:val="000000"/>
          <w:sz w:val="20"/>
        </w:rPr>
        <w:t>with CDK4/6 inhibitors, taxane-based chemotherapy, and potentially selective estrogen receptor degraders, or SERDs, as observed in preclinical models — all of which are important components of current treatment regimens across our targeted tumor types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Tunability </w:t>
      </w:r>
      <w:r>
        <w:rPr>
          <w:rFonts w:ascii="Times New Roman" w:hAnsi="Times New Roman"/>
          <w:color w:val="000000"/>
          <w:sz w:val="20"/>
        </w:rPr>
        <w:t>that may potentially enable indication-specific dose optimization of each component through independent dosing of serabelisib and sapanisertib</w:t>
      </w:r>
    </w:p>
    <w:p>
      <w:pPr>
        <w:pStyle w:val="TextBody"/>
        <w:bidi w:val="0"/>
        <w:jc w:val="both"/>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1647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1647825"/>
                    </a:xfrm>
                    <a:prstGeom prst="rect">
                      <a:avLst/>
                    </a:prstGeom>
                  </pic:spPr>
                </pic:pic>
              </a:graphicData>
            </a:graphic>
          </wp:inline>
        </w:drawing>
      </w:r>
    </w:p>
    <w:p>
      <w:pPr>
        <w:pStyle w:val="TextBody"/>
        <w:bidi w:val="0"/>
        <w:jc w:val="center"/>
        <w:rPr/>
      </w:pPr>
      <w:r>
        <w:rPr/>
        <w:t> </w:t>
      </w:r>
    </w:p>
    <w:p>
      <w:pPr>
        <w:pStyle w:val="TextBody"/>
        <w:bidi w:val="0"/>
        <w:jc w:val="center"/>
        <w:rPr/>
      </w:pPr>
      <w:r>
        <w:rPr/>
        <w:drawing>
          <wp:inline distT="0" distB="0" distL="0" distR="0">
            <wp:extent cx="6858000" cy="2352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2352675"/>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0"/>
        </w:rPr>
        <w:t>PIKTOR achieves pathway suppression at lower concentrations than other PI3K/AKT/mTOR targeted agents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Source: Tyrakis et al., British Journal of Cancer, 2025; 133: 144–154. IC50 values represent the concentration required to achieve 50% reduction in cell number versus control in each cell line. PIKTOR values reflect the sapanisertib IC50 for the combination of serabelisib and sapanisertib at fixed ratio representing clinical exposure. ¹ Tyrakis et al., British Journal of Cancer, 2025; 133: 144–154. ² The Company’s internal data. Gedatolisib IC50 values in the endometrial cancer cell lines and data for the paclitaxel-resistant cell line variants are based on the Company’s internal preclinical analyses and have not been independently published. ND = not done. Note: When comparing serabelisib and alpelisib, the clinically relevant human exposure for serabelisib is 3-4-fold higher than alpelisib. The IC50 values shown above are derived from in vitro preclinical studies conducted under varying experimental conditions, including differences in cell lines, assay protocols, drug concentrations and combination ratios. No head-to-head preclinical or clinical studies have been conducted among the agents shown. In vitro results may not be predictive of clinical outcomes, and these comparisons should be interpreted with caution.</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PK/PD Profile and Phase 2 Dose for Study FTH-PIK-201</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Findings from prior development work have led to the characterization of PIKTOR's differentiated pharmacokinetic/pharmacodynamic, or PK/PD, profile and the identification of PIKTOR's phase 2 dose, or RP2D, of 3mg sapanisertib/200mg serabelisib administered on an intermittent dosing schedule of three days per week on a continuous monthly cycle that we are utilizing in our ongoing Phase 2 trial in endometrial cancer, study FTH-PIK-201. We believe this PK/PD-enabled dosage level and frequency combination is important to PIKTOR's potentially differentiated clinical profile because it is designed to maximize the amount of time that plasma concentrations of PIKTOR are at or above in vitro IC90 concentration — potentially as much as two to three times longer per month than competitors — while being within levels that have been generally well tolerated by patients in previous studies.</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pPr>
      <w:r>
        <w:rPr/>
        <w:drawing>
          <wp:inline distT="0" distB="0" distL="0" distR="0">
            <wp:extent cx="4257675" cy="2114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57675" cy="211455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Oral PIKTOR dosing designed to enable sustained exposure and limit risk of potential Cmax-related toxicity</w:t>
      </w:r>
    </w:p>
    <w:p>
      <w:pPr>
        <w:pStyle w:val="TextBody"/>
        <w:bidi w:val="0"/>
        <w:jc w:val="left"/>
        <w:rPr>
          <w:rFonts w:ascii="Times New Roman" w:hAnsi="Times New Roman"/>
          <w:i/>
          <w:color w:val="000000"/>
          <w:sz w:val="18"/>
        </w:rPr>
      </w:pPr>
      <w:r>
        <w:rPr>
          <w:rFonts w:ascii="Times New Roman" w:hAnsi="Times New Roman"/>
          <w:i/>
          <w:color w:val="000000"/>
          <w:sz w:val="18"/>
        </w:rPr>
        <w:t>Plot shows ratio of human plasma drug concentration to in vitro (cellular) IC90 for sapanisertib (cellular IC90 determined in HR+ breast cancer cell lines for sapanisertib + serabelisib). Pharmacokinetic (PK) data is modeled from Faeth internal human PK studies and represents Sapanisertib oral capsule 3 mg given once a day with food for 3 days with serabelisib.</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Emerging Safety Profile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Beyond the potential efficacy advantages of PIKTOR, we believe clinical data to date suggest a tolerability profile that may compare favorably to both currently approved SNIs and other MNIs in development. The management of treatment-related adverse events, particularly hyperglycemia and stomatitis, has been a meaningful challenge with existing PI3K/AKT/mTOR pathway therapies and has in some cases limited their commercial uptake. Both toxicities have to date been observed at substantially lower rates in our ongoing Phase 2 clinical trial of PIKTOR in advanced endometrial cancer (Study FTH-PIK-201) relative to rates reported in published clinical trials of several other PI3K/AKT/mTOR pathway agents, as depicted below. These comparisons are derived from different clinical trials conducted at different points in time with differences in trial design, including different grading criteria. No head-to-head trials have been conducted among the agents shown, and cross-trial comparisons must be interpreted with caution.</w:t>
      </w:r>
    </w:p>
    <w:p>
      <w:pPr>
        <w:pStyle w:val="TextBody"/>
        <w:bidi w:val="0"/>
        <w:jc w:val="center"/>
        <w:rPr/>
      </w:pPr>
      <w:r>
        <w:rPr/>
        <w:drawing>
          <wp:inline distT="0" distB="0" distL="0" distR="0">
            <wp:extent cx="5486400" cy="2838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86400" cy="283845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Hyperglycemia Adverse Event rates of selected PI3K pathway compounds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514975" cy="2628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514975" cy="26289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Stomatitis Adverse Event Rates of selected PI3K pathway compounds</w:t>
      </w:r>
    </w:p>
    <w:p>
      <w:pPr>
        <w:pStyle w:val="TextBody"/>
        <w:bidi w:val="0"/>
        <w:jc w:val="center"/>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Source: Inavolisib: Jhaveri et al. JCO 2024;42(33):3947-3956 (n=20). RLY-2608: ASCO Poster 2025, 600 mg BID, RP2D Cohort (n=64). STX-478: Juric D. et al., ESMO Presentation 2025 (n=205). Gedatolisib (Ph3): Celcuity VIKTORIA-1 Phase 3 Results Presentation, Doublet Arm, Oct 2025 (n=130). PIKTOR Ph2 Endo: Data snapshot, FTH-PIK-201, PIKTOR + Paclitaxel in patients with advanced endometrial cancer, data as of January 5, 2026, ongoing Faeth-sponsored multicenter Phase 2 trial (n=22). Alpelisib: Andre, F. et al., N Engl J Med 2019;380:1929-40 (n=284). Gedatolisib (Ph1b): Layman et al., 2022, SABCS 2022 Poster (n=103).</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PIKTOR has several characteristics that we believe may contribute to this emerging tolerability profile. Its PI3Kα isoform specificity may reduce the potential risk of immune compromising toxicities that have been previously associated with pan-PI3K inhibitors. Its oral formulation and intermittent dosing schedule are designed to maintain plasma concentrations within a therapeutic range while avoiding the extreme peak concentrations that may be associated with certain adverse events. In addition, by achieving more complete pathway suppression across multiple nodes, PIKTOR can be administered at substantially lower doses of each component than are required for monotherapy, which we believe may confer deeper efficacy within a more tolerable clinical profile.</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Clinical Development History and Evidence to Date</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Development History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Both serabelisib and sapanisertib have been studied either alone or in combination, including in combination with other agents, in multiple preclinical studies and in clinical trials involving approximately 1,050 patients at a range of doses. Within the completed studies, 152 patients have received PIKTOR at doses ranging from 2mg to 8mg of sapanisertib and from 100mg to 400mg of serabelisib and in either daily or intermittent schedules in three clinical trials, one of which included both dose escalation and dose expansion cohorts. Across these studies, PIKTOR was generally well tolerated with most AEs considered possibly drug related being mild or moderate in severity. A total of 13 drug-related significant adverse events, or SAEs, all non-fatal, were reported across the three trials. SAEs reported by more than one participant were: increased transaminases (4), nausea (2), vomiting (2), and hyperglycemia (2).</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data that have emerged from these clinical trials — each component demonstrating anti-tumor activity as monotherapy, and the combination generally well tolerated at low doses with clinical activity alongside other agents — support our belief that PIKTOR has the potential to provide more comprehensive and tolerable PI3K/AKT/mTOR pathway inhibition than current SNIs, and may be differentiated from other MNIs in development.</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Phase 1b Study X31025 — Results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Study X31025 was an investigator-initiated, Phase 1, open-label, single center, dose-escalation trial of PIKTOR in combination with weekly paclitaxel in 19 heavily pretreated patients (averaging four prior lines of therapy) with advanced breast (3), endometrial (6) and ovarian (10) tumors. All but one patient had been previously treated with taxane-based chemotherapy. The study consisted of five dose cohorts which were administered via a three days per week/four weeks per month intermittent dosing schedule. Doses ranged from 2mg to 4mg of sapanisertib, 100mg to 200mg of serabelisib and 60 mg/m² to 80 mg/m² of paclitaxel.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Efficacy Results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At the conclusion of the study, 15 patients were evaluable for efficacy. The objective response rate (ORR) was 47% and the Clinical Benefit Rate, or CBR, was 73%. Amongst patients expressing at least one PI3K/AKT/mTOR pathway mutation, the ORR increased to 71%. Individual patient responses were:</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Complete Responses, or CRs, all in endometrial cancer patients who had failed previous taxane treatment</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Partial Responses, or PRs, 1 breast, 2 ovarian, and 1 endometrial</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Stable Disease, or SD, all ovarian, for greater than or equal to 6 months</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At the time of the data cutoff for the publication, median Progression-Free Survival, or PFS, was 11 months, and overall survival, or OS, was 17 months. The genetic profiles of the tumors revealed that 2 patients had direct PI3Kα mutations, 5 had broader PI3K/AKT/mTOR pathway mutations, and 8 had no pathway mutations. Responses were observed across all tumor types and in all mutational classifications.</w:t>
      </w:r>
    </w:p>
    <w:p>
      <w:pPr>
        <w:pStyle w:val="TextBody"/>
        <w:bidi w:val="0"/>
        <w:jc w:val="center"/>
        <w:rPr/>
      </w:pPr>
      <w:r>
        <w:rPr/>
        <w:drawing>
          <wp:inline distT="0" distB="0" distL="0" distR="0">
            <wp:extent cx="6858000" cy="2571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257175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Patient tumor types, mutations and response status from Phase 1b trial, X31025</w:t>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Source: Starks DC, Rojas-Espaillat L, Meissner T, Williams CB. Phase I dose escalation study of dual PI3K/mTOR inhibition by Sapanisertib and Serabelisib in combination with paclitaxel in patients with advanced solid tumors. Gynecologic Oncology. 2022 Jul 15. n=19 enrolled (15 response evaluable, 13 RECIST evaluable). Data cutoff per publication October 1, 2021. All but one subject had prior platinum and taxane-based chemotherapy. Seven subjects (36%) had prior mTORC1 inhibitor therapy (temsirolimus/everolimus).</w:t>
      </w:r>
    </w:p>
    <w:p>
      <w:pPr>
        <w:pStyle w:val="TextBody"/>
        <w:bidi w:val="0"/>
        <w:jc w:val="left"/>
        <w:rPr>
          <w:rFonts w:ascii="Times New Roman" w:hAnsi="Times New Roman"/>
          <w:i/>
          <w:color w:val="000000"/>
          <w:sz w:val="18"/>
        </w:rPr>
      </w:pPr>
      <w:r>
        <w:rPr>
          <w:rFonts w:ascii="Times New Roman" w:hAnsi="Times New Roman"/>
          <w:i/>
          <w:color w:val="000000"/>
          <w:sz w:val="18"/>
        </w:rPr>
        <w:t>Abbreviations: LOT = Lines of Therapy; ORR = Objective Response Rate; CBR = Clinical Benefit Rate; PFS = Progression-Free Survival.</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Tolerability Results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PIKTOR was generally well tolerated in the trial. Most treatment emergent adverse events were classified as mild or moderate and only one dose-limiting toxicity (DLT), which occurred at dose level 5, was observed. The most frequent grade 3 or 4 adverse events were decreased white blood cells, nonfebrile neutropenia, hyperglycemia, anemia, and elevated liver enzymes.</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FTH-PIK-201 January 2026 Data Snapshot</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PIKTOR’s tolerability profile was further informed by the results of a data snapshot we conducted in January 2026 of 22 advanced endometrial cancer patients enrolled in Study FTH-PIK-201. The data showed that PIKTOR continued to be generally well tolerated. Patients experienced stomatitis (13.6% any grade, 0% grade 3/4) and hyperglycemia (13.6% any grade and 4.5% grade 3/4) at levels that compare favorably to existing SNIs and development-stage MNIs. Of note, patients in the PIK-201 study are not required to use any steroid mouthwash prophylaxis.</w:t>
      </w:r>
    </w:p>
    <w:p>
      <w:pPr>
        <w:pStyle w:val="TextBody"/>
        <w:bidi w:val="0"/>
        <w:spacing w:before="280" w:after="120"/>
        <w:jc w:val="both"/>
        <w:rPr>
          <w:rFonts w:ascii="Times New Roman" w:hAnsi="Times New Roman"/>
          <w:b/>
          <w:color w:val="000000"/>
          <w:sz w:val="20"/>
        </w:rPr>
      </w:pPr>
      <w:r>
        <w:rPr>
          <w:rFonts w:ascii="Times New Roman" w:hAnsi="Times New Roman"/>
          <w:b/>
          <w:color w:val="000000"/>
          <w:sz w:val="20"/>
        </w:rPr>
        <w:t>Clinical Development Plans by Indication</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PIKTOR’s development is advancing in large, urgent areas of unmet need where dysregulated PI3K/AKT/mTOR pathway activity is strongly implicated in oncogenesis and tumor progression and patients often face a dire prognosis.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Advanced HR+/HER2- Breast Cancer</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Disease Overview and Unmet Need</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Breast cancer is the most common cancer diagnosed among women in the United States, where it is projected there will be approximately 325,000 new diagnoses in 2026. The most common form of breast cancer is HR+/HER2-, a hormonally driven tumor subtype, which accounts for approximately 70% of overall breast cancer incidence. Amongst total HR+/HER2- cases, approximately 60% express PI3K/AKT/mTOR pathway mutations.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In 2026, an estimated 58,000 HR+/HER2- breast cancer patients are expected to be diagnosed with or progress to advanced disease stages in the United States. For these patients, the current standard of care first-line regimen is endocrine based therapy, either an aromatase inhibitor, or AI, or a SERD in combination with a cyclin-dependent kinase 4/6 (CDK4/6) inhibitor. Together, these agents can slow tumor growth by blocking dysregulated signaling from the hormone receptors on tumors (SERD, AI), as well as the downstream cellular division processes that translate these oncogenic signals into uncontrolled proliferation (CDK4/6). Despite the anti-tumor benefits of this regimen, however, most patients will still experience disease progression within three years from diagnosis, with an expected survival rate at five years of 34%.</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Approved SNIs in HR+/HER2- Advanced Disease</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Given the strong implication of the PI3K/AKT/mTOR pathway in tumor progression in this setting, the addition of a SNI is recommended for subsequent rounds of endocrine/CDK4/6 therapy following initial progression. There are currently four agents approved for PI3K/AKT/mTOR pathway-altered HR+/HER2- advanced breast cancer, spanning both first- and second-line settings:</w:t>
      </w:r>
    </w:p>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b/>
          <w:color w:val="000000"/>
          <w:sz w:val="20"/>
        </w:rPr>
        <w:t>First-line (endocrine-resistant, PIK3CA-mutated)</w:t>
      </w:r>
      <w:r>
        <w:rPr>
          <w:rFonts w:ascii="Times New Roman" w:hAnsi="Times New Roman"/>
          <w:color w:val="000000"/>
          <w:sz w:val="20"/>
        </w:rPr>
        <w:t>: Inavolisib (selective PI3Kα inhibitor/degrader), approved in October 2024 in combination with palbociclib and fulvestrant, is the first targeted therapy approved specifically for the first-line treatment of endocrine-resistant, PIK3CA-mutated HR+/HER2- advanced breast cancer. In its pivotal Phase 3 trial, INAVO120, the inavolisib-based triplet more than doubled median PFS compared to palbociclib and fulvestrant alone (15.0 months vs. 7.3 months), reducing the risk of disease progression or death by 57% (HR 0.43). Updated overall survival data have demonstrated a statistically significant survival benefit as well.</w:t>
      </w:r>
    </w:p>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b/>
          <w:color w:val="000000"/>
          <w:sz w:val="20"/>
        </w:rPr>
        <w:t>Second-line and beyond (post-CDK4/6 progression)</w:t>
      </w:r>
      <w:r>
        <w:rPr>
          <w:rFonts w:ascii="Times New Roman" w:hAnsi="Times New Roman"/>
          <w:color w:val="000000"/>
          <w:sz w:val="20"/>
        </w:rPr>
        <w:t>: Three additional agents are approved for use following progression on CDK4/6 inhibitor-based therapy: alpelisib (selective PI3Kα inhibitor), capivasertib (pan-AKT inhibitor), and everolimus (mTORC1 inhibitor). Of these, the best data generated to date was shown by capivasertib in combination with fulvestrant, a SERD. In its pivotal trial, CAPItello-291, the combination improved median PFS in the PIK3CA/AKT1/PTEN-altered subgroup to 7.3 months vs. 3.1 months for fulvestrant alone, reducing the risk of disease progression or death (hazard ratio) by 50%.</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Notably, all four approved agents are single-node inhibitors, each targeting only one component of the PI3K/AKT/mTOR pathway. Three of the four (inavolisib, alpelisib, and capivasertib) also require the presence of specific activating mutations for their approved indications, limiting their addressable patient populations.</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MNI Class Validation via Gedatolisib</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Recent clinical trial results from the VIKTORIA-1 trial (PIK3CA-wild-type cohort) of the PI3K/AKT/mTOR pathway MNI gedatolisib (an IV pan PI3K/mTORC1/2 inhibitor) in combination with fulvestrant alone and fulvestrant and palbociclib in combination in advanced HR+/HER2- breast cancer patients with no PIK3CA mutation who are post endocrine therapy/CDK4/6 progression have offered compelling clinical validation for the thesis that an MNI approach can improve outcomes relative to SNIs.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Gedatolisib’s results to date have compared favorably relative to the currently approved SNIs, including: PFS of 9.3 months for the gedatolisib triplet (gedatolisib plus fulvestrant plus palbociclib) (HR 0.24) and 7.4 months for the gedatolisib doublet (gedatolisib plus fulvestrant) (HR 0.33) versus fulvestrant alone. Both of these results are superior to any data generated to date in comparable patients by an SNI. We believe these results further validate the superiority of MNI to SNI.</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PIKTOR’s Development Rationale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Beyond gedatolisib’s MNI class-validating results, we believe PIKTOR’s substantial body of preclinical evidence demonstrating deep pathway suppression and activity in multiple breast tumor models, including in synergistic combination with palbociclib, provides evidence that PIKTOR has the potential to produce a meaningful benefit to patients in this setting.</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829050" cy="2514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29050" cy="25146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PIKTOR’s impact on the MDA-MB-361 breast cancer model</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Source: Tyrakis et al., British Journal of Cancer, 2025; 133: 144–154 / Faeth Internal Data. Serabelisib dosed at 75 mg/kg (mouse equivalent of 200mg in humans), PO QD, 3 days on / 4 days off. Sapanisertib dosed at 0.5 mg/kg (mouse equivalent of 3mg in humans), PO QD, 3 days on / 4 days off. MDA-MB-361 cell line mutations: PIK3CA, MTOR, BRCA2, BRAF, CDKN2A, TP53. The human-equivalent doses correspond to the RP2D of 200mg serabelisib / 3mg sapanisertib utilized in the Company’s ongoing clinical trials.</w:t>
      </w:r>
    </w:p>
    <w:p>
      <w:pPr>
        <w:pStyle w:val="TextBody"/>
        <w:bidi w:val="0"/>
        <w:spacing w:before="240" w:after="120"/>
        <w:ind w:left="0" w:right="0" w:firstLine="490"/>
        <w:jc w:val="both"/>
        <w:rPr>
          <w:rFonts w:ascii="Times New Roman" w:hAnsi="Times New Roman"/>
          <w:color w:val="000000"/>
          <w:sz w:val="20"/>
        </w:rPr>
      </w:pPr>
      <w:r>
        <w:rPr>
          <w:rFonts w:ascii="Times New Roman" w:hAnsi="Times New Roman"/>
          <w:color w:val="000000"/>
          <w:sz w:val="20"/>
        </w:rPr>
        <w:t>In addition, results from a Phase 2 clinical trial (Garcia-Saenz et al., 2022) showing that sapanisertib, administered daily and at higher doses than we are contemplating in our future clinical development plans due to tolerability risks, in combination with fulvestrant, could produce comparable results to gedatolisib plus fulvestrant (21.3% Objective Response Rate, or ORR, PFS 7.2 months for sapanisertib plus fulvestrant vs. 28.3% ORR and 7.4 months PFS for gedatolisib plus fulvestrant) in advanced HR+/HER2- breast cancer patients. These are cross-trial comparisons involving different patient populations and trial designs, and should be interpreted with caution.</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PIKTOR’s Potential for Differentiation Amongst MNIs in HR+/HER2- Breast Cancer</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In addition to the general safety and PK/PD profile advantages described in the “Emerging Safety Profile” and “Differentiated Product Profile” sections above, we believe PIKTOR has several characteristics that may combine to create a differentiated profile within the MNI class specifically in the HR+/HER2- breast cancer setting:</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Its oral formulation may enable the establishment of an all oral MNI-based treatment regimen for advanced HR+/HER2- breast cancer that would untether patients from mandatory in-patient infusion treatment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Low levels of stomatitis at the RP2D — 6% any grade observed in the Phase 1b trial and 13.6% any grade in the January 2026 FTH-PIK-201 data snapshot — that may reduce the need for four times daily prophylactic treatment with a corticosteroid mouthwash</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 PK/PD profile that we believe, based on our analysis of publicly available data, may offer two key advantages over other developmental MNIs: first, PIKTOR</w:t>
      </w:r>
      <w:r>
        <w:rPr>
          <w:color w:val="000000"/>
        </w:rPr>
        <w:t>’</w:t>
      </w:r>
      <w:r>
        <w:rPr>
          <w:rFonts w:ascii="Times New Roman" w:hAnsi="Times New Roman"/>
          <w:color w:val="000000"/>
          <w:sz w:val="20"/>
        </w:rPr>
        <w:t>s oral intermittent dosing schedule is designed to maintain plasma concentrations at or above the IC90 efficacy threshold for approximately two to three times longer per month; and second, PIKTOR’s lower required dose levels result in a substantially lower ratio of peak drug concentration (Cmax) to IC90, which we believe may reduce the risk of concentration-dependent toxicities</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Planned Study FTH-PIK-101</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Study FTH-PIK-101 is our planned Phase 1b open-label, dose escalation trial of PIKTOR in advanced HR+/HER2- breast cancer. The purpose of this study is to evaluate PIKTOR’s safety and preliminary efficacy in combination with fulvestrant, +/- palbociclib, in advanced HR+/HER2- metastatic breast cancer patients who have failed prior systemic therapies.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expect that the study will evaluate escalating doses of PIKTOR (between 2mg and 4mg of sapanisertib and between 200mg and 300mg of serabelisib) administered three days per week/four weeks per month over 28-day cycles 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Cohort A: </w:t>
      </w:r>
      <w:r>
        <w:rPr>
          <w:rFonts w:ascii="Times New Roman" w:hAnsi="Times New Roman"/>
          <w:color w:val="000000"/>
          <w:sz w:val="20"/>
        </w:rPr>
        <w:t>500mg of fulvestrant alone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Cohort B: </w:t>
      </w:r>
      <w:r>
        <w:rPr>
          <w:rFonts w:ascii="Times New Roman" w:hAnsi="Times New Roman"/>
          <w:color w:val="000000"/>
          <w:sz w:val="20"/>
        </w:rPr>
        <w:t>500mg fulvestrant plus 125mg of palbociclib</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 xml:space="preserve">The Phase 1b component of the study is anticipated to enroll up to six adult participants per dose level in each cohort, up to a total of 36 patients. Pending the successful establishment of the RP2D for each cohort in the Phase 1b portion of the trial, we intend to subsequently enroll at least two expansion cohorts of approximately 30 patients each under a future amendment in Phase 2. We may initiate additional dose escalation cohorts with other investigational agents under a future amendment.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intend to initiate this trial in the first half of 2026. We anticipate announcing interim data from the dose escalation portion of the trial, and initiating the expansion cohorts, in 2027 and announcing data from the expansion cohorts in 2028.</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Advanced Endometrial Cancer</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Disease Overview and Unmet Need</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Endometrial cancer is the fourth most common cancer in women in the United States, with approximately 62,000 new diagnoses expected in 2026. Between 10,000 and 15,000 women annually will experience advanced disease either at initial diagnosis or due to progression. For these patients, the expected survival rate at five years is 18%.</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At least one PI3K/AKT/mTOR pathway mutation is present in approximately 80% of endometrial tumors, however, there are currently no approved PI3K/AKT/mTOR pathway inhibitors for endometrial cancer.</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Current Treatment Options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current first-line standard of care regimen for advanced endometrial cancer is chemotherapy, carboplatin plus paclitaxel, combined with an immune checkpoint inhibitor. For patients who progress, second-line treatment consists of pembrolizumab combined with the multi kinase inhibitor lenvatinib, which demonstrated an ORR of 30% with PFS of 6.6 months (HR 0.60) in its pivotal trial, KEYNOTE-775, for which the first-line regimen did not yet include checkpoint inhibitors. If patients cannot tolerate lenvatinib/pembrolizumab or are not expected to respond to a second course of checkpoint inhibitor therapy, the use of single agent chemotherapy, which produced an ORR of 14.7% and PFS of 3.8 months as the control arm in KEYNOTE-775, is recommended.</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PIKTOR’s Development Rationale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As described in the Phase 1b results above, PIKTOR demonstrated an 80% ORR in five heavily pretreated endometrial cancer patients in Study X31025, including three complete responses, with median PFS of 11 months. We believe these results, combined with preclinical data demonstrating dose dependent inhibitory activity in four endometrial cancer preclinical models (HEC1B, MFE280, MFE296, and AN3CA) in combination with paclitaxel, support our plans to further evaluate PIKTOR in this setting.</w:t>
      </w:r>
    </w:p>
    <w:p>
      <w:pPr>
        <w:pStyle w:val="TextBody"/>
        <w:bidi w:val="0"/>
        <w:jc w:val="both"/>
        <w:rPr/>
      </w:pPr>
      <w:r>
        <w:rPr/>
        <w:t> </w:t>
      </w:r>
    </w:p>
    <w:p>
      <w:pPr>
        <w:pStyle w:val="TextBody"/>
        <w:bidi w:val="0"/>
        <w:jc w:val="center"/>
        <w:rPr/>
      </w:pPr>
      <w:r>
        <w:rPr/>
        <w:drawing>
          <wp:inline distT="0" distB="0" distL="0" distR="0">
            <wp:extent cx="5562600" cy="1733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562600" cy="1733550"/>
                    </a:xfrm>
                    <a:prstGeom prst="rect">
                      <a:avLst/>
                    </a:prstGeom>
                  </pic:spPr>
                </pic:pic>
              </a:graphicData>
            </a:graphic>
          </wp:inline>
        </w:drawing>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Endometrial tumor mutations and response status from Phase 1b trial, X31025</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18"/>
        </w:rPr>
        <w:t>Source: Starks DC, Rojas-Espaillat L, Meissner T, Williams CB. Phase I dose escalation study of dual PI3K/mTOR inhibition by Sapanisertib and Serabelisib in combination with paclitaxel in patients with advanced solid tumors. Gynecologic Oncology. 2022 Jul 15. Data cutoff per publication October 1, 2021. *Updated follow-up data obtained through unpublished communication with the study investigators. Single-agent chemotherapy reference line (~4 months PFS) represents the approximate median PFS for the chemotherapy control arm (investigator's choice of doxorubicin 60 mg/m² IV every 3 weeks or paclitaxel 80 mg/m² IV weekly, 3 weeks on/1 week off) in the pMMR population of KEYNOTE-775 (Makker et al., NEJM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2022). Abbreviations: LOT = Lines of Therapy; ORR = Objective Response Rate; CBR = Clinical Benefit Rate; PFS = Progression-Free Survival; OS = Overall Survival.</w:t>
      </w:r>
    </w:p>
    <w:p>
      <w:pPr>
        <w:pStyle w:val="TextBody"/>
        <w:bidi w:val="0"/>
        <w:jc w:val="both"/>
        <w:rPr/>
      </w:pPr>
      <w:r>
        <w:rPr/>
        <w:t> </w:t>
      </w:r>
    </w:p>
    <w:p>
      <w:pPr>
        <w:pStyle w:val="TextBody"/>
        <w:bidi w:val="0"/>
        <w:jc w:val="center"/>
        <w:rPr/>
      </w:pPr>
      <w:r>
        <w:rPr/>
        <w:drawing>
          <wp:inline distT="0" distB="0" distL="0" distR="0">
            <wp:extent cx="6858000" cy="18859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1885950"/>
                    </a:xfrm>
                    <a:prstGeom prst="rect">
                      <a:avLst/>
                    </a:prstGeom>
                  </pic:spPr>
                </pic:pic>
              </a:graphicData>
            </a:graphic>
          </wp:inline>
        </w:drawing>
      </w:r>
      <w:r>
        <w:rPr>
          <w:rFonts w:ascii="Times New Roman" w:hAnsi="Times New Roman"/>
          <w:color w:val="000000"/>
          <w:sz w:val="20"/>
        </w:rPr>
        <w:br/>
        <w:t> </w:t>
      </w:r>
    </w:p>
    <w:p>
      <w:pPr>
        <w:pStyle w:val="TextBody"/>
        <w:bidi w:val="0"/>
        <w:jc w:val="center"/>
        <w:rPr>
          <w:rFonts w:ascii="Times New Roman" w:hAnsi="Times New Roman"/>
          <w:b/>
          <w:color w:val="000000"/>
          <w:sz w:val="20"/>
        </w:rPr>
      </w:pPr>
      <w:r>
        <w:rPr>
          <w:rFonts w:ascii="Times New Roman" w:hAnsi="Times New Roman"/>
          <w:b/>
          <w:color w:val="000000"/>
          <w:sz w:val="20"/>
        </w:rPr>
        <w:t>Preclinical dose-dependent inhibitory activity in endometrial cancer models in combination with paclitaxel</w:t>
      </w:r>
    </w:p>
    <w:p>
      <w:pPr>
        <w:pStyle w:val="TextBody"/>
        <w:bidi w:val="0"/>
        <w:spacing w:before="120" w:after="120"/>
        <w:jc w:val="both"/>
        <w:rPr>
          <w:rFonts w:ascii="Times New Roman" w:hAnsi="Times New Roman"/>
          <w:i/>
          <w:color w:val="000000"/>
          <w:sz w:val="18"/>
        </w:rPr>
      </w:pPr>
      <w:r>
        <w:rPr>
          <w:rFonts w:ascii="Times New Roman" w:hAnsi="Times New Roman"/>
          <w:i/>
          <w:color w:val="000000"/>
          <w:sz w:val="18"/>
        </w:rPr>
        <w:t>Source: Tyrakis et al., British Journal of Cancer, 2025; 133: 144–154. Cell lines tested: HEC1B, MFE280, MFE296, AN3CA. Dose-response curves: Serabelisib dosed at 0 - 6uM, sapanisertib dosed at 0 - 30nM, paclitaxel dosed within the range 0.001nmol/L-100umol/L. Cells exposed to drugs for 3 days (72 hours). Resorufin Fluorescence at 600-620 nm used to quantify cell number. PI3K-pathway mutation status of the cell lines is shown in the IC50 table above.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Based on these results, we believe PIKTOR may offer improved outcomes for second-line advanced endometrial cancer patients.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also see a potential first-line opportunity for PIKTOR in the genetically defined subpopulation of patients whose tumors are classified as mismatch repair proficient, or MMR-p. These patients constitute approximately 70% of the overall advanced endometrial cancer population and their tumors have been shown to respond less favorably to immune therapy in multiple trials across tumor types than patients whose tumors are classified as mismatch repair deficient, or MMR-d.</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Study FTH-PIK-201</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Study FTH-PIK-201 is our ongoing single arm Phase 2 study of 3mg/200mg of PIKTOR (3 days a week) in combination with 80 mg/m² of paclitaxel (weekly) in endometrial cancer. The study consists of 40 endometrial cancer patients with a confirmed PI3K/AKT/mTOR pathway mutation who have previously been treated with checkpoint inhibitors and carboplatin. There is also an optional sub-study available to enrollees to combine an insulin suppressing diet with their treatment.</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primary endpoint of the trial is ORR with key secondary endpoints: PFS, OS, CBR, Duration of Response, or DOR, and safety/tolerability.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have initiated this Phase 2 trial, with topline data currently anticipated by year-end 2026. We anticipate dosing the last patient in this trial and announcing longer term follow-up data in 2027.</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Potential Future Indications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Beyond advanced HR+/HER2- breast cancer and advanced endometrial cancer, we may also consider developing PIKTOR in additional indications where there are large unmet needs, PI3K/AKT/mTOR pathway activity is implicated in disease progression, and PIKTOR or its components have displayed clinical activity.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Our potential interest in ovarian cancer is driven by encouraging activity in the ovarian patients in the investigator-initiated Phase 1b trial (Study X31025), described above, as well as the results of the Phase 2 “DICE” trial. The DICE trial was a randomized controlled investigator-initiated trial of 134 ovarian cancer patients designed to evaluate the addition of 4 mg of sapanisertib in combination with 80 mg/m² of paclitaxel versus 80 mg/m² of paclitaxel alone. The results of the trial, which were presented as a late-breaking oral presentation at the annual meeting of the European Society for Medical Oncology, or ESMO, in 2025, met the trial's pre-specified primary endpoint. Addition of sapanisertib to paclitaxel was associated with a 34% decrease in risk of disease progression (HR=0.66; pre-specified 90% CI: 0.45–0.96; one-sided p=0.07). Mean PFS was 5.8 months for patients treated with sapanisertib and paclitaxel versus 4.0 months for patients treated with paclitaxel alone. The combination of sapanisertib and paclitaxel was generally well tolerated, with Grade 3/4 adverse events occurring in 7% of patients in the combination arm compared to 6.6% of patients in the paclitaxel monotherapy arm.</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PIKTOR has also demonstrated clinical activity in certain genetically defined subtypes of lung cancer. Depending on discussions with regulatory authorities, we intend to explore the possibility of initiating future clinical trials of PIKTOR in this setting.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both"/>
        <w:rPr>
          <w:rFonts w:ascii="Times New Roman" w:hAnsi="Times New Roman"/>
          <w:color w:val="000000"/>
          <w:sz w:val="20"/>
        </w:rPr>
      </w:pPr>
      <w:r>
        <w:rPr>
          <w:rFonts w:ascii="Times New Roman" w:hAnsi="Times New Roman"/>
          <w:color w:val="000000"/>
          <w:sz w:val="20"/>
        </w:rPr>
        <w:t>We have not yet initiated an independent clinical trial of PIKTOR in either ovarian cancer or lung cancer, and any future development in these settings will depend on further discussions with regulatory authorities and the results of our ongoing trials in our lead indications.</w:t>
      </w:r>
    </w:p>
    <w:p>
      <w:pPr>
        <w:pStyle w:val="TextBody"/>
        <w:bidi w:val="0"/>
        <w:spacing w:before="280" w:after="120"/>
        <w:jc w:val="both"/>
        <w:rPr>
          <w:rFonts w:ascii="Times New Roman" w:hAnsi="Times New Roman"/>
          <w:b/>
          <w:color w:val="000000"/>
          <w:sz w:val="20"/>
        </w:rPr>
      </w:pPr>
      <w:r>
        <w:rPr>
          <w:rFonts w:ascii="Times New Roman" w:hAnsi="Times New Roman"/>
          <w:b/>
          <w:color w:val="000000"/>
          <w:sz w:val="20"/>
        </w:rPr>
        <w:t>Other Pipeline Programs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Faeth Pipeline Programs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have created a multi-asset development portfolio utilizing our expertise in cancer biology and metabolic disease to generate compelling pipeline assets by identifying additional opportunities to address significant unmet needs. Our platform seeks to identify and exploit potential cancer cell vulnerabilities to create integrated treatment regimens to deny tumors the signaling pathways and nutrients they depend upon to proliferate.</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NEAAR (Non Essential Amino Acid Restriction)</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call our second pipeline program NEAAR. This regimen restricts patient intake of specific non-essential amino acids that we have determined tumors use to support proliferation. NEAAR has demonstrated pre-clinically that, by itself, it can suppress tumor growth and increase survival, and in combination, can increase the sensitivity of cancer cells to chemotherapies, radiotherapy and targeted therapies.</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IEM (Inborn Errors of Metabolism)</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Our broad understanding of metabolic disease has enabled our third program, IEM, which may improve treatment options for a rare inherited metabolic disease, Type I Tyrosinemia, by eliminating an off-target effect of the current standard of care drug that we believe may cause neurocognitive impairment. In preclinical models, our IEM program has shown equivalence to current standard of care in rescuing underlying disease pathology while maintaining normal neurocognitive function.</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Sensei Legacy Programs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In addition to PIKTOR and the Faeth pipeline programs described above, our pipeline includes programs that preceded the Acquisition. We are completing a Phase 1/2 trial of solnerstotug (formerly SNS-101), our conditionally active monoclonal antibody targeting the immune checkpoint VISTA. As of March 23, 2026, seven patients remain on study in the expansion portion of the trial. We also have three preclinical-stage conditionally active antibody programs: SNS-102 (targeting VSIG4), SNS-103 (targeting CD39), and SNS-201, a bispecific antibody designed to conditionally activate CD28 through monovalent CD28 engagement and bivalent pH-selective VISTA binding.</w:t>
      </w:r>
    </w:p>
    <w:p>
      <w:pPr>
        <w:pStyle w:val="TextBody"/>
        <w:bidi w:val="0"/>
        <w:spacing w:before="280" w:after="120"/>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intellectual property. While we believe our deep scientific knowledge of oncology paired with our differentiated lead product candidate, PIKTOR, provides a strong competitive advantage, we face competition from many different sources, including pharmaceutical and biotechnology companies, academic institutions, governmental agencies and public and private research institutions.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Our competitors may have significantly greater financial resources, established presence in the market and expertise in research and development, manufacturing, preclinical and clinical testing, obtaining regulatory approvals and reimbursement and marketing approved products than we do. They may also compete in recruiting and retaining qualified scientific, sales, marketing and management personnel and establishing clinical trial sites and patient registration for clinical trials, as well as in acquiring technologies complementary to or necessary for our product candidates. Smaller or early-stage companies may also prove to be significant competitors, particularly through collaborative arrangements with large and established companies.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Our commercial opportunity can be reduced or eliminated if competitors develop and commercialize products that are safer, more effective, have fewer or less severe side effects, are more convenient or are less expensive than any products that we may develop. Competitors also may obtain U.S. Food and Drug Administration, or FDA, or other regulatory approval for their products more rapidly or earlier than us,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PI3K/AKT/mTOR Competitive Landscape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In addition to the five approved SNI agents described above, our comprehensive search of available resources and databases revealed there are several additional product candidates in clinical development which could pose a direct competitive threat to PIKTOR, particularly for the treatment of advanced HR+/HER2- breast cancer. These product candidates include:</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Pan-PI3K/mTOR Inhibitors</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Gedatolisib</w:t>
      </w:r>
      <w:r>
        <w:rPr>
          <w:rFonts w:ascii="Times New Roman" w:hAnsi="Times New Roman"/>
          <w:color w:val="000000"/>
          <w:sz w:val="20"/>
        </w:rPr>
        <w:t>, an IV pan-PI3K/mTOR inhibitor from Celcuity, whose New Drug Application for HR+/HER2-, PIK3CA wild-type metastatic breast cancer was accepted by the FDA in January 2026 with Priority Review and a Prescription Drug User Fee Act goal date of July 17, 2026. Gedatolisib’s clinical efficacy data is discussed in the context of MNI class validation in the breast cancer development section above.</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Paxalisib</w:t>
      </w:r>
      <w:r>
        <w:rPr>
          <w:rFonts w:ascii="Times New Roman" w:hAnsi="Times New Roman"/>
          <w:color w:val="000000"/>
          <w:sz w:val="20"/>
        </w:rPr>
        <w:t>, an oral brain penetrant pan-PI3K/mTOR inhibitor from Kazia Therapeutics, currently in Phase 3 trials in glioblastoma.</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Mutant-PI3K</w:t>
      </w:r>
      <w:r>
        <w:rPr>
          <w:rFonts w:ascii="Times New Roman" w:hAnsi="Times New Roman"/>
          <w:color w:val="000000"/>
          <w:sz w:val="20"/>
        </w:rPr>
        <w:t>α</w:t>
      </w:r>
      <w:r>
        <w:rPr>
          <w:color w:val="000000"/>
        </w:rPr>
        <w:t xml:space="preserve"> </w:t>
      </w:r>
      <w:r>
        <w:rPr>
          <w:rFonts w:ascii="Times New Roman" w:hAnsi="Times New Roman"/>
          <w:b/>
          <w:color w:val="000000"/>
          <w:sz w:val="20"/>
        </w:rPr>
        <w:t>Inhibitors</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Zovegalisib</w:t>
      </w:r>
      <w:r>
        <w:rPr>
          <w:rFonts w:ascii="Times New Roman" w:hAnsi="Times New Roman"/>
          <w:color w:val="000000"/>
          <w:sz w:val="20"/>
        </w:rPr>
        <w:t>, an oral inhibitor of mutant PI3Kα from Relay Therapeutics, currently in Phase 3 trials for advanced HR+/HER2- breast cancer.</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Tersolisib</w:t>
      </w:r>
      <w:r>
        <w:rPr>
          <w:rFonts w:ascii="Times New Roman" w:hAnsi="Times New Roman"/>
          <w:color w:val="000000"/>
          <w:sz w:val="20"/>
        </w:rPr>
        <w:t>, an oral inhibitor of mutant PI3Kα from Eli Lilly, currently in Phase 3 trials for HR+/HER2- breast cancer.</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SNV4818</w:t>
      </w:r>
      <w:r>
        <w:rPr>
          <w:rFonts w:ascii="Times New Roman" w:hAnsi="Times New Roman"/>
          <w:color w:val="000000"/>
          <w:sz w:val="20"/>
        </w:rPr>
        <w:t>, an oral inhibitor of mutant PI3Kα acquired by Novartis from Synnovation Therapeutics in March 2026, currently in Phase 1/2 trials for HR+/HER2- breast cancer and other advanced solid tumors.</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OKI-219</w:t>
      </w:r>
      <w:r>
        <w:rPr>
          <w:rFonts w:ascii="Times New Roman" w:hAnsi="Times New Roman"/>
          <w:color w:val="000000"/>
          <w:sz w:val="20"/>
        </w:rPr>
        <w:t>, an oral inhibitor of mutant PI3Kα from OnKure Therapeutics, currently in Phase 1a/1b trials for HR+/HER2- metastatic breast cancer and other advanced solid tumors as monotherapy, in combination with fulvestrant, and in triplet combinations with fulvestrant/ribociclib and trastuzumab/tucatinib.</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AKT Inhibitor</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color w:val="000000"/>
          <w:sz w:val="20"/>
        </w:rPr>
        <w:t>Afuresertib</w:t>
      </w:r>
      <w:r>
        <w:rPr>
          <w:rFonts w:ascii="Times New Roman" w:hAnsi="Times New Roman"/>
          <w:color w:val="000000"/>
          <w:sz w:val="20"/>
        </w:rPr>
        <w:t>, an oral pan AKT inhibitor from Laekna Therapeutics, currently in Phase 3 trials for advanced HR+/HER2- breast cancer.</w:t>
      </w:r>
    </w:p>
    <w:p>
      <w:pPr>
        <w:pStyle w:val="TextBody"/>
        <w:bidi w:val="0"/>
        <w:spacing w:before="120" w:after="120"/>
        <w:ind w:left="0" w:right="0" w:firstLine="490"/>
        <w:jc w:val="both"/>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Wherever possible, we pursue claims directed to the clinical product or product candidates. Such applications may not result in issued patents and, even if patents do issue, such patents may not be in a form that will provide us with meaningful protection for our product. We also rely on trade secrets that may be important to the development of our business. Trade secrets are difficult to protect and provide us with only limited protection.</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PIKTOR</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hold our rights to serabelisib and sapanisertib under exclusive license and asset purchase agreements with Takeda Pharmaceutical Company Limited, or Takeda, and its subsidiary Millennium Pharmaceuticals, Inc., or Millennium Takeda, as described in the "Material Agreements" section below. We are actively building our intellectual property portfolio around PIKTOR to protect the composition of matter of both serabelisib and sapanisertib as well as for its method of use in the types of cancer in which we intend to develop it. Our patent portfolio for PIKTOR, as of March 23, 2026, contains 13 issued U.S. patents, four pending U.S. applications, and three pending patent cooperation treaty applications that are either solely owned by us or in-licensed, as well as certain foreign counterparts of a subset of these patent applications in foreign countries, including in Algeria, Australia, Brazil, Canada, Chile, China, Colombia, Europe, Eurasia, Georgia, Hong Kong, India, Indonesia, Israel, Japan, Kazakhstan, Macao, Malaysia, Mexico, Morocco, New Zealand, Nigeria, Peru, Philippines, Russia, Singapore, South Africa, South Korea, Tunisia, Ukraine, Uzbekistan, and Vietnam. For PIKTOR, these patents and patent applications are directed to compositions, methods of manufacturing, and methods of treating cancer. If issued, the 20-year term expiration dates from which our patents will expire are between 2027 and 2046, not including any extension of the patent term that may be available in certain jurisdictions. We continue to seek to maximize the scope of our patent protection for PIKTOR.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Sensei Legacy Programs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Prior to the Acquisition, we developed a portfolio of intellectual property relating to our TMAb conditionally active biologic platform and product candidates. As of March 23, 2026, our solely owned legacy patent estate included one issued U.S. patent, one pending U.S. patent application, and nine international patent applications. We also co-own five pending U.S. patent applications and five pending international patent applications.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own one U.S. non-provisional and eight international patent applications relating to composition of matter of our solnerstotug product candidate and method claims including use in combination with immune checkpoint protein inhibitors. Subject to payment of required maintenance fees, annuities, and other charges, any patents, if issued, are projected to expire in 2042.</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Takeda License Agreement</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are party to a license agreement with Takeda that was originally entered into in March 2019, or the Takeda License Agreement, between Takeda and Petra Pharma Corporation, or Petra, which was subsequently assigned by Petra to Ravenna Pharmaceuticals, Inc., or Ravenna, and later acquired by Faeth in February 2021 in connection with its acquisition of assets related to serabelisib pursuant to an asset purchase agreement with Ravenna.</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Under the Takeda License Agreement, we are granted an exclusive, royalty-bearing license, with the right to grant sublicenses, under certain patents and know-how controlled by Takeda to research, develop, make, have made, import, export, use, have used, sell, have sold, offer for sale, or otherwise dispose of and commercialize serabelisib and certain back-up compounds, and analogs, derivatives, fragments or modifications that we obtain from serabelisib or such back-up compounds, or, collectively, the Serabelisib Compounds, and products comprising Serabelisib Compounds, or Serabelisib Products, for all human therapeutic uses excluding certain non-oncology indications, or the Serabelisib Field, throughout the world.</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We are solely responsible, at our cost, for the development, manufacture, and commercialization of the Serabelisib Compounds and Serabelisib Products in the Serabelisib Field. We are obligated to use commercially reasonable efforts to develop and commercialize at least one Serabelisib Product.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are obligated to pay Takeda tiered single-digit royalties on annual net sales of Serabelisib Products (except for PIKTOR Products, the royalties for which are set forth in the Takeda Letter Agreements described below). The royalty payments are subject to reduction under certain customary circumstances. On a Serabelisib Product-by-Serabelisib Product and country-by-country basis, our royalty payment obligations commence on the first commercial sale of such Serabelisib Product in the applicable country until the latest to occur of (a) the last-to-expire valid claim within the licensed patents covering such Serabelisib Product in the applicable country, (b) the expiration of any applicable regulatory exclusivity for such Serabelisib Product in the applicable country and (c) ten (10) years after the first commercial sale of such Serabelisib Product in the applicable country. We are obligated to pay Takeda development, regulatory and sales milestone payments for Serabelisib Products under the Takeda Letter Agreements, as described below.</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The Takeda License Agreement will remain in effect on a Serabelisib Product-by-Serabelisib Product and country-by-country basis until expiration of all royalty payment obligations, unless earlier terminated. Following expiration, the licenses granted to us become fully-paid, royalty-free, irrevocable and perpetual.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Either party may terminate the Takeda License Agreement in whole or, to the extent applicable to the subject matter of the breach, on a Serabelisib Product</w:t>
        <w:noBreakHyphen/>
        <w:t>by</w:t>
        <w:noBreakHyphen/>
        <w:t>Serabelisib Product or country</w:t>
        <w:noBreakHyphen/>
        <w:t>by</w:t>
        <w:noBreakHyphen/>
        <w:t>country basis, in the event of the other party’s uncured material breach. Either party may also terminate the Takeda License Agreement in its entirety in connection with the other party’s insolvency. Takeda may terminate the Takeda License Agreement if we challenge a licensed patent.</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If we abandon development and commercialization of all Serabelisib Compounds and Serabelisib Products, Takeda has the right to terminate the Takeda License Agreement and assume development and commercialization responsibilities for the Serabelisib Compounds and Serabelisib Products. If Takeda elects to take over development and commercialization responsibilities, we are required to engage in good faith discussions to grant Takeda a license under certain patents and know-how that we control that are related to the Serabelisib Products or necessary or useful for the exploitation of the Serabelisib Products, but we are not obligated to grant such a license. </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Amended and Restated Asset Purchase Agreement with Millennium Takeda</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We are party to an amended and restated asset purchase agreement with Millennium Takeda that was originally entered into in May 2023, or the Millennium Takeda Asset Purchase Agreement, between Millennium Takeda and Calithera Biosciences, Inc., or Calithera, which was acquired by Faeth in May 2023 in connection with its acquisition of assets related to sapanisertib pursuant to an asset purchase agreement with Calithera.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Pursuant to the Millennium Takeda Asset Purchase Agreement, Millennium Takeda assigned to Calithera certain know-how and certain patents and patent applications, or the Assigned Patent Rights, related to sapanisertib that Faeth subsequently acquired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Calithera in May 2023 under the asset purchase agreement. Under the Millennium Takeda Asset Purchase Agreement, we are also granted a non-exclusive license, with the right to grant sublicenses, under certain patent rights and know-how controlled by Millennium Takeda to research, develop, make, have made, use and import sapanisertib, compounds that are disclosed or claimed in any Assigned Patent Right that also discloses sapanisertib and certain other pharmaceutical forms of sapanisertib or such compounds, or, collectively, the Sapanisertib Program Molecules, and to research, develop, make, have made, use, sell, offer for sale, and import products containing or comprising Sapanisertib Program Molecules, or the Sapanisertib Products, in any therapeutic, prophylactic, preventative or diagnostic use in or for animals, including humans, or the Sapanisertib Field, throughout the world.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We are obligated to use commercially reasonable efforts to research and develop, including to obtain regulatory approval for, and upon obtaining regulatory approval to commercialize at least one Sapanisertib Product in each of the United States, Japan and at least three countries selected from United Kingdom, Germany, France, Spain and Italy.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are obligated to pay Millennium Takeda tiered high single-digit to low double-digit royalties on annual net sales of all Sapanisertib Products (except for PIKTOR Products, the royalties for which are set forth in the Takeda Letter Agreements described below). On a Sapanisertib Product-by-Sapanisertib Product and country-by-country basis, our obligation to pay Millennium Takeda royalties commences on the first commercial sale of such Sapanisertib Product in the applicable country until the latest to occur of (a) the last-to-expire valid claim within the Assigned Patents and licensed patents covering such Sapanisertib Product in the applicable country, (b) the expiration of any applicable regulatory exclusivity for such Sapanisertib Product in the applicable country and (c) ten (10) years after the first commercial sale of such Sapanisertib Product in the applicable country. The royalty payments are subject to reduction under certain customary circumstances. Upon expiration of our royalty payment obligations with respect to a Sapanisertib Product and a country, the license granted to us for such Sapanisertib Product in such country will become fully-paid, perpetual, and irrevocable. We are also obligated to pay Takeda development, regulatory and sales milestone payments for Sapanisertib Products under the Takeda Letter Agreements described below.</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Millennium Takeda Asset Purchase Agreement will remain in effect until expiration of our obligations to make royalty payments to Takeda, unless earlier terminated. Either party may terminate the Millennium Takeda Asset Purchase Agreement in connection with the other party’s uncured material breach or insolvency. Upon termination of the Millennium Takeda Asset Purchase Agreement, all licenses granted by Millennium Takeda to us automatically terminate. Upon Millennium Takeda’s request after termination, we are required to assign to Millennium Takeda the acquired assets and certain intellectual property generated in the performance of the agreement that solely relate to, or were used by us or on our behalf, Sapanisertib Program Molecules and Sapanisertib Products and all regulatory materials that are needed to continue fully exploiting Sapanisertib Program Molecules and Sapanisertib Products.</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Letter Agreements with Takeda and Millennium Takeda</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We are party to a letter agreement with Millennium Takeda that was entered into in May 2023, or the First Takeda Letter Agreement, to amend the Millennium Takeda Asset Purchase Agreement and to a letter agreement with Takeda and Millennium Takeda that was entered into in January 2026, or the Second Takeda Letter Agreement, to amend the Takeda License Agreement, the Millennium Takeda Asset Purchase Agreement, and the First Takeda Letter Agreement. The First Takeda Letter Agreement and the Second Takeda Letter Agreement are referred to collectively as the “Takeda Letter Agreements.”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Pursuant to the Takeda Letter Agreements, we are obligated to pay Takeda and Millennium Takeda up to an aggregate of $119.0 million in development, regulatory, and commercial launch milestone payments and up to an aggregate of $250.0 million in sales milestone payments for PIKTOR and any other products that contain both a Serabelisib Compound and a Sapanisertib Program Molecule as the only active ingredients, or collectively PIKTOR Products, Serabelisib Products, and Sapanisertib Products.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are also obligated to pay Takeda and Millennium Takeda tiered single-digit royalties on annual net sales of PIKTOR Products. On a PIKTOR Product-by-PIKTOR Product and country-by-country basis, our obligation to pay royalties commences on the first commercial sale of such PIKTOR Product in the applicable country and continues until the latest to occur of (a) the last-to-expire valid claim within the Assigned Patents under the Millennium Takeda Asset Purchase Agreement or the licensed patents under the Millennium Takeda Asset Purchase Agreement or the Takeda License Agreement, in each case, covering such PIKTOR Product in the applicable country, (b) the expiration of any regulatory exclusivity for such PIKTOR Product in the applicable country and (c) ten (10) years after the first commercial sale of such PIKTOR Product in the applicable country. The royalty payments for PIKTOR Products are subject to reduction under certain customary circumstances.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Second Takeda Letter Agreement specifies that PIKTOR Products are considered Serabelisib Products under the Takeda License Agreement and Sapanisertib Products under the Millennium Takeda Asset Purchase Agreement. The Second Takeda Letter Agreement also amends the Takeda License Agreement and the Millennium Takeda Asset Purchase Agreement to add certain specific IND</w:t>
        <w:noBreakHyphen/>
        <w:t xml:space="preserve">related materials for PIKTOR Products controlled by Takeda or Millennium Takeda to the know-how licensed to us under those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University of California License Agreement</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are party to an exclusive license agreement with The Regents of the University of California, or The Regents, that was originally entered into in August 2007 between The Regents and Intellikine, Inc., or Intellikine, and amended in March 2009, July 2009, November 2010, September 2014, August 2021 and February 2022, or the UC License Agreement, which was subsequently assigned by Intellikine to Millennium Takeda, which was subsequently assigned by Millennium Takeda to Calithera and later acquired by Faeth Therapeutics in May 2023 in connection with its acquisition of assets related to sapanisertib pursuant to its asset purchase agreement with Calithera.</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Under the UC License Agreement, we are granted a license, with the right to grant sublicenses, to make, have made, use, sell, offer for sale and import (a) products that are covered by the claims of certain patent rights controlled by The Regents, or the UC Licensed Products, or that are produced by methods covered by such patent rights, or the UC Licensed Methods, and services that involve UC Licensed Products or UC Licensed Methods or that involve certain materials or know-how controlled by The Regents, or the UC Licensed Services, and (b) to practice the UC Licensed Methods, in each case, (a) and (b), in the United States and all other countries where The Regents may grant such licenses, or the UC Licensed Territory, for all fields and all uses, or the UC Licensed Field. The license granted to us is exclusive with respect to such patent rights and is non-exclusive with respect to such know-how.</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We are obligated to proceed diligently with the development, manufacture, and sale of UC Licensed Products and UC Licensed Services and earnestly and diligently to market UC Licensed Products and UC Licensed Services in quantities intended to be sufficient to meet market demand. We are also required to meet specific development diligence timelines for certain UC Licensed Products, which may be extended subject to payment of an extension fee. If we fail to meet, subject to a cure period, or extend such timelines, The Regents have the right to terminate the UC License Agreement or to convert the licenses to a non-exclusive basis with respect to the relevant UC Licensed Products.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We are required to pay The Regents an annual license maintenance fee of $25,000 until we begin paying royalties under the UC License Agreement. We are also required to pay The Regents a low double-digit percentage of income that we receive from our sublicensees if we sublicense the rights granted to us under the UC License Agreement. We are also obligated to pay The Regents tiered low single-digit royalties based on cumulative net sales of UC Licensed Products, UC Licensed Services and UC Licensed Methods. Beginning with the year of the first commercial sale of the UC Licensed Product and continuing until expiration of all licensed patent rights, we are required to pay The Regents a minimum annual royalty of $25,000, which will be credited against the royalties owed to The Regents. The royalty payments owed to The Regents are subject to reduction under certain customary circumstances. On a UC Licensed Product-by-UC Licensed Product, UC Licensed Service-by-UC Licensed Service, UC Licensed Method-by-UC Licensed Method and country-by-country basis, our obligation to pay royalties commences on the first commercial sale of such UC Licensed Product, UC Licensed Service, or UC Licensed Method, as applicable, in the relevant country and continues until expiration of the last-to-expire valid claim within the licensed patent rights that covers such UC Licensed Product, UC Licensed Service, or UC Licensed Method, as applicable, in the relevant country. We are also obligated to pay The Regents up to $800,000 in development and regulatory milestones payments for certain UC Licensed Products. </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UC License Agreement will remain in effect until expiration or abandonment of the licensed patents. The UC License Agreement will automatically terminate in connection with our insolvency. The Regents have the right to terminate the UC License Agreement in its entirety or with respect to specific licensed patents based on our uncured material breach. We have the right to terminate the UC License Agreement in its entirety or with respect to specific licensed patents on a country-by-country basis, upon advance written notice to The Regents.</w:t>
      </w:r>
    </w:p>
    <w:p>
      <w:pPr>
        <w:pStyle w:val="TextBody"/>
        <w:bidi w:val="0"/>
        <w:spacing w:before="240" w:after="120"/>
        <w:ind w:left="0" w:right="0" w:firstLine="245"/>
        <w:jc w:val="both"/>
        <w:rPr>
          <w:rFonts w:ascii="Times New Roman" w:hAnsi="Times New Roman"/>
          <w:b/>
          <w:i/>
          <w:color w:val="000000"/>
          <w:sz w:val="20"/>
        </w:rPr>
      </w:pPr>
      <w:r>
        <w:rPr>
          <w:rFonts w:ascii="Times New Roman" w:hAnsi="Times New Roman"/>
          <w:b/>
          <w:i/>
          <w:color w:val="000000"/>
          <w:sz w:val="20"/>
        </w:rPr>
        <w:t>Adimab Agreement</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On July 14, 2021, we entered into a First Amended and Restated Collaboration Agreement, or the Adimab Agreement, with Adimab, LLC, or Adimab. Under the Adimab Agreement, we selected a number of biological targets against which Adimab used its proprietary platform technology to discover and/or optimize antibodies based upon mutually agreed upon research plans, and we have the ability to select a specified number of additional biological targets against which Adimab will provide additional antibody discovery and optimization services. During the research term and evaluation term for a given research program with Adimab, or Research Program, we have a non-exclusive worldwide license under Adimab’s technology to perform certain research activities and to evaluate the program antibodies to determine whether we want to exercise our option to obtain an exclusive license to exploit such antibodies, referred to herein as a “Development and Commercialization Option.”</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 xml:space="preserve">Pursuant to the Adimab Agreement, we previously paid Adimab a one-time, non-creditable, non-refundable technology access fee of $50,000. We are also obligated to make certain technical milestone payments to Adimab for each Research Program up to $275,000. Upon exercise of a Development and Commercialization Option, we are obligated to pay to Adimab a non-creditable, nonrefundable option exercise fee of $500,000 plus an amount equal to any technical milestone payment which was not previously paid with respect to such Research Program and less any option extension fees paid with respect to such Research Program. On a product-by-product basis, we will pay Adimab upon the achievement of various clinical and regulatory milestone events with total milestone payments up to an aggregate of $13.3 million for the first product from a Research Program and up to an aggregate of $6.6 million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each subsequent product from a Research Program. For any product that is commercialized, on a country-by-country and product-by-product basis, we are obligated to pay to Adimab a low-to-mid single-digit percentage of annual worldwide net sales of such product during the applicable royalty period in each country.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Solnerstotug is subject to the terms of the Adimab Agreement, and in December 2022 we exercised our Development and Commercialization Option for the Research Program from which solnerstotug was generated. To date, we have paid $1,875,000 to Adimab pursuant to the Adimab Agreement for the technology access fee, Development and Commercialization Option, program delivery fees and a milestone payment for the first patient dosed in our Phase 1/2 clinical trial of solnerstotug.</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expect to file additional patent applications in support of current and new clinical candidates as well as new platform and core technologies. Our commercial success will depend in part on obtaining and maintaining patent protection and trade secret protection of our current and future product candidates and the methods used to develop and manufacture them, as well as successfully defending these patents against third-party challenges and operating without infringing on the proprietary rights of others. Our ability to stop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maintain a portfolio of registered and pending trademarks to protect our brand identity. In addition to patent and trademark protection,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These and other agreements, such as invention assignment agreements, grant us ownership of technologies that are developed through a relationship with a third party.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w:t>
      </w:r>
    </w:p>
    <w:p>
      <w:pPr>
        <w:pStyle w:val="TextBody"/>
        <w:bidi w:val="0"/>
        <w:spacing w:before="280" w:after="120"/>
        <w:jc w:val="both"/>
        <w:rPr>
          <w:rFonts w:ascii="Times New Roman" w:hAnsi="Times New Roman"/>
          <w:b/>
          <w:color w:val="000000"/>
          <w:sz w:val="20"/>
        </w:rPr>
      </w:pPr>
      <w:r>
        <w:rPr>
          <w:rFonts w:ascii="Times New Roman" w:hAnsi="Times New Roman"/>
          <w:b/>
          <w:color w:val="000000"/>
          <w:sz w:val="20"/>
        </w:rPr>
        <w:t>Chemistry, Manufacturing, and Controls</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believe the quality and amount of the current sapanisertib and serabelisib drug supply (DS) and drug product (DP) is appropriate for our current and expected clinical trials. Further CMC development is ongoing, including activities leading to the manufacture of batches in support of potential future registrational trials, New Drug Application, or NDA, submissions, and required regulatory validation of DS/DP manufacturing processes in anticipation of any potential commercial launch.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120"/>
        <w:jc w:val="both"/>
        <w:rPr>
          <w:rFonts w:ascii="Times New Roman" w:hAnsi="Times New Roman"/>
          <w:b/>
          <w:color w:val="000000"/>
          <w:sz w:val="20"/>
        </w:rPr>
      </w:pPr>
      <w:r>
        <w:rPr>
          <w:rFonts w:ascii="Times New Roman" w:hAnsi="Times New Roman"/>
          <w:b/>
          <w:color w:val="000000"/>
          <w:sz w:val="20"/>
        </w:rPr>
        <w:t>Commercial Opportunity</w:t>
      </w:r>
    </w:p>
    <w:p>
      <w:pPr>
        <w:pStyle w:val="TextBody"/>
        <w:bidi w:val="0"/>
        <w:spacing w:before="0" w:after="120"/>
        <w:ind w:left="0" w:right="0" w:firstLine="490"/>
        <w:jc w:val="both"/>
        <w:rPr>
          <w:rFonts w:ascii="Times New Roman" w:hAnsi="Times New Roman"/>
          <w:color w:val="000000"/>
          <w:sz w:val="20"/>
        </w:rPr>
      </w:pPr>
      <w:r>
        <w:rPr>
          <w:rFonts w:ascii="Times New Roman" w:hAnsi="Times New Roman"/>
          <w:color w:val="000000"/>
          <w:sz w:val="20"/>
        </w:rPr>
        <w:t>We believe the commercial potential for PIKTOR, if approved, in advanced HR+/HER2- breast cancer and endometrial cancer is substantial given the prevalence of the conditions, the urgency of the unmet medical need and the potential breadth of PIKTOR’s benefit across these substantial patient populations. In the United States alone, we believe the total addressable market for our currently targeted indications, second-line HR+/HER2- breast cancer and second-line advanced endometrial cancer, is approximately $6 billion based on our analysis of the patient populations and current pricing paradigms for these treatment settings, as of 2026, as well as third party estimates of these markets and the publicly disclosed sales totals achieved by currently available treatments for these settings. Within this overall total, HR+/HER2- breast cancer accounts for approximately $5 billion and advanced endometrial cancer the remaining $1 billion. Given our stage of development, however, we have not yet established either a commercial organization or distribution capabilities.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or NDA, process before it may be legally marketed in the United States.</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U.S. Drug Development Process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United States, the FDA regulates drugs under the federal Food, Drug and Cosmetic Act, or FDCA,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United States generally involves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preclinical laboratory tests, animal studies and formulation studies in accordance with Good Laboratory Practice regulations and other applicable regulations;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Investigational New Drug application, or IND, which must become effective before human clinical trials may begin;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Institutional Review Board, or IRB, or ethics committee at each clinical site before each trial may be initiated;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trials in accordance with Good Clinical Practice, or GCP, regulations to evaluate the safety and efficacy of the product candidate for its intended use;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NDA after completion of all pivotal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satisfactory completion of an FDA inspection of the manufacturing facility or facilities at which the drug is produced to assess compliance with current Good Manufacturing Practice, or cGMP, regulations to assure that the facilities, methods and controls are adequate to preserve the drug</w:t>
      </w:r>
      <w:r>
        <w:rPr>
          <w:color w:val="000000"/>
        </w:rPr>
        <w:t>’</w:t>
      </w:r>
      <w:r>
        <w:rPr>
          <w:rFonts w:ascii="Times New Roman" w:hAnsi="Times New Roman"/>
          <w:color w:val="000000"/>
          <w:sz w:val="20"/>
        </w:rPr>
        <w:t>s identity, strength, quality and purity;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potential inspection of selected clinical investigation sites to assess compliance with GCP regulations;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NDA to permit commercial marketing of the product for particular indications for use in the United States.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ongoing or proposed clinical trials or non-compliance with specific FDA requirements, and in such case, the trials may not begin or continue until the FDA notifies the sponsor that the hold has been lifted.</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All clinical trials must be conducted under the supervision of one or more qualified investigators in accordance with GCP regulations, which include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w:t>
      </w:r>
      <w:r>
        <w:rPr>
          <w:rFonts w:ascii="Times New Roman" w:hAnsi="Times New Roman"/>
          <w:i/>
          <w:color w:val="000000"/>
          <w:sz w:val="20"/>
        </w:rPr>
        <w:t xml:space="preserve">in vitro </w:t>
      </w:r>
      <w:r>
        <w:rPr>
          <w:rFonts w:ascii="Times New Roman" w:hAnsi="Times New Roman"/>
          <w:color w:val="000000"/>
          <w:sz w:val="20"/>
        </w:rPr>
        <w:t>testing suggesting a significant risk to humans and any clinically important increased incidence of a serious suspected adverse reaction compared to that listed in the protocol or investigator brochure.</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Furthermore,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trials and clinical trial results to public registries, including </w:t>
      </w:r>
      <w:r>
        <w:rPr>
          <w:rFonts w:ascii="Times New Roman" w:hAnsi="Times New Roman"/>
          <w:i/>
          <w:color w:val="000000"/>
          <w:sz w:val="20"/>
        </w:rPr>
        <w:t>clinicaltrials.gov</w:t>
      </w:r>
      <w:r>
        <w:rPr>
          <w:rFonts w:ascii="Times New Roman" w:hAnsi="Times New Roman"/>
          <w:color w:val="000000"/>
          <w:sz w:val="20"/>
        </w:rPr>
        <w: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Human clinical trials are typically conducted in three sequential phases that may overlap or be combined: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The product candidate is initially introduced into healthy human subjects or patients with the target disease or condition, and tested for safety, dosage tolerance, absorption, metabolism, distribution and excretion and, if possible, to gain an early indication of its effectiveness.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Post-approval trials, sometimes referred to as Phase 4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FDA Regulatory Framework for Fixed-Combination Prescription Drugs for Humans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FDA’s regulation at 21 CFR § 300.50 governing fixed-combination drug products provides, among other things, that two or more drugs may be combined in a single dosage form when each component contributes to the claimed effects and the dosage of each component (amount, frequency, duration) is such that the combination is safe and effective for a significant patient population requiring such concurrent therapy as defined in the labeling for the drug. This rule is meant to ensure that any fixed-dose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drug provides an advantage to the patient over and above that obtained when one of the individual ingredients is used in the usual safe and effective dose.</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U.S. Review and Approval Process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 regulations.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After the FDA evaluates an NDA and conducts inspections of manufacturing facilities where the investigational product and/or its drug substance will be produced, the FDA may issue an approval letter or a Complete Response Letter, or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such as additional clinical trials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and/or effectiveness following NDA approval, and may require additional testing and surveillance programs to monitor the safety of approved products that have been commercialized. The FDA may also place other conditions on approval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the Pediatric Research Equity Act, or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a product candidate may be eligible for accelerated approval.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 regulations and other aspects of regulatory compliance.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or AEs, of unanticipated severity or frequency, or with manufacturing processes or failure to comply with regulatory requirements, may result in revisions to the approved labeling to add new safety information; imposition of requirements for post-market trials or clinical trials to assess new safety risks; or imposition of distribution restrictions or other restrictions under a REMS program. Other potential consequences include: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untitled letters;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holds on ongoing or planned clinical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approvals;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 or</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Hatch-Waxman Act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or the Orange Book. Drugs listed in the Orange Book can, in turn, be cited by potential competitors in support of approval of an ANDA or 505(b)(2) NDA.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Upon submission of an ANDA or a 505(b)(2) NDA, an applicant must certify to the FDA that (1) no patent information on the drug product that is the subject of the application has been submitted to the FDA; (2) such patent has expired; (3) the date on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pStyle w:val="TextBody"/>
        <w:bidi w:val="0"/>
        <w:spacing w:before="360" w:after="120"/>
        <w:ind w:left="0" w:right="0" w:firstLine="245"/>
        <w:jc w:val="both"/>
        <w:rPr>
          <w:rFonts w:ascii="Times New Roman" w:hAnsi="Times New Roman"/>
          <w:b/>
          <w:i/>
          <w:color w:val="000000"/>
          <w:sz w:val="20"/>
        </w:rPr>
      </w:pPr>
      <w:r>
        <w:rPr>
          <w:rFonts w:ascii="Times New Roman" w:hAnsi="Times New Roman"/>
          <w:b/>
          <w:i/>
          <w:color w:val="000000"/>
          <w:sz w:val="20"/>
        </w:rPr>
        <w:t>Marketing Exclusivity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Pediatric exclusivity is another type of marketing exclusivity available in the United States.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pStyle w:val="TextBody"/>
        <w:bidi w:val="0"/>
        <w:spacing w:before="360" w:after="120"/>
        <w:ind w:left="244" w:right="0" w:hanging="0"/>
        <w:jc w:val="both"/>
        <w:rPr>
          <w:rFonts w:ascii="Times New Roman" w:hAnsi="Times New Roman"/>
          <w:b/>
          <w:i/>
          <w:color w:val="000000"/>
          <w:sz w:val="20"/>
        </w:rPr>
      </w:pPr>
      <w:r>
        <w:rPr>
          <w:rFonts w:ascii="Times New Roman" w:hAnsi="Times New Roman"/>
          <w:b/>
          <w:i/>
          <w:color w:val="000000"/>
          <w:sz w:val="20"/>
        </w:rPr>
        <w:t>Other U.S. Healthcare Laws</w:t>
      </w:r>
    </w:p>
    <w:p>
      <w:pPr>
        <w:pStyle w:val="TextBody"/>
        <w:bidi w:val="0"/>
        <w:ind w:left="0" w:right="0" w:firstLine="555"/>
        <w:jc w:val="left"/>
        <w:rPr>
          <w:rFonts w:ascii="Times New Roman" w:hAnsi="Times New Roman"/>
          <w:color w:val="000000"/>
          <w:sz w:val="20"/>
        </w:rPr>
      </w:pPr>
      <w:r>
        <w:rPr>
          <w:rFonts w:ascii="Times New Roman" w:hAnsi="Times New Roman"/>
          <w:color w:val="000000"/>
          <w:sz w:val="20"/>
        </w:rPr>
        <w:t xml:space="preserve">Manufacturing, sales, promotion and other activities following product approval are also subject to regulation by numerous regulatory authorities in the United States in addition to the FDA, including but not limited to the Centers for Medicare &amp; Medicaid Services, or CMS, other divisions of the Department of Health and Human Services, or HHS, the Department of Justice, the Drug Enforcement Administration, and state and local governments. </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companies sell, market and distribute pharmaceutical products. In addition, transparency laws and patient privacy regulations by federal and state governments and by governments in foreign jurisdictions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apply to the manufacturing, sales, promotion and other activities of pharmaceutical manufacturers. The applicable federal, state and foreign healthcare laws and regulations that can affect a pharmaceutical company’s operations include: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and require strict compliance in order to offer protection. Practices that may be alleged to be intended to induce prescribing, purchases or recommendations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and civil monetary penalty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whole or in part, by a federal or state governmental program;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or otherwise process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legislation commonly referred to as the Physician Payments Sunshine Act, created under the Patient Protection and Affordable Care Act, as amended by the Health Care and Education Reconciliation Act of 2010, or collectively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professions (such as physicians assistants and nurse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pPr>
      <w:r>
        <w:rPr>
          <w:rFonts w:ascii="Times New Roman" w:hAnsi="Times New Roman"/>
          <w:color w:val="000000"/>
          <w:sz w:val="20"/>
        </w:rPr>
        <w:t>practitioners), and teaching hospitals, as well as information regarding ownership and investment interests held by physicians and their immediate family members;</w:t>
      </w:r>
      <w:r>
        <w:rPr>
          <w:color w:val="000000"/>
        </w:rPr>
        <w:t xml:space="preserv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government price reporting laws, which require us to calculate and report complex pricing metrics in an accurate and timely manner to government programs;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certain regulatory licenses to manufacture or distribute products commercially and/or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 xml:space="preserve">Violations of the aforementioned laws can result in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under a corporate integrity agreement or other agreement to resolve allegations of non-compliance with these laws. Additionally, private individuals have the ability to bring actions on behalf of the U.S. government under the federal FCA as well as under the false claims laws of several states against a pharmaceutical manufacturer. The approval and commercialization of a pharmaceutical manufacturer’s product candidates outside the United States will also likely subject it to foreign equivalents of the healthcare laws mentioned above, among other foreign laws. Lastly,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 Any action for violation of these laws, even if successfully defended, could cause a pharmaceutical company to incur significant legal expenses and divert management’s attention from the operation of the business. </w:t>
      </w:r>
    </w:p>
    <w:p>
      <w:pPr>
        <w:pStyle w:val="TextBody"/>
        <w:bidi w:val="0"/>
        <w:spacing w:before="360" w:after="120"/>
        <w:ind w:left="0" w:right="0" w:firstLine="245"/>
        <w:jc w:val="both"/>
        <w:rPr>
          <w:rFonts w:ascii="Times New Roman" w:hAnsi="Times New Roman"/>
          <w:sz w:val="20"/>
        </w:rPr>
      </w:pPr>
      <w:r>
        <w:rPr>
          <w:rFonts w:ascii="Times New Roman" w:hAnsi="Times New Roman"/>
          <w:b/>
          <w:i/>
          <w:color w:val="000000"/>
          <w:sz w:val="20"/>
        </w:rPr>
        <w:t>U.S. Healthcare Reform</w:t>
      </w:r>
      <w:r>
        <w:rPr>
          <w:rFonts w:ascii="Times New Roman" w:hAnsi="Times New Roman"/>
          <w:color w:val="000000"/>
          <w:sz w:val="20"/>
        </w:rPr>
        <w:t xml:space="preserve"> </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In the United States, there have been and continue to be a number of legislative initiatives to contain healthcare costs. For example, in March 2010, the ACA was passed, which substantially changed the way healthcare is financed by both governmental and private insurers, and significantly impacts the U.S. pharmaceutical industry.</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 xml:space="preserve">There have been amendments and executive, judicial and congressional challenges to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20" w:after="120"/>
        <w:ind w:left="0" w:right="0" w:firstLine="816"/>
        <w:jc w:val="left"/>
        <w:rPr>
          <w:rFonts w:ascii="Times New Roman" w:hAnsi="Times New Roman"/>
          <w:color w:val="000000"/>
          <w:sz w:val="20"/>
        </w:rPr>
      </w:pPr>
      <w:r>
        <w:rPr>
          <w:rFonts w:ascii="Times New Roman" w:hAnsi="Times New Roman"/>
          <w:color w:val="000000"/>
          <w:sz w:val="20"/>
        </w:rPr>
        <w:t>Other legislative changes have been proposed and adopted in the United States since the ACA was enacted. These changes include aggregate reductions to Medicare payments to providers of 2% per fiscal year, which began in 2013 and will remain in effect until 2032 unless additional Congressional action is taken.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 </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expect that additional foreign, federal and state healthcare reform measures will be adopted in the future.</w:t>
      </w:r>
    </w:p>
    <w:p>
      <w:pPr>
        <w:pStyle w:val="TextBody"/>
        <w:bidi w:val="0"/>
        <w:spacing w:before="360" w:after="240"/>
        <w:ind w:left="245" w:right="0" w:hanging="0"/>
        <w:jc w:val="left"/>
        <w:rPr>
          <w:rFonts w:ascii="Times New Roman" w:hAnsi="Times New Roman"/>
          <w:sz w:val="20"/>
        </w:rPr>
      </w:pPr>
      <w:r>
        <w:rPr>
          <w:rFonts w:ascii="Times New Roman" w:hAnsi="Times New Roman"/>
          <w:b/>
          <w:i/>
          <w:color w:val="000000"/>
          <w:sz w:val="20"/>
        </w:rPr>
        <w:t>U.S. Patent-Term Restoration and Marketing Exclusivity</w:t>
      </w:r>
      <w:r>
        <w:rPr>
          <w:rFonts w:ascii="Times New Roman" w:hAnsi="Times New Roman"/>
          <w:color w:val="000000"/>
          <w:sz w:val="20"/>
        </w:rPr>
        <w:t xml:space="preserve">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Depending upon the timing, duration and specifics of the FDA approval of our drug candidates, if any,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the testing phase, plus the time between the submission date of an NDA and the approval of that application, or the approval phase. This patent term restoration period may be reduced by the FDA if it finds that applicant did not act with due diligence during the testing phase or the approval phase.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if circumstances permit, we intend to apply for restoration of patent term for one of our then owned or licensed patents, if any, to add patent life beyond its current expiration date, depending on the expected length of the clinical trials and other factors involved in the filing of the relevant NDA. Even if, at the relevant time, we have a valid issued patent covering our product, we may not be granted an extension if we were, for example, to fail to apply within applicable deadlines, to fail to apply prior to expiration of relevant patents or otherwise to fail to satisfy applicable requirements. Moreover, the applicable time period or the scope of patent protection afforded could be less than we request. If we are unable to obtain patent term extension or restoration or the term of any such extension is less than we request, and we do not have any other exclusivity, our competitors may obtain approval of competing products following our patent expiration and our ability to generate revenues could be materially adversely affected.</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Some of our products may also be entitled to certain non-patent-related data exclusivity under the FDCA. The FDCA provides a five-year period of non-patent data exclusivity within the U.S. to the first applicant to obtain approval of an NDA for a new chemical entity (“NCE”). A drug is a new chemical entity if the FDA has not previously approved any other new drug containing the same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active moiety, which is the molecule or ion responsible for the action of the drug substance. During the exclusivity period, an abbreviated new drug application (“ANDA”), or a 505(b)(2) NDA may not be submitted by another company for another drug containing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Orange Book by the innovator NDA holder. The FDCA also provides three years of marketing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three-year exclusivity.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Certain additional periods of exclusivity may be available if a product is indicated for use in a rare disease or condition or is studied for pediatric indications. If a product that has orphan designation subsequently receives the first FDA approval for the disease or condition for which it has such designation, the product is entitled to orphan product exclusivity, which the FDA has interpreted to preclude approving for seven years any other sponsor’s application to market the same drug for the same use for which the drug has been granted orphan drug designation, except in limited circumstances, such as a showing of clinical superiority to the product with orphan exclusivity. Orphan exclusivity operates independently from other regulatory exclusivities and other protection against generic competition, including patents that we hold for our products. A sponsor of a product application that has received an orphan drug designation may also be granted tax incentives for clinical research undertaken to support the application.</w:t>
      </w:r>
    </w:p>
    <w:p>
      <w:pPr>
        <w:pStyle w:val="TextBody"/>
        <w:bidi w:val="0"/>
        <w:spacing w:before="0" w:after="120"/>
        <w:ind w:left="0" w:right="0" w:firstLine="360"/>
        <w:jc w:val="both"/>
        <w:rPr>
          <w:rFonts w:ascii="Times New Roman" w:hAnsi="Times New Roman"/>
          <w:color w:val="000000"/>
          <w:sz w:val="20"/>
        </w:rPr>
      </w:pPr>
      <w:r>
        <w:rPr>
          <w:rFonts w:ascii="Times New Roman" w:hAnsi="Times New Roman"/>
          <w:color w:val="000000"/>
          <w:sz w:val="20"/>
        </w:rPr>
        <w:t xml:space="preserve">Orphan drug exclusivity does not block approval of competing products intended for the orphan-protected indication but containing a different active moiety, or containing the same moiety but intended for a different use. Orphan product exclusivity that could block a competitor to one of our products also could block the approval of one of our products for seven years if a competitor obtains approval of the product containing the same moiety for the same orphan disease or condition.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Pediatric exclusivity is another type of marketing exclusivity available in the United States. The FDASIA made permanent the Best Pharmaceuticals for Children Act, or BPCA, which extends any existing regulatory exclusivity and patent periods by an additional six months if the sponsor conducts clinical trials in children in response to a Written Request from the FDA.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 </w:t>
      </w:r>
    </w:p>
    <w:p>
      <w:pPr>
        <w:pStyle w:val="TextBody"/>
        <w:bidi w:val="0"/>
        <w:spacing w:before="120" w:after="240"/>
        <w:ind w:left="245" w:right="0" w:hanging="0"/>
        <w:jc w:val="left"/>
        <w:rPr>
          <w:rFonts w:ascii="Times New Roman" w:hAnsi="Times New Roman"/>
          <w:sz w:val="20"/>
        </w:rPr>
      </w:pPr>
      <w:r>
        <w:rPr>
          <w:rFonts w:ascii="Times New Roman" w:hAnsi="Times New Roman"/>
          <w:b/>
          <w:i/>
          <w:color w:val="000000"/>
          <w:sz w:val="20"/>
        </w:rPr>
        <w:t>U.S. regulation of companion diagnostics</w:t>
      </w:r>
      <w:r>
        <w:rPr>
          <w:rFonts w:ascii="Times New Roman" w:hAnsi="Times New Roman"/>
          <w:color w:val="000000"/>
          <w:sz w:val="20"/>
        </w:rPr>
        <w:t xml:space="preserve"> </w:t>
      </w:r>
    </w:p>
    <w:p>
      <w:pPr>
        <w:pStyle w:val="TextBody"/>
        <w:bidi w:val="0"/>
        <w:ind w:left="0" w:right="0" w:firstLine="490"/>
        <w:jc w:val="left"/>
        <w:rPr>
          <w:rFonts w:ascii="Times New Roman" w:hAnsi="Times New Roman"/>
          <w:sz w:val="20"/>
        </w:rPr>
      </w:pPr>
      <w:r>
        <w:rPr>
          <w:rFonts w:ascii="Times New Roman" w:hAnsi="Times New Roman"/>
          <w:color w:val="000000"/>
          <w:sz w:val="20"/>
        </w:rPr>
        <w:t xml:space="preserve">Our product candidates may require use of an </w:t>
      </w:r>
      <w:r>
        <w:rPr>
          <w:rFonts w:ascii="Times New Roman" w:hAnsi="Times New Roman"/>
          <w:i/>
          <w:color w:val="000000"/>
          <w:sz w:val="20"/>
        </w:rPr>
        <w:t>in vitro</w:t>
      </w:r>
      <w:r>
        <w:rPr>
          <w:rFonts w:ascii="Times New Roman" w:hAnsi="Times New Roman"/>
          <w:color w:val="000000"/>
          <w:sz w:val="20"/>
        </w:rPr>
        <w:t xml:space="preserve">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If use of companion diagnostic is essential to safe and effective use of a drug or biologic product, then the FDA generally will require approval or clearance of the diagnostic contemporaneously with the approval of the therapeutic product. On August 6, 2014, the FDA issued a final guidance document addressing the development and approval process for “</w:t>
      </w:r>
      <w:r>
        <w:rPr>
          <w:rFonts w:ascii="Times New Roman" w:hAnsi="Times New Roman"/>
          <w:i/>
          <w:color w:val="000000"/>
          <w:sz w:val="20"/>
        </w:rPr>
        <w:t>In Vitro</w:t>
      </w:r>
      <w:r>
        <w:rPr>
          <w:rFonts w:ascii="Times New Roman" w:hAnsi="Times New Roman"/>
          <w:color w:val="000000"/>
          <w:sz w:val="20"/>
        </w:rPr>
        <w:t xml:space="preserve"> Companion Diagnostic Devices.” According to the guidance, for novel candidates such as our product candidates, a companion diagnostic device and its corresponding drug or biologic candidate should be approved or cleared contemporaneously by FDA for the use indicated in the therapeutic product labeling. 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guidance provides that depending on the details of the study plan and subjects, a sponsor may seek to submit an IND alone, or both an IND and an IDE. In July 2016, the FDA issued a draft guidance document intended to further assist sponsors of therapeutic products and sponsors of </w:t>
      </w:r>
      <w:r>
        <w:rPr>
          <w:rFonts w:ascii="Times New Roman" w:hAnsi="Times New Roman"/>
          <w:i/>
          <w:color w:val="000000"/>
          <w:sz w:val="20"/>
        </w:rPr>
        <w:t>in vitro</w:t>
      </w:r>
      <w:r>
        <w:rPr>
          <w:rFonts w:ascii="Times New Roman" w:hAnsi="Times New Roman"/>
          <w:color w:val="000000"/>
          <w:sz w:val="20"/>
        </w:rPr>
        <w:t xml:space="preserve"> companion diagnostic devices on issues related to co-development of these products.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The FDA generally requires companion diagnostics intended to select the patients who will respond to cancer treatment to obtain approval of a PMA for that diagnostic contemporaneously with approval of the therapeutic. The review of these </w:t>
      </w:r>
      <w:r>
        <w:rPr>
          <w:rFonts w:ascii="Times New Roman" w:hAnsi="Times New Roman"/>
          <w:i/>
          <w:color w:val="000000"/>
          <w:sz w:val="20"/>
        </w:rPr>
        <w:t>in vitro</w:t>
      </w:r>
      <w:r>
        <w:rPr>
          <w:rFonts w:ascii="Times New Roman" w:hAnsi="Times New Roman"/>
          <w:color w:val="000000"/>
          <w:sz w:val="20"/>
        </w:rPr>
        <w:t xml:space="preserve"> companion diagnostics in conjunction with the review of therapeutic candidates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or QSR, which imposes elaborate testing, control, documentation and other quality assurance requirements.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the FDA evaluations of both the PMA application and the manufacturing facilities are favorable, the FDA will either issue an approval letter or a not-approvable letter, which usually contains a number of conditions that must be met in order to secure the final approval of the PMA,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the FDA’s evaluation of the PMA or manufacturing facilities is not favorable, the FDA will issue an order denying approval of the PMA or issue a not approvable order.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 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 </w:t>
      </w:r>
    </w:p>
    <w:p>
      <w:pPr>
        <w:pStyle w:val="TextBody"/>
        <w:bidi w:val="0"/>
        <w:spacing w:before="360" w:after="240"/>
        <w:ind w:left="245" w:right="0" w:hanging="0"/>
        <w:jc w:val="left"/>
        <w:rPr>
          <w:rFonts w:ascii="Times New Roman" w:hAnsi="Times New Roman"/>
          <w:sz w:val="20"/>
        </w:rPr>
      </w:pPr>
      <w:r>
        <w:rPr>
          <w:rFonts w:ascii="Times New Roman" w:hAnsi="Times New Roman"/>
          <w:b/>
          <w:i/>
          <w:color w:val="000000"/>
          <w:sz w:val="20"/>
        </w:rPr>
        <w:t>European Union Drug Development</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In the European Union, or EU, clinical and commercial drug products are subject to extensive regulatory requirements. As in the United States, medicinal products can be marketed only if a marketing authorization from the competent regulatory agencies has been obtained.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ECs. Under the current regime all suspected unexpected serious adverse reactions to the investigated drug that occur during the clinical trial have to be reported to the NCA and ECs of the member state where they occurred.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w:t>
      </w:r>
    </w:p>
    <w:p>
      <w:pPr>
        <w:pStyle w:val="TextBody"/>
        <w:bidi w:val="0"/>
        <w:spacing w:before="360" w:after="240"/>
        <w:ind w:left="245" w:right="0" w:hanging="0"/>
        <w:jc w:val="left"/>
        <w:rPr>
          <w:rFonts w:ascii="Times New Roman" w:hAnsi="Times New Roman"/>
          <w:sz w:val="20"/>
        </w:rPr>
      </w:pPr>
      <w:r>
        <w:rPr>
          <w:rFonts w:ascii="Times New Roman" w:hAnsi="Times New Roman"/>
          <w:b/>
          <w:i/>
          <w:color w:val="000000"/>
          <w:sz w:val="20"/>
        </w:rPr>
        <w:t>European Union Drug Review and Approval</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In the European Economic Area, or EEA, which is comprised of the 27 member states of the EU and Iceland, Liechtenstein, Norway, medicinal products can only be commercialized after obtaining a Marketing Authorization, or MA. There are two types of marketing authorizations.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 through the Decentralized Procedure. Under the Decentralized Procedure an identical dossier is submitted to the competent authorities of each of the member state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 Under the above described procedures, before granting the MA, the EMA or the competent authorities of the member states of the EEA make an assessment of the risk-benefit balance of the product on the basis of scientific criteria concerning its quality, safety and efficacy. </w:t>
      </w:r>
    </w:p>
    <w:p>
      <w:pPr>
        <w:pStyle w:val="TextBody"/>
        <w:bidi w:val="0"/>
        <w:spacing w:before="360" w:after="240"/>
        <w:ind w:left="245" w:right="0" w:hanging="0"/>
        <w:jc w:val="left"/>
        <w:rPr>
          <w:rFonts w:ascii="Times New Roman" w:hAnsi="Times New Roman"/>
          <w:sz w:val="20"/>
        </w:rPr>
      </w:pPr>
      <w:r>
        <w:rPr>
          <w:rFonts w:ascii="Times New Roman" w:hAnsi="Times New Roman"/>
          <w:b/>
          <w:i/>
          <w:color w:val="000000"/>
          <w:sz w:val="20"/>
        </w:rPr>
        <w:t>European Union Orphan Designation and Exclusivity</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five in 10,000 persons in the European Union community (or where it is unlikely that the development of the medicine would generate sufficient return to justify the investment) and for which no satisfactory method of diagnosis, prevention or treatment has been authorized (or, if a method exists, the product would be a significant benefit to those affected).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 Orphan drug designation does not convey any advantage in, or shorten the duration of, the regulatory review and approval process. </w:t>
      </w:r>
    </w:p>
    <w:p>
      <w:pPr>
        <w:pStyle w:val="TextBody"/>
        <w:bidi w:val="0"/>
        <w:spacing w:before="360" w:after="240"/>
        <w:ind w:left="245" w:right="0" w:hanging="0"/>
        <w:jc w:val="left"/>
        <w:rPr>
          <w:rFonts w:ascii="Times New Roman" w:hAnsi="Times New Roman"/>
          <w:sz w:val="20"/>
        </w:rPr>
      </w:pPr>
      <w:r>
        <w:rPr>
          <w:rFonts w:ascii="Times New Roman" w:hAnsi="Times New Roman"/>
          <w:b/>
          <w:i/>
          <w:color w:val="000000"/>
          <w:sz w:val="20"/>
        </w:rPr>
        <w:t>European Union Drug Marketing</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Much like the Anti-Kickback Statute prohibition in the United States, the provision of benefits or advantages to physicians to induce or encourage the prescription, recommendation, endorsement, purchase, supply, order or use of medicinal products is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prohibited in the EU. The provision of benefits or advantages to physicians is governed by the national anti-bribery laws of European countries, such as the U.K. Bribery Act 2010. Infringement of these laws could result in substantial fines and imprisonment.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Payments made to physicians in certain EU member states must be publicly disclosed. Moreover, agreements with physicians often must be the subject of prior notification and approval by the physician’s employer, his or her competent professional organization as well as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 </w:t>
      </w:r>
    </w:p>
    <w:p>
      <w:pPr>
        <w:pStyle w:val="TextBody"/>
        <w:bidi w:val="0"/>
        <w:spacing w:before="360" w:after="240"/>
        <w:ind w:left="245" w:right="0" w:hanging="0"/>
        <w:jc w:val="left"/>
        <w:rPr>
          <w:rFonts w:ascii="Times New Roman" w:hAnsi="Times New Roman"/>
          <w:sz w:val="20"/>
        </w:rPr>
      </w:pPr>
      <w:r>
        <w:rPr>
          <w:rFonts w:ascii="Times New Roman" w:hAnsi="Times New Roman"/>
          <w:b/>
          <w:i/>
          <w:color w:val="000000"/>
          <w:sz w:val="20"/>
        </w:rPr>
        <w:t>Data Protection</w:t>
      </w:r>
      <w:r>
        <w:rPr>
          <w:rFonts w:ascii="Times New Roman" w:hAnsi="Times New Roman"/>
          <w:color w:val="000000"/>
          <w:sz w:val="20"/>
        </w:rPr>
        <w:t xml:space="preserve"> </w:t>
      </w:r>
    </w:p>
    <w:p>
      <w:pPr>
        <w:pStyle w:val="TextBody"/>
        <w:bidi w:val="0"/>
        <w:spacing w:before="0" w:after="120"/>
        <w:ind w:left="0" w:right="0" w:firstLine="720"/>
        <w:jc w:val="both"/>
        <w:rPr>
          <w:rFonts w:ascii="Times New Roman" w:hAnsi="Times New Roman"/>
          <w:color w:val="000000"/>
          <w:sz w:val="20"/>
        </w:rPr>
      </w:pPr>
      <w:r>
        <w:rPr>
          <w:rFonts w:ascii="Times New Roman" w:hAnsi="Times New Roman"/>
          <w:color w:val="000000"/>
          <w:sz w:val="20"/>
        </w:rPr>
        <w:t>In the ordinary course of our business, we process personal data (including sensitive health-related data). Accordingly, we are, and may in the future become, subject to numerous data privacy and security obligations, including federal, state, local, and foreign laws, regulations, guidance, and industry standards related to data privacy, security, and protection. Such obligations may include, without limitation, the European Union’s General Data Protection Regulation 2016/679 (“EU GDPR”) and the EU GDPR as it forms part of United Kingdom (“UK”) law by virtue of section 3 of the European Union (Withdrawal) Act 2018 (“UK GDPR”). Several states within the United States have enacted or proposed data privacy laws.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pStyle w:val="TextBody"/>
        <w:bidi w:val="0"/>
        <w:spacing w:before="0" w:after="120"/>
        <w:ind w:left="0" w:right="0" w:firstLine="720"/>
        <w:jc w:val="both"/>
        <w:rPr>
          <w:rFonts w:ascii="Times New Roman" w:hAnsi="Times New Roman"/>
          <w:color w:val="000000"/>
          <w:sz w:val="20"/>
        </w:rPr>
      </w:pPr>
      <w:r>
        <w:rPr>
          <w:rFonts w:ascii="Times New Roman" w:hAnsi="Times New Roman"/>
          <w:color w:val="000000"/>
          <w:sz w:val="20"/>
        </w:rPr>
        <w:t>Numerous U.S. states have enacted comprehensive consumer privacy laws that impose certain obligations on covered businesses, including the provision of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health data, such as conducting data privacy impact assessments. These state laws often allow for the imposition of statutory fines for noncompliance. Outside the United States,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See the section titled “We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(or that of the third parties with whom we work)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 for additional information about the laws and regulations to which we may become subject and about the risks to our business associated with such laws and regulations.</w:t>
      </w:r>
    </w:p>
    <w:p>
      <w:pPr>
        <w:pStyle w:val="TextBody"/>
        <w:bidi w:val="0"/>
        <w:spacing w:before="240" w:after="240"/>
        <w:ind w:left="245" w:right="0" w:hanging="0"/>
        <w:jc w:val="left"/>
        <w:rPr>
          <w:rFonts w:ascii="Times New Roman" w:hAnsi="Times New Roman"/>
          <w:sz w:val="20"/>
        </w:rPr>
      </w:pPr>
      <w:r>
        <w:rPr>
          <w:rFonts w:ascii="Times New Roman" w:hAnsi="Times New Roman"/>
          <w:b/>
          <w:i/>
          <w:color w:val="000000"/>
          <w:sz w:val="20"/>
        </w:rPr>
        <w:t>Rest of the World Regulation</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For other countries outside of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fail to comply with applicable foreign regulatory requirements, we may be subject to, among other things, fines, suspension or withdrawal of regulatory approvals, product recalls, seizure of products, operating restrictions and criminal prosecution. </w:t>
      </w:r>
    </w:p>
    <w:p>
      <w:pPr>
        <w:pStyle w:val="TextBody"/>
        <w:bidi w:val="0"/>
        <w:spacing w:before="360" w:after="240"/>
        <w:ind w:left="245" w:right="0" w:hanging="0"/>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Sales of our products, when and if approved,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coverage determination is often a time-consuming and costly process that will require us to provide scientific and clinical support for the use of our products to each payor separately, with no assurance that coverage and adequate reimbursement will be obtained. Additionally, we, or our collaborators, will be required to obtain coverage and reimbursement for our companion diagnostic tests separate and apart from the coverage and reimbursement we may seek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biosimilars for branded prescription drugs.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 xml:space="preserve">As noted above, the marketability of any products for which we receive regulatory approval for commercial sale may suffer if the government and third-party payors fail to provide coverage and reimbursement. Obtaining coverage and adequate reimbursement for newly approved drugs and biologics is a time-consuming and costly process, and coverage may be more limited than the purposes for which a drug is approved by the FDA or comparable foreign regulatory authorities. Assuming coverage is obtained for a given product by a third-party payor, the resulting reimbursement payment rates may not be adequate or may require co-payments that patients find unacceptably high. Additionally, coverage policies and third-party reimbursement rates may change at any time. Patients who are prescribed medications for the treatment of their conditions, and their prescribing physicians, generally rely on third-party payors to reimburse all or part of the costs associated with their prescription drugs. Patients are unlikely to use products unless coverage is provided and reimbursement is adequate to cover all or a significant portion of the cost of prescribed products. </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 xml:space="preserve">In addition, in most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w:t>
      </w:r>
    </w:p>
    <w:p>
      <w:pPr>
        <w:pStyle w:val="TextBody"/>
        <w:bidi w:val="0"/>
        <w:spacing w:before="360" w:after="283"/>
        <w:jc w:val="left"/>
        <w:rPr>
          <w:rFonts w:ascii="Times New Roman" w:hAnsi="Times New Roman"/>
          <w:sz w:val="20"/>
        </w:rPr>
      </w:pPr>
      <w:r>
        <w:rPr>
          <w:rFonts w:ascii="Times New Roman" w:hAnsi="Times New Roman"/>
          <w:b/>
          <w:color w:val="000000"/>
          <w:sz w:val="20"/>
        </w:rPr>
        <w:t>Employees and Human Capital Resources</w:t>
      </w:r>
      <w:r>
        <w:rPr>
          <w:rFonts w:ascii="Times New Roman" w:hAnsi="Times New Roman"/>
          <w:color w:val="000000"/>
          <w:sz w:val="20"/>
        </w:rPr>
        <w:t xml:space="preserve"> </w:t>
      </w:r>
    </w:p>
    <w:p>
      <w:pPr>
        <w:pStyle w:val="TextBody"/>
        <w:bidi w:val="0"/>
        <w:spacing w:before="240" w:after="120"/>
        <w:ind w:left="0" w:right="0" w:firstLine="490"/>
        <w:jc w:val="left"/>
        <w:rPr>
          <w:rFonts w:ascii="Times New Roman" w:hAnsi="Times New Roman"/>
          <w:color w:val="000000"/>
          <w:sz w:val="20"/>
        </w:rPr>
      </w:pPr>
      <w:r>
        <w:rPr>
          <w:rFonts w:ascii="Times New Roman" w:hAnsi="Times New Roman"/>
          <w:color w:val="000000"/>
          <w:sz w:val="20"/>
        </w:rPr>
        <w:t>In November 2025, as part of cash preservation measures associated with our previously announced strategic review process, our Board of Directors approved a reduction in force of approximately 65% of our workforce, or the 2025 Restructuring. The 2025 Restructuring was substantially completed during the fourth quarter of 2025. We incurred total charges of approximately $1.7 million in connection with the 2025 Restructuring, consisting primarily of one-time employee termination costs, including severance payments and other employee termination-related expenses, that were contingent upon the impacted employees' execution and non-revocation of separation agreements. Substantially all of the 2025 Restructuring costs were recorded in 2025, with none expected to be recorded in 2026.</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As of March 23, 2026, we had 29 full-time employees, including 23 employees who joined in connection with our acquisition of Faeth. We consider our relationship with our employees to be good.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new employees, advisors and consultants. In connection with the Acquisition, our near-term human capital priorities include the successful integration of former Faeth personnel and the continued development of our organization to support the advancement of our clinical programs, including our planned breast cancer trial. We anticipate selectively expanding our workforce as our clinical and operational needs evolve.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common stock is listed on The Nasdaq Capital Market under the symbol “SNSE”.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were originally incorporated as Panacea Pharmaceuticals, Inc., or Panacea, under the laws of the state of Maryland in 1999. In December 2017, we reincorporated in Delaware and changed our name to Sensei Biotherapeutics, Inc. Our principal executive offices are located at 1405 Research Blvd, Rockville, MD 20850. Our telephone number is (240) 243-8000.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Faeth design logo, “Faeth”, “Faeth Therapeutics,” and our other registered or common law trademarks, service marks, or trade names appearing in this Report are the property of Sensei Biotherapeutics, Inc. Other trade names, trademarks and service marks used in this Report are the property of their respective owners. Solely for convenience, trademarks and trade names referred to in this Report exclude the ® or TM symbols.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website address is www.senseibio.com. Our Annual Report on Form 10-K, Quarterly Reports on Form 10-Q, Current Reports on Form 8-K, and amendments to reports filed pursuant to Sections 13(a) and 15(d) of the Exchange Act are made available free of charge on or through our website as soon as reasonably practicable after such reports are filed with, or furnished to, the United States Securities and Exchange Commission, or SEC.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 w:name="item_1a_risk_factors"/>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You should carefully consider the risks described below, as well as general economic and business risks and the other information in this Report.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The risk factors summarized below could materially harm our business, operating results, and/or financial condition, impair our future prospects, and/or cause the price of our common stock to decline. These risks are discussed more fully below. Material risks that may affect our business, financial condition, results of operations, and trading price of our common stock include the following:</w:t>
      </w:r>
    </w:p>
    <w:p>
      <w:pPr>
        <w:pStyle w:val="TextBody"/>
        <w:bidi w:val="0"/>
        <w:spacing w:before="0" w:after="120"/>
        <w:ind w:left="1495" w:right="0" w:hanging="0"/>
        <w:jc w:val="left"/>
        <w:rPr/>
      </w:pPr>
      <w:r>
        <w:rPr/>
        <w:t> </w:t>
      </w:r>
    </w:p>
    <w:p>
      <w:pPr>
        <w:pStyle w:val="TextBody"/>
        <w:bidi w:val="0"/>
        <w:spacing w:before="0" w:after="0"/>
        <w:ind w:left="39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a limited operating history, have incurred net losses since our inception, and anticipate that we will incur significant losses for the foreseeable future. We may never generate any revenue or become profitable or, if we achieve profitability, may not be able to sustain it.</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raise additional capital when needed, we may be forced to delay, reduce or eliminate our product development programs or other operations.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need substantial additional funding to complete the development of our product candidates. A failure to obtain this necessary capital when needed could force us to further delay, limit, reduce or terminate our product development or commercialization efforts.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in every year since our inception. We expect to continue to incur losses over the next several years and may never achieve or maintain profitability.</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highly dependent on the success of our product candidates that we advance into the clinic. All our product candidates will require significant additional preclinical, clinical and manufacturing development before we may be able to seek regulatory approval for and launch a product commercially. 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data from our clinical trials that we announce or publish from time to time may change as more patients are enrolled and additional data become available.</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depend on timely enrollment of patients in our clinical trials for our product candidates. If we encounter difficulties enrolling patients in our clinical trials, our clinical development activities could be delayed or otherwise adversely affected.</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difficult to design and implement, can be lengthy and expensive, involve uncertain outcomes and may not ultimately be successful.</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not involved in the early development of PIKTOR; therefore, we are dependent on third parties having accurately generated, collected, interpreted and reported data from certain preclinical and clinical trials of PIKTOR.</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emerging clinical data from a competitor has provided evidence supporting the multi-node inhibition concept, there is no guarantee that PIKTOR’s specific approach will produce comparable results, and a competitor’s first-mover advantage could limit our commercial opportunity.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0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industry and face significant competition, which may result in others discovering, developing or commercializing products before or more successfully than we do.</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of our product candidates receives marketing approval, it may fail to achieve the degree of market acceptance by physicians, patients, third-party payors and others in the medical community necessary for commercial success.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will depend on several factors, including obtaining and maintaining patent and trade secret protection and/or regulatory exclusivity for our product candidates.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for our technologies and product candidates, or if the scope of the patent protection obtained is not sufficiently broad, our competitors could develop and commercialize technology and products similar or identical to ours, and our ability to successfully commercialize our technology and product candidates may be impaired.</w:t>
      </w:r>
    </w:p>
    <w:p>
      <w:pPr>
        <w:pStyle w:val="TextBody"/>
        <w:bidi w:val="0"/>
        <w:spacing w:before="120" w:after="283"/>
        <w:ind w:left="40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initiate legal proceedings alleging that we are infringing their intellectual property rights, the outcome of which would be uncertain and could significantly harm our business.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the Acquisition will increase stockholder value.</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Acquisition and related 2026 Private Placement, we are required to recommend that our stockholders approve the conversion of all outstanding shares of our Series B Preferred Stock into shares of our common stock. We must also obtain stockholder approval of an amendment to our certificate of incorporation to increase the number of shares we are authorized to issue. We cannot guarantee that our stockholders will approve these matters, and if they fail to do so we may be required to settle such shares in cash and our operations would be materially harmed.</w:t>
      </w:r>
    </w:p>
    <w:p>
      <w:pPr>
        <w:pStyle w:val="TextBody"/>
        <w:bidi w:val="0"/>
        <w:spacing w:before="120" w:after="283"/>
        <w:ind w:left="36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successfully integrate the businesses of Sensei and Faeth in the expected timeframe could adversely affect our results of operations, financial condition, and future results.</w:t>
      </w:r>
    </w:p>
    <w:p>
      <w:pPr>
        <w:pStyle w:val="TextBody"/>
        <w:bidi w:val="0"/>
        <w:spacing w:before="240" w:after="120"/>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have a limited operating history and have incurred significant losses in every year since our inception. We expect to continue to incur losses over the next several years and may never achieve or maintain profitability.</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that may make it difficult to evaluate the success of our business to date and to assess the future viability of our business prospects. Our operations to date have been limited to business planning, including the Acquisition, organizing and staffing our company, raising capital, identifying potential product candidates, conducting clinical trials and preclinical studies for our development programs, entering into licensing agreements, establishing and enhancing our intellectual property portfolio, and providing general and administrative support for these operations.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Our net loss was $21.1 million and $30.2 million for the years ended December 31, 2025 and 2024, respectively. As of December 31, 2025, we had an accumulated deficit of $283.1 million. We have funded our operations to date primarily with proceeds from the sale of our equity securities and borrowings of convertible debt.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have no products approved for commercial sale, have not generated any revenue from commercial sales of our product candidates, and are devoting substantially all of our financial resources and efforts to the research and development of PIKTOR.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expect that it will take at least several years until any of our product candidates receive marketing approval and are commercialized, and we may never be successful in obtaining marketing approval and commercializing product candidates. We expect to continue to incur significant expenses and increasing operating losses for the foreseeable future. These net losses will adversely impact our stockholders’ equity and net assets and may fluctuate significantly from quarter to quarter and year to year.</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To become and remain profitable, we must succeed in developing and eventually commercializing products that generate significant revenue. Achievement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revenues that are significant enough to achieve profitability.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 </w:t>
      </w:r>
    </w:p>
    <w:p>
      <w:pPr>
        <w:pStyle w:val="TextBody"/>
        <w:bidi w:val="0"/>
        <w:ind w:left="0" w:right="0" w:firstLine="555"/>
        <w:jc w:val="left"/>
        <w:rPr>
          <w:rFonts w:ascii="Times New Roman" w:hAnsi="Times New Roman"/>
          <w:color w:val="000000"/>
          <w:sz w:val="20"/>
        </w:rPr>
      </w:pPr>
      <w:r>
        <w:rPr>
          <w:rFonts w:ascii="Times New Roman" w:hAnsi="Times New Roman"/>
          <w:color w:val="000000"/>
          <w:sz w:val="20"/>
        </w:rPr>
        <w:t xml:space="preserve">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 </w:t>
      </w:r>
    </w:p>
    <w:p>
      <w:pPr>
        <w:pStyle w:val="TextBody"/>
        <w:bidi w:val="0"/>
        <w:spacing w:before="120" w:after="120"/>
        <w:jc w:val="left"/>
        <w:rPr>
          <w:rFonts w:ascii="Times New Roman" w:hAnsi="Times New Roman"/>
          <w:sz w:val="20"/>
        </w:rPr>
      </w:pPr>
      <w:r>
        <w:rPr>
          <w:rFonts w:ascii="Times New Roman" w:hAnsi="Times New Roman"/>
          <w:b/>
          <w:i/>
          <w:color w:val="000000"/>
          <w:sz w:val="20"/>
        </w:rPr>
        <w:t>Our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ind w:left="0" w:right="0" w:firstLine="555"/>
        <w:jc w:val="left"/>
        <w:rPr>
          <w:rFonts w:ascii="Times New Roman" w:hAnsi="Times New Roman"/>
          <w:color w:val="000000"/>
          <w:sz w:val="20"/>
        </w:rPr>
      </w:pPr>
      <w:r>
        <w:rPr>
          <w:rFonts w:ascii="Times New Roman" w:hAnsi="Times New Roman"/>
          <w:color w:val="000000"/>
          <w:sz w:val="20"/>
        </w:rPr>
        <w:t xml:space="preserve">As an organization, we have not demonstrated an ability to successfully complete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operating history makes any assessment of our future success or viability subject to significant uncertainty, particularly with respect to the Acquisition. If we do not address these risks successfully or are unable to transition at some point from a company with a research and development focus to a company capable of supporting commercial activities, then our business will suffer. </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We will need substantial additional funding to complete the development of our product candidates.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Since our inception, we have used substantial amounts of capital to fund the development of our product candidates and operations. We expect our research and development expenses to increase in connection with our ongoing activities, particularly as our product candidates enter and advance through preclinical studies and clinical trials. We will require substantial additional funding to meet our financial needs and to pursue our business objectives. We will require significant additional capital to, among other things:</w:t>
      </w:r>
    </w:p>
    <w:p>
      <w:pPr>
        <w:pStyle w:val="TextBody"/>
        <w:bidi w:val="0"/>
        <w:spacing w:before="0" w:after="0"/>
        <w:ind w:left="39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complete our ongoing and planned clinical trials, preclinical studies and IND-enabling activities;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enroll, and complete additional clinical trials for our product candidates;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and obtain regulatory approvals for our product candidates;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and maintain our manufacturing capabilities or enter into third-party manufacturing arrangements;</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and protect our intellectual property portfolio; and</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 our general and administrative operations.</w:t>
      </w:r>
    </w:p>
    <w:p>
      <w:pPr>
        <w:pStyle w:val="TextBody"/>
        <w:bidi w:val="0"/>
        <w:spacing w:before="120" w:after="283"/>
        <w:ind w:left="755" w:right="0" w:hanging="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if we obtain marketing approval for any of our product candidates, we will incur significant commercialization expenses related to marketing, sales, manufacturing and distribution.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Failure to raise capital as and when needed would have a negative impact on our financial condition and ability to develop our product candidates. Furthermore, we cannot be certain that additional funding will be available on acceptable terms. If we are unable to raise additional capital in sufficient amounts or on terms acceptable to us, we may have to significantly delay, scale back or discontinue the development or commercialization of our product candidates or other research and development initiatives, and any of our current or future license agreements may be terminated if we are unable to meet the payment or other obligations under the agreements.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expect that significant additional capital may be needed in the future to continue our planned operations, including conducting clinical trials, commercialization efforts, research and development activities and costs associated with operating a public company. Until such time, if ever, as we can generate substantial product revenues, we expect to finance our cash needs through any or a combination of securities offerings, debt financings, license and collaboration agreements and research grants. If we raise capital through securities offerings, such sales are likely to result in material dilution to our existing stockholders, and new investors could gain rights, preferences and privileges senior to the holders of our common stock.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stockholders, and may cause the market price of our common stock to decline.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addition, we may seek additional capital due to favorable market conditions or strategic considerations even if we believe that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 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further delay, reduce or altogether cease our research and development programs or future commercialization efforts.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our business and financial performance.</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impacting international trade agreements or imposing trade restrictions such as tariffs and retaliatory counter measures.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A widespread public health crisis such as a pandemic could result in significant disruption of global financial markets, reducing our ability to access capital, which could negatively affect our liquidity. In addition, a recession or market correction resulting from the effects of public health crises could materially affect our business and the value of our common stock. It may have further negative impacts, such as (a) a global or U.S. recession or other economic crisis; (b) credit and capital markets volatility (and access to these markets, including by our suppliers and customers); (c) manufacturing supply disruption due to travel restrictions or other government actions; (d) disruptions in raw material supply, our manufacturing operations, or in our distribution and supply chain; and (e) our ability to conduct planned clinical trials and commercialization activities. The ultimate impact of a public health crisis is highly uncertain.</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pStyle w:val="TextBody"/>
        <w:bidi w:val="0"/>
        <w:ind w:left="0" w:right="0" w:firstLine="555"/>
        <w:jc w:val="left"/>
        <w:rPr>
          <w:rFonts w:ascii="Times New Roman" w:hAnsi="Times New Roman"/>
          <w:color w:val="000000"/>
          <w:sz w:val="20"/>
        </w:rPr>
      </w:pPr>
      <w:r>
        <w:rPr>
          <w:rFonts w:ascii="Times New Roman" w:hAnsi="Times New Roman"/>
          <w:color w:val="000000"/>
          <w:sz w:val="20"/>
        </w:rPr>
        <w:t>There is no assurance that any clinical trials of our product candidates will be successful or will generate positive clinical data and we may not receive marketing approval from the FDA or other regulatory agencies for any of our product candidates. All our product candidates are in the early stages of our development efforts, and if any of our product candidates encounter safety or efficacy problems, development delays, regulatory issues or other problems, our development plans and forecasted timelines and business could be significantly harmed. While the FDA has not objected to our protocol for PIKTOR in HR+/HER2- breast cancer and we intend to initiate a Phase 1b clinical trial in the first half of 2026, there can be no assurance that the FDA will permit any future IND or protocol for our other product candidates or additional indications to go into effect in a timely manner or at all. We would not be permitted to conduct further clinical trials in the United States without future INDs and approved protocols for our other product candidates.</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 </w:t>
      </w:r>
    </w:p>
    <w:p>
      <w:pPr>
        <w:pStyle w:val="TextBody"/>
        <w:bidi w:val="0"/>
        <w:spacing w:before="0" w:after="0"/>
        <w:ind w:left="39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initiating, enrolling, and completing clinical trials; </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of INDs for and receipt of allowance to proceed with our clinical trials or other future clinical trials; </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preclinical studies; </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positive results from our preclinical studies and clinical trials that support a demonstration of efficacy, safety, and durability of effect for our product candidates; </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approvals for commercialization of our product candidates from applicable regulatory authorities; </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successfully launching commercial sales of our products, if and when approved, whether alone or in collaboration with others; </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products, if and when approved, by patients, the medical community and third-party payors; </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at an acceptable cost;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growing an organization of scientists, medical professionals and business people who can develop and commercialize our product candidates and technology.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could materially harm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do not have any products that have gained regulatory approval. Our business is substantially dependent on our ability to obtain regulatory approval for our preclinical programs. We cannot commercialize product candidates in the United States without first obtaining regulatory approval for the product from the FDA.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are adequate with respect to such product candidate. Prior to seeking approval for any of our product candidates, we will need to confer with the FDA and other regulatory authorities regarding the design of our clinical trials and the type and amount of clinical data necessary to seek and gain approval for our product candidates.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future product candidates will ever obtain regulatory approval.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from the FDA or other comparable regulatory authorities for many reasons, including: </w:t>
      </w:r>
    </w:p>
    <w:p>
      <w:pPr>
        <w:pStyle w:val="TextBody"/>
        <w:bidi w:val="0"/>
        <w:spacing w:before="0" w:after="0"/>
        <w:ind w:left="39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disagreement with the design, protocol or conduct of our clinical trials; </w:t>
      </w:r>
    </w:p>
    <w:p>
      <w:pPr>
        <w:pStyle w:val="TextBody"/>
        <w:bidi w:val="0"/>
        <w:spacing w:before="120" w:after="283"/>
        <w:ind w:left="3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that a product candidate is safe and effective for its proposed indication; </w:t>
      </w:r>
    </w:p>
    <w:p>
      <w:pPr>
        <w:pStyle w:val="TextBody"/>
        <w:bidi w:val="0"/>
        <w:spacing w:before="120" w:after="283"/>
        <w:ind w:left="3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clinical trials to meet the level of statistical significance required for approval; </w:t>
      </w:r>
    </w:p>
    <w:p>
      <w:pPr>
        <w:pStyle w:val="TextBody"/>
        <w:bidi w:val="0"/>
        <w:spacing w:before="120" w:after="283"/>
        <w:ind w:left="3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that a product candidate’s clinical and other benefits outweigh its safety risks; </w:t>
      </w:r>
    </w:p>
    <w:p>
      <w:pPr>
        <w:pStyle w:val="TextBody"/>
        <w:bidi w:val="0"/>
        <w:spacing w:before="120" w:after="283"/>
        <w:ind w:left="3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 with our interpretation of data from preclinical studies or clinical trials; </w:t>
      </w:r>
    </w:p>
    <w:p>
      <w:pPr>
        <w:pStyle w:val="TextBody"/>
        <w:bidi w:val="0"/>
        <w:spacing w:before="120" w:after="283"/>
        <w:ind w:left="3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insufficiency of data collected from clinical trials of our product candidates to support the submission and filing of an NDA or other submission or to obtain regulatory approval; </w:t>
      </w:r>
    </w:p>
    <w:p>
      <w:pPr>
        <w:pStyle w:val="TextBody"/>
        <w:bidi w:val="0"/>
        <w:spacing w:before="120" w:after="283"/>
        <w:ind w:left="3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approval of the manufacturing processes or our facilities; </w:t>
      </w:r>
    </w:p>
    <w:p>
      <w:pPr>
        <w:pStyle w:val="TextBody"/>
        <w:bidi w:val="0"/>
        <w:spacing w:before="120" w:after="283"/>
        <w:ind w:left="3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approval policies or regulations that render our preclinical and clinical data insufficient for approval; or </w:t>
      </w:r>
    </w:p>
    <w:p>
      <w:pPr>
        <w:pStyle w:val="TextBody"/>
        <w:bidi w:val="0"/>
        <w:spacing w:before="120" w:after="283"/>
        <w:ind w:left="3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 of adequate funding to complete a clinical trial in a manner that is satisfactory to the applicable regulatory authority.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If we are unable to develop, receive regulatory approval for, or successfully commercialize our product candidates, or if we experience delays as a result of any of these risks or otherwise, our business could be materially harmed.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FDA or a comparable regulatory authority may require more information, including additional preclinical or clinical data to support approval, including data that would require us to perform additional clinical trials or modify our manufacturing processes, which may delay or prevent approval and our commercialization plans, or we may decide to abandon the development program. If we change our manufacturing processes,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candidate or generate revenues attributable to that product candidate. Also, any regulatory approval of our current or future product candidates, once obtained, may be withdrawn.</w:t>
      </w:r>
    </w:p>
    <w:p>
      <w:pPr>
        <w:pStyle w:val="TextBody"/>
        <w:bidi w:val="0"/>
        <w:spacing w:before="0" w:after="120"/>
        <w:jc w:val="left"/>
        <w:rPr>
          <w:rFonts w:ascii="Times New Roman" w:hAnsi="Times New Roman"/>
          <w:sz w:val="20"/>
        </w:rPr>
      </w:pPr>
      <w:r>
        <w:rPr>
          <w:rFonts w:ascii="Times New Roman" w:hAnsi="Times New Roman"/>
          <w:b/>
          <w:i/>
          <w:color w:val="000000"/>
          <w:sz w:val="20"/>
        </w:rPr>
        <w:t>Our business is highly dependent on the success of our product candidates that we advance into the clinic, particularly PIKTOR. All of our product candidates, including PIKTOR, will require significant additional preclinical, clinical and manufacturing development before we may be able to seek regulatory approval for and launch a product commercially and we may not be successful in our efforts.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currently have no products that are approved for commercial sale and may never be able to develop marketable products. We are devoting substantially all our resources to the development of PIKTOR. Our existing clinical data for PIKTOR is derived from a Phase 1b open-label, uncontrolled study with a limited number of evaluable patients. If PIKTOR encounters safety or efficacy problems, development delays, regulatory issues or other problems, our development plans and forecasted timelines and business could be significantly harmed. Because substantially all of our resources are concentrated on a single product candidate, any failure or significant delay in PIKTOR’s development would have a disproportionate impact on our business, financial condition and prospects, and we do not have other clinical-stage programs that could offset such a setback.</w:t>
        <w:br/>
        <w:br/>
        <w:t xml:space="preserve">We cannot provide you with any assurance that we will be able to successfully advance PIKTOR or any additional product candidates through the development process. Our research programs may initially show promise in identifying potential product candidates, yet fail to yield product candidates for clinical development or commercialization for many reasons, including the following: </w:t>
      </w:r>
    </w:p>
    <w:p>
      <w:pPr>
        <w:pStyle w:val="TextBody"/>
        <w:bidi w:val="0"/>
        <w:spacing w:before="0" w:after="0"/>
        <w:ind w:left="38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product candidates may not succeed in preclinical or clinical testing;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during our development program so that the continued development of that product candidate is no longer reasonable;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our development efforts for a program or programs, or we may not be able to identify, discover, develop, or commercialize additional product candidates, which could have a material adverse effect on our business and could potentially cause us to cease operations.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we do not successfully develop and commercialize product candidates or collaborate with others to do so, we will not be able to obtain product revenue in future periods, which could significantly harm our financial position and adversely affect the trading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While emerging clinical data from third parties has provided evidence supporting the multi-node inhibition concept for the PI3K/AKT/mTOR pathway, there is no guarantee that PIKTOR’s specific approach will produce comparable clinical results, and earlier approvals for third party drugs in this class could limit our commercial opportunity.</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Our development strategy for PIKTOR is premised on the hypothesis that simultaneous inhibition of multiple nodes of the PI3K/AKT/mTOR signaling pathway — specifically, concurrent PI3Kα inhibition and mTORC1/2 inhibition — will provide deeper, more durable and more tolerable pathway suppression than currently approved single-node inhibitors. We refer to this approach as multi-node inhibition, or MNI. While recent Phase 3 data for the IV pan-PI3K and mTORC1/2 inhibitor gedatolisib provide clinical evidence supporting the broader MNI concept, there can be no assurance that PIKTOR will produce comparable efficacy or tolerability results in clinical trials.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If gedatolisib receives regulatory approval, it would become the first approved MNI therapy for HR+/HER2- advanced breast cancer and could establish a significant market position before PIKTOR completes clinical development. In that event, PIKTOR would need to demonstrate meaningful differentiation — whether through oral convenience, a favorable tolerability profile, broader patient applicability, or other clinical advantages — in order to compete effectively. There can be no assurance that PIKTOR will be able to demonstrate such differentiation. Furthermore, the PI3K/AKT/mTOR pathway is the subject of intense research, and new modalities or approaches could emerge that are superior to both gedatolisib and PIKTOR, rendering our competitive position obsolete.</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addition, if gedatolisib or another MNI receives regulatory approval and is incorporated into the standard of care for any of our target indications, regulatory authorities may require that future clinical trials of PIKTOR, including any registrational trials, use the newly approved MNI as part of the comparator arm rather than the current standard of care. Such a change could require us to conduct larger, more expensive, and longer clinical trials than currently planned, raise the efficacy threshold that PIKTOR must demonstrate to achieve regulatory approval, and materially increase our development costs and delay our anticipated development timelines. Even if we are able to demonstrate superiority or non-inferiority to a newly approved MNI, the cost, complexity, and duration of the required trials could substantially exceed our current projections, and we may need to raise additional capital to fund such trials. There can be no assurance that we would be able to obtain such additional capital on acceptable terms, or at all.</w:t>
      </w:r>
    </w:p>
    <w:p>
      <w:pPr>
        <w:pStyle w:val="TextBody"/>
        <w:bidi w:val="0"/>
        <w:jc w:val="left"/>
        <w:rPr>
          <w:rFonts w:ascii="Times New Roman" w:hAnsi="Times New Roman"/>
          <w:sz w:val="20"/>
        </w:rPr>
      </w:pPr>
      <w:r>
        <w:rPr>
          <w:rFonts w:ascii="Times New Roman" w:hAnsi="Times New Roman"/>
          <w:b/>
          <w:i/>
          <w:color w:val="000000"/>
          <w:sz w:val="20"/>
        </w:rPr>
        <w:t>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our product candidates, even if deemed to not be drug related.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If any such adverse events occur, our clinical trials could be suspended or terminated. If we cannot demonstrate that any adverse events were not caused by the drug, the FDA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may experience numerous unforeseen events prior to, during, or as a result of, clinical trials that could delay or prevent our ability to receive marketing approval or commercialize any of our product candidates, including: </w:t>
      </w:r>
    </w:p>
    <w:p>
      <w:pPr>
        <w:pStyle w:val="TextBody"/>
        <w:bidi w:val="0"/>
        <w:spacing w:before="0" w:after="0"/>
        <w:ind w:left="38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or other comparable regulatory authority may disagree as to the number, design or implementation of our clinical trials, or may not interpret the results from clinical trials as we do;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may not authorize us or our investigators to commence a clinical trial or conduct a clinical trial at a prospective trial site;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reach agreement on acceptable terms with prospective clinical trial sites, the terms of which can be subject to extensive negotiation and may vary significantly among different clinical trial sites;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may produce negative or inconclusive results;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or regulators may require us, to conduct additional preclinical studies or clinical trials or abandon our product development programs;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we anticipate;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comparable regulatory authorities may fail to approve our manufacturing processes or facilities;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causing us or our investigators, regulators or institutional review boards to suspend or terminate the clinical trials; and </w:t>
      </w:r>
    </w:p>
    <w:p>
      <w:pPr>
        <w:pStyle w:val="TextBody"/>
        <w:bidi w:val="0"/>
        <w:spacing w:before="120" w:after="283"/>
        <w:ind w:left="38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other comparable regulatory authorities may significantly change in a manner rendering our clinical data insufficient for approval. </w:t>
      </w:r>
    </w:p>
    <w:p>
      <w:pPr>
        <w:pStyle w:val="TextBody"/>
        <w:bidi w:val="0"/>
        <w:spacing w:before="120" w:after="283"/>
        <w:ind w:left="745" w:right="0" w:hanging="0"/>
        <w:jc w:val="left"/>
        <w:rPr/>
      </w:pPr>
      <w:r>
        <w:rPr/>
        <w: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To the extent that the results of the trials are not satisfactory for the FDA or regulatory authorities in other countries or jurisdictions to approve our NDAs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Clinical trials are difficult to design and implement, can be lengthy and expensive, involve uncertain outcomes and may not ultimately be successful.</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 xml:space="preserve">It is impossible to predict when or if any of our current or future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There is a high failure rate for oncology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 candidate development. Any such delays could negatively impact our business, financial condition, results of operations and prospects.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addition, our ongoing Phase 2 trial in advanced endometrial cancer, Study FTH-PIK-201, includes an optional sub-study in which enrolled patients may combine an insulin-suppressing diet with their PIKTOR plus paclitaxel treatment regimen. Because participation in the diet sub-study is optional, patients who elect to participate may differ in meaningful ways from those who do not, and the resulting patient subgroups may not be balanced with respect to baseline characteristics or other factors that could influence clinical outcomes. If a significant proportion of patients participate in the diet sub-study, or if the diet has any effect — whether positive or negative — on efficacy or tolerability endpoints, it may be difficult to attribute observed clinical outcomes solely to PIKTOR. This could complicate our ability to interpret the trial’s results, could raise questions from regulatory authorities, and could reduce the evidentiary value of the trial for purposes of supporting future regulatory submissions or clinical development decisions.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Negative outcomes or data integrity failures by competitors in the oncology space could adversely affect our business, reputation, and the regulatory and commercial environment in which we operate.</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The clinical and commercial success of PIKTOR may be influenced not only by our own data and results, but also by the outcomes and perceived integrity of data generated by competitors operating in the same therapeutic area, including other multi-node inhibitors. If a competitor’s product or product candidate is withdrawn from the market, subject to a safety recall, or associated with serious adverse events, whether in clinical trials or following regulatory approval, patients, physicians, payers, and the broader medical community may develop a generalized skepticism or loss of confidence in the underlying treatment modality or target mechanism. This loss of confidence could reduce patient enrollment in our clinical trials, dampen physician adoption of our products, or cause payers to impose more restrictive coverage and reimbursement policies, regardless of whether our products share the specific deficiencies identified in the competitor’s product.</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have no control over the research, development, manufacturing, or commercial practices of our competitors in the oncology space, and we cannot predict whether their data or products will meet the standards expected by regulators, the medical community, or the public. Any of the foregoing events could have a material adverse effect on our business, financial condition, results of operations, and prospects.</w:t>
      </w:r>
    </w:p>
    <w:p>
      <w:pPr>
        <w:pStyle w:val="TextBody"/>
        <w:bidi w:val="0"/>
        <w:spacing w:before="0" w:after="120"/>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have a greater likelihood of success.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For example, we are currently focusing the majority of our efforts on the development of PIKTOR.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Our spending on current and future research and development programs and product candidates for specific indications may not yield any commercially viable products. </w:t>
      </w:r>
    </w:p>
    <w:p>
      <w:pPr>
        <w:pStyle w:val="TextBody"/>
        <w:bidi w:val="0"/>
        <w:spacing w:before="0" w:after="120"/>
        <w:jc w:val="left"/>
        <w:rPr>
          <w:rFonts w:ascii="Times New Roman" w:hAnsi="Times New Roman"/>
          <w:sz w:val="20"/>
        </w:rPr>
      </w:pPr>
      <w:r>
        <w:rPr>
          <w:rFonts w:ascii="Times New Roman" w:hAnsi="Times New Roman"/>
          <w:b/>
          <w:i/>
          <w:color w:val="000000"/>
          <w:sz w:val="20"/>
        </w:rPr>
        <w:t>Success in preclinical studies or clinical trials may not be predictive of results in future clinical trials.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Results from preclinical studies and early clinical trials may not be predictive of the success of later clinical trials, and interim results of clinical trials are not necessarily predictive of final results. We do not know whether our candidates will be effective for the intended indications or safe in humans. Our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us to abandon clinical development of our product candidates. Further, our clinical trials to date have involved small patient populations. Because of the small sample sizes, the results of these trials may not be indicative of results of future clinical trials.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were not involved in the early development of PIKTOR; therefore, we are dependent on third parties having accurately generated, collected, interpreted and reported data from certain preclinical and clinical trials of PIKTOR.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had no involvement with or control over the initial preclinical and clinical development of PIKTOR. We are dependent on third parties having conducted their research and development in accordance with the applicable protocols and legal, regulatory and scientific standards; having accurately reported the results of all preclinical studies and clinical trials conducted with respect to such drug product; and having correctly collected and interpreted the data from these trials. If these activities were not compliant, accurate or correct, the clinical development, regulatory approval or commercialization of PIKTOR will be delayed and may be adversely affected.</w:t>
      </w:r>
    </w:p>
    <w:p>
      <w:pPr>
        <w:pStyle w:val="TextBody"/>
        <w:bidi w:val="0"/>
        <w:spacing w:before="0" w:after="120"/>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patients are enrolled and additional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expect to publish from time to time interim topline or preliminary data from our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From time to time, we may also disclose interim data from our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reputation and business prospects. Further, disclosure of interim data by us or by our competitors could result in volatility in the price of our common stock.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cross-trial comparisons we present regarding PIKTOR’s safety and efficacy profile relative to other PI3K/AKT/mTOR pathway agents are subject to significant limitations and may not be predictive of PIKTOR’s relative performance in future controlled studies.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this Report and in our other public communications, we present data comparing PIKTOR’s emerging clinical profile, including rates of hyperglycemia and stomatitis, pharmacokinetic and pharmacodynamic characteristics, and preclinical potency, to published data from clinical trials of approved single-node inhibitors and other multi-node inhibitors in development. These comparisons are derived from different clinical trials conducted at different times, with differences in trial design, patient populations, disease settings, dosing regimens, endpoints, sample sizes, follow-up periods, and adverse event grading criteria. No head-to-head clinical trials have been conducted comparing PIKTOR to any of the agents referenced in these comparisons, and cross-trial comparisons are inherently limited and may not accurately reflect the relative safety or efficacy of the agents being compared.</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Physicians, patients, investors, and regulatory authorities may draw conclusions from these cross-trial comparisons that are not supported by the underlying data, or may discount PIKTOR’s potential based on the inherent limitations of such comparisons. If PIKTOR’s clinical profile does not compare as favorably to competing agents in head-to-head or registrational trials as our cross-trial analyses suggest, the commercial prospects and perceived differentiation of PIKTOR could be materially diminished.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We depend on timely enrollment of patients in our clinical trials for our product candidates. 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 </w:t>
      </w:r>
    </w:p>
    <w:p>
      <w:pPr>
        <w:pStyle w:val="TextBody"/>
        <w:bidi w:val="0"/>
        <w:spacing w:before="0" w:after="0"/>
        <w:ind w:left="38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with the disease or condition being studied;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in the trial, including with respect to PIKTOR, perceived risks related to results of prior trials of serabelisib and sapanisertib alone or in combination;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any risks associated with our competitors’ product candidates;</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required for analysis of the trial’s primary endpoints;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clinical trial;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other new therapeutics;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drop out of the clinical trials before completion of their treatment; and </w:t>
      </w:r>
    </w:p>
    <w:p>
      <w:pPr>
        <w:pStyle w:val="TextBody"/>
        <w:bidi w:val="0"/>
        <w:spacing w:before="120" w:after="283"/>
        <w:ind w:left="38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we may not be able to control, such as pandemics, that may limit patients, principal investigators or staff or clinical site available.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because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the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The market opportunities for certain of our product candidates may be limited to those patients who are ineligible for or have failed prior treatments and, therefore, may be small, and our projections regarding the size of the addressable market may be incorrect.</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approach is based on multi-node inhibition of the PI3K/AKT/mTOR pathway. While emerging Phase 3 data from a competitor have provided clinical evidence supporting this broader concept, our specific product candidate, PIKTOR, has not been evaluated in registrational clinical trials, which makes it difficult for us to predict the time and cost of product development and potential for regulatory approval. Cancer therapies are sometimes characterized as first line, second line or third line, and the FDA often approves new therapies initially only for third line use. When cancers are detected they are treated with first line of therapy with the intention of curing the cancer.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This treatment generally consists of chemotherapy, radiation, antibody drugs, tumor targeted small molecules, or a combination of these. If the patient’s cancer relapses, then the patient is given a second line or third line therapy, which can consist of more chemotherapy, radiation, antibody drugs, tumor targeted small molecules, or a combination of these. Generally, the higher the line of therapy, the lower the chance of a cure. With third or higher line, the goal of the therapy is to control the growth of the tumor and extend the life of the patient, as a cure is unlikely to happen. Patients are generally referred to clinical trials in these situations.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There is no guarantee that any of our product candidates, even if approved, would be approved for an early line of therapy. In addition, we may have to conduct additional large randomized clinical trials prior to gaining approval for the earlier line of therapy.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revenues without obtaining regulatory approval for additional indications or as part of earlier lines of therapy.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projections of addressable market opportunity for PIKTOR are based on estimates and assumptions that may prove incorrect, and the actual commercial opportunity may be substantially smaller than we expect.</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have made internal estimates of the total addressable market for PIKTOR and other product candidates targeting the PI3K/AKT/mTOR pathway, including estimates of patient populations, treatment penetration rates, and potential pricing. These estimates are based on a variety of sources, including published scientific literature, epidemiological data, market research and our own assumptions about competitive dynamics. However, these estimates are inherently uncertain and may prove to be materially incorrect.</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The actual addressable market for PIKTOR may be smaller than we estimate for several reasons, including: the number of patients with actionable alterations in the PI3K/AKT/mTOR pathway may be lower than projected; physicians may not adopt PIKTOR over established therapies; payors may restrict reimbursement; PIKTOR may initially be approved only for later-line treatment settings with smaller patient populations; competing products may capture significant market share before PIKTOR reaches the market; and advances in precision oncology may further segment the patient population. If the actual market opportunity for PIKTOR is materially smaller than our estimates, we may not be able to generate sufficient revenue to justify our development investment, which could have a material adverse effect on our business and financial condition.</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particular, our estimates of PIKTOR’s addressable market include an assumption that multi-node inhibition may confer clinical benefit to patients whose tumors are activated through the PI3K/AKT/mTOR pathway in its non-mutated, or “wild-type,” state, either through dysregulated upstream signaling or as an adaptive response to prior therapy. This belief is based on limited clinical data from a small number of patients in an open-label, uncontrolled Phase 1b study in which responses were observed across multiple mutational classifications, including in patients with no detectable pathway mutations, and on our interpretation of PIKTOR’s mechanism of action. These observations have not been confirmed in larger or controlled clinical trials and may not be replicated in our ongoing or planned studies. If multi-node inhibition does not demonstrate meaningful clinical benefit in patients without direct PI3K/AKT/mTOR pathway alterations, the addressable patient population for PIKTOR could be significantly smaller than we currently estimate, which would reduce our anticipated commercial opportunity and could have a material adverse effect on our business, financial condition, and prospects.</w:t>
      </w:r>
    </w:p>
    <w:p>
      <w:pPr>
        <w:pStyle w:val="TextBody"/>
        <w:bidi w:val="0"/>
        <w:spacing w:before="0" w:after="120"/>
        <w:jc w:val="left"/>
        <w:rPr>
          <w:rFonts w:ascii="Times New Roman" w:hAnsi="Times New Roman"/>
          <w:sz w:val="20"/>
        </w:rPr>
      </w:pPr>
      <w:r>
        <w:rPr>
          <w:rFonts w:ascii="Times New Roman" w:hAnsi="Times New Roman"/>
          <w:b/>
          <w:i/>
          <w:color w:val="000000"/>
          <w:sz w:val="20"/>
        </w:rPr>
        <w:t>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clinical trials will include cancer patients who are very sick and whose health is deteriorating. It is possible that some of these patients may experience side effects during our clinical trials. For example, in a prior clinical trial of PIKTOR, it was reported that one patient had Grade 3 septic shock that was determined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drug-related. In addition, PI3K and mTOR inhibitors as a class are associated with known adverse effects including hyperglycemia, stomatitis, diarrhea, rash and hepatotoxicity. These class-effect toxicities have been observed with approved drugs targeting this pathway and may also be associated with PIKTOR. If these or other adverse effects occur with unacceptable frequency or severity in our clinical trials, our ability to develop and commercialize PIKTOR could be materially impaired. Further, patients may die during our clinical trials for various reasons. The causes of death could include receiving our product candidates because the patient’s disease is too advanced or because the patient experiences medical problems that may not be related to our product candidate. Even if the patient deaths are not related to our product candidate, the deaths could affect perceptions regarding the safety of our product candidates. Patient deaths and severe side effects caused by our product candidates, or by products or product candidates of other companies that are thought to have similarities with our product candidates, could result in the delay, suspension, clinical hold or termination of our clinical trials,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a number of potentially significant negative consequences could result, including: </w:t>
      </w:r>
    </w:p>
    <w:p>
      <w:pPr>
        <w:pStyle w:val="TextBody"/>
        <w:bidi w:val="0"/>
        <w:spacing w:before="0" w:after="0"/>
        <w:ind w:left="37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regulatory authorities may withdraw or limit their approval of such products; </w:t>
      </w:r>
    </w:p>
    <w:p>
      <w:pPr>
        <w:pStyle w:val="TextBody"/>
        <w:bidi w:val="0"/>
        <w:spacing w:before="120" w:after="283"/>
        <w:ind w:left="37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“boxed” warning or a contraindication; </w:t>
      </w:r>
    </w:p>
    <w:p>
      <w:pPr>
        <w:pStyle w:val="TextBody"/>
        <w:bidi w:val="0"/>
        <w:spacing w:before="120" w:after="283"/>
        <w:ind w:left="37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Risk Evaluation and Mitigation Strategy, or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p>
      <w:pPr>
        <w:pStyle w:val="TextBody"/>
        <w:bidi w:val="0"/>
        <w:spacing w:before="120" w:after="283"/>
        <w:ind w:left="37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to remove such products from the marketplace; </w:t>
      </w:r>
    </w:p>
    <w:p>
      <w:pPr>
        <w:pStyle w:val="TextBody"/>
        <w:bidi w:val="0"/>
        <w:spacing w:before="120" w:after="283"/>
        <w:ind w:left="37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ind w:left="37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Any of the foregoing could prevent us from achieving or maintaining market acceptance of the particular product candidate, if approved, and could significantly harm our business, results of operations, and prospects.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or any future collaboration partners from obtaining approvals for the commercialization of any other product candidate we develop.</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contract research organizations, or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may prove to have undesirable or unintended side effects, toxicities or other characteristics that may preclude our obtaining marketing approval or prevent or limit commercial use.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any product candidates we may develop, the commercial prospects for those product candidates may be harmed, and our ability to generate revenues may be materially impaired.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Manufacturing and our Dependence on Third Parties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currently rely, and expect to continue to rely, on third parties to conduct, supervise, and monitor our preclinical studies and clinical trials. If those third parties do not perform satisfactorily, including failing to meet deadlines for the completion of such clinical trials or failing to comply with regulatory requirements, we may be unable to obtain regulatory approval for our product candidates.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currently rely on third-party CROs, academic institutions, study sites, clinical investigators and others to conduct, supervise, and monitor our preclinical studies and clinical trials. We expect to continue to rely on third parties, such as CROs, clinical data management organizations, medical institutions, and clinical investigators, to conduct our preclinical studies and clinical trials. Although we currently have or plan to enter into agreements governing the activities of these third parties,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develop PIKTOR and other current and future product candidates, or we may not obtain marketing approval for, or commercialize, PIKTOR or our other current and future product candidates in a timely manner or at all.</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Moreover, these agreements might terminate for a variety of reasons, including a failure to perform by the third parties. If we need to enter into alternative arrangements our product development activities could be delayed and our business, financial condition, results of operations, stock price and prospects may be materially harmed.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the FDA’s Good Laboratory Practice, or GLP, regulations,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cannot assure you that upon inspection by a given regulatory authority, such regulatory authority will determine that any of our clinical trials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the development of our product candidates. If these third parties do not successfully carry out their contractual duties, meet expected deadlines or conduct our preclinical studies or clinical trials in accordance with regulatory requirements or our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current and future product candidates; we may not be able to, or may be delayed in our efforts to, successfully commercialize current and future product candidates; or we or they may be subject to regulatory enforcement actions. As a result, our results of operations and the commercial prospects for current and future product candidates may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may enter into collaborations for our current or future product candidates or technologies. We cannot control the timing or quantity of resources that our existing or future collaborators will dedicate to research, preclinical and clinical development. Our collaborators may not perform their obligations according to our expectations or standards of quality. Our collaborators could terminate our existing agreements for a number of reasons.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will also rely on other third parties to store and distribute our product candidates for the clinical trials that we plan to conduct. Any performance failure on the part of our distributors could delay clinical development, marketing approval, or commercialization of current and future product candidates, which could result in additional losses and deprive us of potential product revenue.</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Certain of our current and future product candidates will be evaluated in combination with third-party drugs, and we will have limited or no control over the supply, regulatory status, or regulatory approval of such drugs.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ability to develop and ultimately commercialize current and future product candidates used in combination with other compounds will depend on our ability to access such drugs on commercially reasonable terms for clinical trials and their availability for use with the commercialized product, if approved. Any failure to enter into successful commercial relationships, or inability to source or purchase other potential combination agents in the market, may delay our development timelines, increase our costs and jeopardize our ability to develop current and future product candidates as potential combination therapies, which may materially harm our business, financial condition, results of operations, stock price and prospects. Moreover, the development of product candidates for use in combination with another product or product candidate may present challenges that are not encountered when developing single-agent product candidates. For example, the FDA may require us to use more complex clinical trial designs in order to evaluate the contribution of each product and product candidate to any observed effects. Additionally, following product approval, the FDA may require that products used in conjunction with each other be cross labeled for combined use. To the extent that we do not have rights to the other product, this may require us to work with a third party under terms unfavorable to us to satisfy such a requirement. Moreover, developments related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currently rely on CMOs for the production of PIKTOR and we expect to rely on CMOs for our other product candidates.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Because PIKTOR is a combination of two active pharmaceutical ingredients, our manufacturing and supply chain for PIKTOR requires coordination across two separate drug substances, and any disruption to the supply of either component could halt our entire development program. The need to maintain parallel supply chains for two drug substances increases our operational complexity and our vulnerability to supply disruptions compared to single-agent product candidates. We may not be able to secure backup suppliers for both components on commercially reasonable terms. Any significant delay in the supply of either serabelisib or sapanisertib could considerably delay our clinical development, increase our costs, and have a material adverse effect on our business.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currently have no plans to build our own clinical or commercial scale manufacturing capabilities for our product candidates. Instead, we expect to rely on third parties for the manufacture of our product candidates and related raw materials for future preclinical and clinical development, as well as for commercial manufacture if any of our product candidates receive marketing approval. We have entered into arrangements with a limited number of third-party contract manufacturing organizations, or CMOs, as part of our development of our product candidates. These CMOs will provide drug substance intermediate and drug product that will be subsequently labeled, packaged and distributed to our CROs. We may also enter into agreements with additional companies for the supply of substances for use in the development of our product candidates or any future product candidates or for the manufacture of such product candidates.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or our third-party suppliers or manufacturers may encounter shortages in the raw materials or active pharmaceutical ingredient, or API, necessary to produce product candidates we may develop in the quantities needed for our clinical trials or, if any current or future product candidates we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Even if raw materials or API are available, we may be unable to obtain sufficient quantities at an acceptable cost or quality. The need to synchronize the procurement of two APIs for our fixed combination drug product candidate PIKTOR presents additional risk since any imbalance in availability and timing of one API would prevent the manufacture of finished drug product for clinical trials or commercial use. The failure by us or our third-party suppliers or manufacturers to obtain the raw materials or API necessary to manufacture sufficient quantities of any current or future product candidates we may develop could delay, prevent or impair our development efforts and may have a material adverse effect on our business.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The facilities used by third-party manufacturers to manufacture current or future product candidates must be authorized by the FDA pursuant to inspections that will be conducted after we submit a NDA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Finding new CMOs or third-party suppliers involves additional cost and requires our management’s time and focus. In addition, there is typically a transition period when a new CMO commences work. Although we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any of our product candidates. Additionally, any changes implemented by a new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CMO could delay completion of clinical trials, require the conduct of bridging clinical trials or studies, require the repetition of one or more clinical trials, increase clinical trial costs, delay approval of our current and future product candidates and jeopardize our ability to commence product sales and generate revenue.</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 or products. In addition, in the case of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As part of their manufacture of our product candidates, our CMO and third-party suppliers are expected to comply with and respect the intellectual property and proprietary rights of others. If our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could significantly impact our ability to develop, obtain regulatory approval for or commercialize our product candidates, if approved.</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Even if we are able to establish agreements with third-party manufacturers, reliance on third-party manufacturers entails additional risks, including:</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of third-party manufacturers to comply with regulatory requirements and maintain quality assurance;</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breach of the manufacturing agreement by the third party;</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manufacture our product according to our specifications;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manufacture our product according to our schedule or at all;</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difficulties caused by unforeseen events that may delay the availability of one or more of the necessary raw materials or delay the manufacture of any current or future product candidates for use in clinical trials or for commercial supply;</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misappropriation of our proprietary information, including our trade secrets and know-how; and</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or nonrenewal of the agreement by the third party at a time that is costly or inconvenient for us.</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Any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time-consuming to implement. We do not currently have arrangements in place for redundant supply or second sources of supply with alternative suppliers or CMOs to supplement or supply the raw materials, drug substances, intermediates, and drug product necessary for the manufacture of our product candidates, including PIKTOR. If our current third-party CMO cannot perform as agreed, we may be required to replace such manufacturer and we may be unable to replace them on a timely basis or at all.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Because we rely on a limited number of suppliers for the raw materials used in our drug candidates, any delay, shortage or interruption in the supply of such raw materials or contamination in our manufacturing process could lead to delays in the manufacture and supply of our drug candidates.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rely on third-parties to supply certain raw materials necessary to produce our drug candidates for preclinical studies and clinical trials. For example, we rely on third-parties to supply certain reagents, which are substances used in our manufacturing processes to bring about chemical or biological reactions, and other specialty materials and equipment, some of which are manufactured or supplied by small companies with limited resources. There are a small number of suppliers for certain raw materials that we use to manufacture our drug candidates. Certain of our suppliers or their sub-suppliers are based in China, which exposes us to additional risks including trade restrictions, tariffs, export controls, geopolitical tensions, and potential disruptions to the supply chain that are beyond our control. We work with our CMOs to purchase these materials from our suppliers who may not always have long-term supply agreements in place, which could expose us to a variety of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Any significant delay in the supply of raw materials for our drug candidates for a preclinical study or a clinical trial due to the need to replace a third-party supplier could considerably delay completion of certain preclinical studies and/or clinical trials. Moreover, if we are unable to purchase sufficient raw materials after regulatory approval for our drug candidates, the commercial launch of our drug candidates could be delayed, or there could be a supply shortage, each of which could impair our ability to generate revenues from their sale.</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addition, a material shortage, contamination, recall or restriction on the use of substances in the manufacture of our drug candidates, or the failure of any of our key suppliers to deliver necessary components required for the manufacture of our drug candidates, could adversely impact or disrupt the commercial manufacture or the production of clinical material, which could materially and adversely affect our development timelines and our business, financial condition, results of operations, and future prospects.</w:t>
      </w:r>
    </w:p>
    <w:p>
      <w:pPr>
        <w:pStyle w:val="TextBody"/>
        <w:bidi w:val="0"/>
        <w:spacing w:before="0" w:after="120"/>
        <w:jc w:val="left"/>
        <w:rPr>
          <w:rFonts w:ascii="Times New Roman" w:hAnsi="Times New Roman"/>
          <w:sz w:val="20"/>
        </w:rPr>
      </w:pPr>
      <w:r>
        <w:rPr>
          <w:rFonts w:ascii="Times New Roman" w:hAnsi="Times New Roman"/>
          <w:b/>
          <w:i/>
          <w:color w:val="000000"/>
          <w:sz w:val="20"/>
        </w:rPr>
        <w:t>Our employees, principal investigators, CROs and consultants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contractual damages, reputational harm, diminished profits and future earnings, and curtailment of our operations, any of which could adversely affect our ability to operate our business and our results of operations.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Regulatory Approval of our Product Candidates and Other Legal Compliance Matters</w:t>
      </w:r>
    </w:p>
    <w:p>
      <w:pPr>
        <w:pStyle w:val="TextBody"/>
        <w:bidi w:val="0"/>
        <w:spacing w:before="0" w:after="120"/>
        <w:jc w:val="left"/>
        <w:rPr>
          <w:rFonts w:ascii="Times New Roman" w:hAnsi="Times New Roman"/>
          <w:sz w:val="20"/>
        </w:rPr>
      </w:pPr>
      <w:r>
        <w:rPr>
          <w:rFonts w:ascii="Times New Roman" w:hAnsi="Times New Roman"/>
          <w:b/>
          <w:i/>
          <w:color w:val="000000"/>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Whether the results from our clinical trials will suffice to obtain approval will be a review issue and the FDA may not grant approval and may require that we conduct one or more controlled clinical trials to obtain approval. Additionally, even if FDA does grant approval for one or more of our product candidates, it may be for a more narrow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expensive and often takes many years. If the FDA or a comparable foreign regulatory authority requires that we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preclinical studies or clinical trials;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enroll a sufficient number of patients in our clinical studies;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or a related companion diagnostic is suitable to identify appropriate patient populations;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such that our clinical data are insufficient for approval.</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our product candidates, the commercial prospects for our product candidates may be harmed and our ability to generate revenues will be materially impaired. </w:t>
      </w:r>
    </w:p>
    <w:p>
      <w:pPr>
        <w:pStyle w:val="TextBody"/>
        <w:bidi w:val="0"/>
        <w:spacing w:before="0" w:after="120"/>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guarantee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may submit marketing applications in countries other than the United States.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product candidates, the manufacturing processes, labeling, packaging, distribution, storage, advertising, promotion, import, export, recordkeeping, monitoring, and reporting for our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voluntary or mandatory product recalls;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revision to the labeling, including limitations on approved uses or the addition of additional warnings, contraindications or other safety information, including boxed warnings;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REMS, which may include distribution or use restrictions;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additional post-market clinical trials to assess the safety of the product;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other regulatory enforcement action;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and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could adversely affect our business, prospects and ability to achieve or sustain profitability. </w:t>
      </w:r>
    </w:p>
    <w:p>
      <w:pPr>
        <w:pStyle w:val="TextBody"/>
        <w:bidi w:val="0"/>
        <w:spacing w:before="0" w:after="120"/>
        <w:jc w:val="left"/>
        <w:rPr>
          <w:rFonts w:ascii="Times New Roman" w:hAnsi="Times New Roman"/>
          <w:sz w:val="20"/>
        </w:rPr>
      </w:pPr>
      <w:r>
        <w:rPr>
          <w:rFonts w:ascii="Times New Roman" w:hAnsi="Times New Roman"/>
          <w:b/>
          <w:i/>
          <w:color w:val="000000"/>
          <w:sz w:val="20"/>
        </w:rPr>
        <w:t>If we are unable to successfully validate, develop and obtain regulatory approval for any required companion diagnostic tests for our product candidates or experience significant delays in doing so, we may fail to obtain approval or may not realize the full commercial potential of these product candidates.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connection with the clinical development of our product candidates for certain indications, we may develop or engage third parties to develop or obtain access to in vitro companion diagnostic tests to identify patient subsets within a disease category who may derive benefit from our product candidates. Such companion diagnostics may be used during our clinical trials and may be required in connection with the FDA approval of our product candidates. To be successful, we or our collaborators will need to address a number of scientific, technical, regulatory and logistical challenges. Companion diagnostics are subject to regulation by the FDA, EMA and other regulatory authorities as medical devices and require separate regulatory approval prior to commercialization.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may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and our future collaborators may encounter difficulties in developing and obtaining approval for the companion diagnostics, including issues relating to selectivity/specificity, analytical validation, reproducibility, or clinical validation of companion diagnostics. We and our future collaborators also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or such approval may be delayed,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developing,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Our relationships with customers, healthcare professionals, and third-party payors will be subject to applicable anti-kickback, fraud and abuse and other healthcare laws and regulations, which could expose us to significant penalties, including criminal sanctions, administrative civil penalties, exclusion from government healthcare programs, contractual damages, reputational harm and diminished profits and future earnings.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current and future business operations and activities may subject us to additional healthcare statutory and regulatory requirements and enforcement by the federal government and the states and foreign governments in which we conduct our business. Healthcare providers and third-party payors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that may constrain the business or financial arrangements and relationships through which we research as well as market, sell and distribute our product candidates for which we obtain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Centers for Medicare &amp; Medicaid Services, or CMS, information related to transfers of value made to physicians (currently defined to include doctors, dentists, optometrists, podiatrists and chiropractors),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60" w:right="0" w:hanging="0"/>
        <w:jc w:val="left"/>
        <w:rPr/>
      </w:pPr>
      <w:r>
        <w:rPr>
          <w:rFonts w:ascii="Times New Roman" w:hAnsi="Times New Roman"/>
          <w:color w:val="000000"/>
          <w:sz w:val="20"/>
        </w:rPr>
        <w:t>healthcare professionals (such as nurse practitioners and physicians assistants), and teaching hospitals, as well as information regarding ownership and investment interests of such physicians and their immediate family members;</w:t>
      </w:r>
      <w:r>
        <w:rPr>
          <w:color w:val="000000"/>
        </w:rPr>
        <w:t xml:space="preserve">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HITECH and its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our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our business activities, including compensation of physicians with stock or stock options, could, despite efforts to comply, be subject to challenge under current or future statutes, regulations or case law interpreting applicable fraud and abuse or other healthcare laws and regulations. Ensuring that our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were to be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our operations, any of which could adversely affect our ability to operate our business and our results of operations.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In addition, the approval and commercialization of any of our product candidates outside the United States will also likely subject us to foreign equivalents of the healthcare laws mentioned above, among other foreign laws. </w:t>
      </w:r>
    </w:p>
    <w:p>
      <w:pPr>
        <w:pStyle w:val="TextBody"/>
        <w:bidi w:val="0"/>
        <w:spacing w:before="0" w:after="120"/>
        <w:jc w:val="left"/>
        <w:rPr>
          <w:rFonts w:ascii="Times New Roman" w:hAnsi="Times New Roman"/>
          <w:sz w:val="20"/>
        </w:rPr>
      </w:pPr>
      <w:r>
        <w:rPr>
          <w:rFonts w:ascii="Times New Roman" w:hAnsi="Times New Roman"/>
          <w:b/>
          <w:i/>
          <w:color w:val="000000"/>
          <w:sz w:val="20"/>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The U.S.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Patient Protection and ACA was passed, which substantially changed the way healthcare is financed by both governmental and private insurers.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certain aspects of the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agencies including at the U.S. Department of Health and Human Services, or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demand for our current or future product candidates, if we obtain regulatory approval;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coverage and reimbursement approval for a product;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Any reduction in reimbursement from Medicare or other government programs may result in a similar reduction in payments from private payors, which may adversely affect our future profitability.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our products in international markets or, in some cases, prevent the export of our products to some countries altogether. Furthermore, Trade Control laws prohibit the provision of certain products and services to countries, governments and persons targeted by sanctions.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research, development or production efforts. Failure to comply with these laws and regulations also may result in substantial fines, penalties or other sanctions.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the Commercialization of our Product Candidates</w:t>
      </w:r>
    </w:p>
    <w:p>
      <w:pPr>
        <w:pStyle w:val="TextBody"/>
        <w:bidi w:val="0"/>
        <w:spacing w:before="0" w:after="120"/>
        <w:jc w:val="left"/>
        <w:rPr>
          <w:rFonts w:ascii="Times New Roman" w:hAnsi="Times New Roman"/>
          <w:sz w:val="20"/>
        </w:rPr>
      </w:pPr>
      <w:r>
        <w:rPr>
          <w:rFonts w:ascii="Times New Roman" w:hAnsi="Times New Roman"/>
          <w:b/>
          <w:i/>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approved.</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currently plan to work to build our commercialization capabilities internally over time such that we are able to commercialize any product candidate for which we may obtain regulatory approval. However, we currently have no sales, marketing or distribution capabilities and have no experience in marketing or distributing pharmaceutical products. To achieve commercial success for any product candidate for which we may obtain marketing approval, we will need to expand our sales and marketing organization and establish logistics and distribution processes to commercialize and deliver our product candidates to patients and healthcare providers. These activities will be expensive and time-consuming and will require significant attention of our executive officers to manage. There are risks involved in establishing our own sales and marketing capabilities, as well as with entering into arrangements with third parties to perform these services. Additionally, our beliefs that our products will be commercially viable have not been tested.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revenues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effectively.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we do not establish sales, marketing and distribution capabilities successfully, either on our own or in collaboration with third parties, we will not be successful in commercializing our product candidates in the United States or overseas. </w:t>
      </w:r>
    </w:p>
    <w:p>
      <w:pPr>
        <w:pStyle w:val="TextBody"/>
        <w:bidi w:val="0"/>
        <w:spacing w:before="0" w:after="120"/>
        <w:jc w:val="left"/>
        <w:rPr>
          <w:rFonts w:ascii="Times New Roman" w:hAnsi="Times New Roman"/>
          <w:sz w:val="20"/>
        </w:rPr>
      </w:pPr>
      <w:r>
        <w:rPr>
          <w:rFonts w:ascii="Times New Roman" w:hAnsi="Times New Roman"/>
          <w:b/>
          <w:i/>
          <w:color w:val="000000"/>
          <w:sz w:val="20"/>
        </w:rPr>
        <w:t>We operate in a rapidly changing industry and face significant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anticipate that we will compete with Alpelisib, Inavolisib, Capivasertib, Everolimus and Temsirolimus, all of which are approved drugs that target the PI3K/AKT/mTOR pathway. In addition, we are aware of several additional product candidates in clinical development that could potentially pose a direct competitive threat to PIKTOR, particularly for the treatment of advanced HR+/HER2- breast cancer. These product candidates include Gedatolisib, an IV pan-PI3K + mTORC1/2 inhibitor from Celcuity, whose New Drug Application for HR+/HER2-, PIK3CA wild-type metastatic breast cancer was accepted by the FDA with Priority Review and a Prescription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User Fee Act goal date of July 17, 2026; Tersolisib, an oral mutant-specific PI3Kα inhibitor from Eli Lilly currently in Phase 3 trials for HR+/HER2- breast cancer; Zovegalisib, an oral mutant-selective PI3Kα inhibitor from Relay Therapeutics currently in Phase 3 trials for advanced HR+/HER2- breast cancer; Afuresertib, an oral pan AKT inhibitor from Laekna Therapeutics currently in Phase 3 trials for advanced HR+/HER2- breast cancer; Paxalisib, an oral brain penetrant PI3K/mTOR inhibitor from Kazia Therapeutics currently in Phase 3 trials in glioblastoma; SNV4818, an oral pan-mutant-selective PI3Kα inhibitor acquired by Novartis from Synnovation Therapeutics in March 2026, currently in Phase 1/2 trials for HR+/HER2- breast cancer and other solid tumors; and OKI-219, an oral mutant-specific PI3Kα inhibitor from OnKure Therapeutics, currently in Phase 1/2 trials for HR+/HER2- breast cancer and other solid tumors. Our competitive thesis is that multi-node inhibition is a superior mechanism to provide deeper, more tolerable suppression of the PI3K/AKT/mTOR pathway than is currently available in approved therapeutics. If our thesis is incorrect, or if new modalities are developed that better suppress the PI3K/AKT/mTOR pathway, our business would be materially and adversely impacted.</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Several of these competing product candidates are in Phase 3 registrational trials with potential approval timelines that are ahead of our development timeline for PIKTOR. In particular, Celcuity recently had its New Drug Application for gedatolisib in HR+/HER2-, PIK3CA wild-type metastatic breast cancer accepted by the FDA with Priority Review and a Prescription Drug User Fee Act goal date of July 17, 2026. If one or more competitors obtains regulatory approval and establishes a market position before we are able to enter the market, it could significantly diminish the commercial opportunity for PIKTOR, particularly if the approved product addresses the same patient population or demonstrates a superior safety or efficacy profile. Additionally, mutant-selective PI3Ka inhibitors being developed by Eli Lilly (tersolisib) and Relay Therapeutics (zovegalisib) are also in Phase 3 development and, if approved, could reduce the addressable market for PIKTOR by providing an alternative targeted approach for patients with PI3K-mutant tumors. Large pharmaceutical companies are making significant investments in the PI3K/AKT/mTOR space. For example, in March 2026, Novartis announced the acquisition of Synnovation Therapeutics’ pan-mutant-selective PI3Kα inhibitor program, including SNV4818, which is currently in Phase 1/2 clinical development for HR+/HER2- breast cancer. This and similar acquisitions could result in additional well-resourced competitors with established commercial infrastructure entering the market ahead of or concurrent with PIKTOR, which could significantly diminish our commercial opportunity.</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competitors with development-stage programs may obtain marketing approval from the FDA or other comparable regulatory authorities for their product candidates more rapidly than we do, and they could establish a strong market position before we are able to enter the market. In addition,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or other regulatory approval for their products more rapidly than we may obtain approval for ours, which could result in our competitors establishing a strong market position for either their product or a specific indication before we are able to enter the market.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any of our product candidates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Even if we obtain approvals from the FDA or other comparable regulatory agencies and are able to initiate commercialization of our product candidates or any other product candidates we develop, the product candidate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 </w:t>
      </w:r>
    </w:p>
    <w:p>
      <w:pPr>
        <w:pStyle w:val="TextBody"/>
        <w:bidi w:val="0"/>
        <w:spacing w:before="0" w:after="0"/>
        <w:ind w:left="37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physicians, hospitals, cancer treatment centers, and patients considering our product candidates as a safe and effective treatment;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other regulatory authorities;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as well as competitive products;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upfront costs or training required for physicians to administer our product candidates;</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adequate reimbursement from, and our ability to negotiate pricing with, third-party payors and government authorities;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including as compared to alternative treatments and competitive therapies; and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distribution support.</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Our efforts to educate physicians, patients, third-party payors and others in the medical community on the benefits of our product candidates, if approved, may require significant resources and may never be successful. Because we expect sales of our product candidates, if approved, to generate substantially all of our product revenue for the foreseeable future, the failure of our product candidates to find market acceptance could harm our business and could require us to seek additional financing.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Even if our product candidates, if approved, achieve market acceptance, we may not be able to maintain that market acceptance over time if new products or technologies are introduced that are more favorably received than our products, are more cost effective or render our products obsolete. </w:t>
      </w:r>
    </w:p>
    <w:p>
      <w:pPr>
        <w:pStyle w:val="TextBody"/>
        <w:bidi w:val="0"/>
        <w:spacing w:before="0" w:after="120"/>
        <w:jc w:val="left"/>
        <w:rPr>
          <w:rFonts w:ascii="Times New Roman" w:hAnsi="Times New Roman"/>
          <w:sz w:val="20"/>
        </w:rPr>
      </w:pPr>
      <w:r>
        <w:rPr>
          <w:rFonts w:ascii="Times New Roman" w:hAnsi="Times New Roman"/>
          <w:b/>
          <w:i/>
          <w:color w:val="000000"/>
          <w:sz w:val="20"/>
        </w:rPr>
        <w:t>Coverage and adequate reimbursement may not be available for our current or any future product candidates, which could make it difficult for us to sell profitably, if approved.</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Market acceptance and sales of any product candidates, if approved, that we commercialize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we develop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us to establish or maintain pricing sufficient to realize a sufficient return on our investment will be approved. Third-party payors are increasingly challenging the price, examining the medical necessity and reviewing the cost-effectiveness of medical products, therapies and services, in addition to questioning their safety and efficacy. We may incur significant costs to conduct expensive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pharmaco-economic studies in order to demonstrate the medical necessity and cost-effectiveness of our product candidates, in addition to the costs required to obtain FDA approvals. Our product candidates may not be considered medically necessary or cost-effective.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could negatively impact prescriptions for our product candidates, if approved.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addition, our NEAAR program, which seeks to restrict patient intake of specific non-essential amino acids to suppress tumor growth, represents a novel therapeutic approach for which there is limited regulatory precedent. Dietary interventions are not subject to the same well-established regulatory approval pathways as pharmaceutical products, and it is unclear how the FDA or comparable foreign regulatory authorities would evaluate a dietary regimen as a component of a cancer treatment regimen. Even if we are able to generate clinical evidence supporting the use of NEAAR in combination with our other product candidates, third-party payors may be unwilling to provide coverage or reimbursement for a prescribed dietary intervention, which could limit patient adoption and reduce any potential commercial value of the program.</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cannot be sure that coverage and reimbursement in the United States or elsewhere will be available for any product that we may develop, and any reimbursement that may become available may be decreased or eliminated in the future. </w:t>
      </w:r>
    </w:p>
    <w:p>
      <w:pPr>
        <w:pStyle w:val="TextBody"/>
        <w:bidi w:val="0"/>
        <w:jc w:val="both"/>
        <w:rPr>
          <w:rFonts w:ascii="Times New Roman" w:hAnsi="Times New Roman"/>
          <w:sz w:val="20"/>
        </w:rPr>
      </w:pPr>
      <w:r>
        <w:rPr>
          <w:rFonts w:ascii="Times New Roman" w:hAnsi="Times New Roman"/>
          <w:b/>
          <w:i/>
          <w:color w:val="000000"/>
          <w:sz w:val="20"/>
        </w:rPr>
        <w:t>Our business, operational and financial goals may not be attainable if the market opportunities for our products are smaller than we expect. Our internal research and third-party estimates may not accurately reflect the market opportunities for PIKTOR or our other product candidates today or in the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The total market opportunities that we believe exist are based on a variety of assumptions and estimates, including the size of the addressable patient population in applicable jurisdictions, the penetration of other drugs in these markets, the number of potential companion diagnostic programs we will be able to successfully pursue, the amount of potential milestone payments that we could receive in companion diagnostic programs, the number of patients we will test in clinical trials, the price we will be able to charge for our products and the total annual number of cancer patients with undiagnosed abnormal cell signaling. In addition, we have relied on third-party publications, research, surveys and studies for information related to determining market opportunities, including without limitation, information on the number of cancer patients and those receiving various forms of treatment, the cost of drug therapy, the amount of revenue generated from various types of drug therapy, the objective response rates of drug therapies, the number of deaths caused by cancer and the expected growth in cancer drug therapy and diagnostic markets. Our internal research and estimates on market opportunities have been verified by independent sources, but any or all of our assumptions and/or estimates may prove to be incorrect for several reasons, such as inaccurate reports or information that we have relied on, potential patients or providers not being amenable to using our products or such patients becoming difficult to identify and access, limited reimbursement for our products, pricing pressure due to availability of alternative drugs or an inability to obtain the necessary regulatory approvals for new indications. If any or all of our assumptions and estimates prove inaccurate, we may not attain our business, operational and financial goals.</w:t>
      </w:r>
    </w:p>
    <w:p>
      <w:pPr>
        <w:pStyle w:val="TextBody"/>
        <w:bidi w:val="0"/>
        <w:spacing w:before="0" w:after="120"/>
        <w:jc w:val="left"/>
        <w:rPr>
          <w:rFonts w:ascii="Times New Roman" w:hAnsi="Times New Roman"/>
          <w:sz w:val="20"/>
        </w:rPr>
      </w:pPr>
      <w:r>
        <w:rPr>
          <w:rFonts w:ascii="Times New Roman" w:hAnsi="Times New Roman"/>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product candidates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If we are unable to obtain and maintain effective patent protection for our technology and product candidates, or if the scope of the patent protection obtained is not sufficiently broad, we may not be able to compete effectively in our markets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We rely upon a combination of patents, trade secret protection, trademarks, and confidentiality agreements to protect the intellectual property related to our product candidates and development programs. Our success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We have sought to protect our proprietary position by filing patent applications in the United States and abroad related to our products that are important to our business.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file will result in an issued patent having claims that protect our products; and, as a result, we may not be able to effectively prevent others from commercializing competitive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 If the patent applications we hold or have in-licensed with respect to our development programs and product candidates fail to issue, if their breadth or strength of protection is threatened, or if they fail to provide meaningful exclusivity for any product candidate, it could dissuade companies from collaborating with us to develop product candidates and threaten our ability to commercialize any product candidates that are approved. Any such outcome could have a materially adverse effect on our business.</w:t>
      </w:r>
    </w:p>
    <w:p>
      <w:pPr>
        <w:pStyle w:val="TextBody"/>
        <w:bidi w:val="0"/>
        <w:spacing w:before="0" w:after="240"/>
        <w:ind w:left="0" w:right="20" w:firstLine="360"/>
        <w:jc w:val="both"/>
        <w:rPr>
          <w:rFonts w:ascii="Times New Roman" w:hAnsi="Times New Roman"/>
          <w:color w:val="000000"/>
          <w:sz w:val="20"/>
        </w:rPr>
      </w:pPr>
      <w:r>
        <w:rPr>
          <w:rFonts w:ascii="Times New Roman" w:hAnsi="Times New Roman"/>
          <w:color w:val="000000"/>
          <w:sz w:val="20"/>
        </w:rPr>
        <w:t>The patents and patent applications that we own or in-license may fail to result in issued patents with claims that protect our present and future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present or future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present or future product candidates or methods of using such. Further, if we encounter delays in regulatory approvals, the period of time during which we could market a product candidate under patent protection could be reduced.</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The patent position of biopharmaceutical companies are generally uncertain and involve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uncertain. The pending patent applications that we own or license may fail to result in issued patents with claims that cover our product candidates in the United States or in other countries for many reasons.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Moreover, we have in the past, and may in the future be subject to a third-party pre-issuance submission of prior art to the USPTO. We may also become involved in opposition, derivation, reexamination, inter partes review, post-grant review or interference proceedings challenging our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 If the breadth or strength of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provided by the patents and patent applications we hold, license or pursue with respect to our product candidates is threatened, it could threaten our ability to prevent third parties from using the same technologies that we use in our product candidates.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Method of use patents protect the use of a product for the specified method or indication. In the absence of separate composition of matter protection, this type of patent does not prevent a competitor from making and marketing a product that is identical to our product candidate(s) for an indication that is outside of the methods of use claimed in our patents. Moreover, even if competitor products are not approved for use in our patented indications, and our competitors do not actively promote their products for indications that are covered by our patents, clinicians may prescribe these competitor products “off-label.” Although off-label prescriptions may infringe or contribute to the infringement of method of use patents, such infringement is difficult to prevent or prosecute.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not identify relevant patents or may incorrectly interpret the relevance, scope or expiration of a patent, which might adversely affect our ability to develop and market our products.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We cannot guarantee that patent searches, including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candidates. We may incorrectly determine that our products are not covered by a third-party patent. Further, we may conclude that a well-informed court or other tribunal would find the claims of a relevant third-party patent to be invalid based on prior art, enablement, written description, or other ground, and that conclusion may be incorrect, which may negatively impact our ability to market our products or pipeline molecules.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We may not identify all relevant patents, or incorrectly determine their expiration dates, which may negatively impact our ability to develop and market our products.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Failure to identify and correctly interpret relevant patents may negatively impact our ability to develop, market and commercialize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 candidates.</w:t>
      </w:r>
    </w:p>
    <w:p>
      <w:pPr>
        <w:pStyle w:val="TextBody"/>
        <w:bidi w:val="0"/>
        <w:ind w:left="0" w:right="0" w:firstLine="360"/>
        <w:jc w:val="both"/>
        <w:rPr>
          <w:rFonts w:ascii="Times New Roman" w:hAnsi="Times New Roman"/>
          <w:color w:val="000000"/>
          <w:sz w:val="20"/>
        </w:rPr>
      </w:pPr>
      <w:r>
        <w:rPr>
          <w:rFonts w:ascii="Times New Roman" w:hAnsi="Times New Roman"/>
          <w:color w:val="000000"/>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or PTA, for patents in families where related patents have issued without PTA. Thus, it cannot be said with certainty how PTA will/will not be viewed in future and whether patent expiration dates may be impacted. </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or the UPC, for litigation involving such patents. As the UPC is a relatively new court system, there is uncertainty regarding litigation at the UPC.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It is uncertain how the UPC will impact granted European patents in the pharmaceutical industry.</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0" w:after="120"/>
        <w:ind w:left="0" w:right="0" w:firstLine="555"/>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Third-party claims or litigation alleging infringement of patents or other proprietary rights, or seeking to invalidate our patents or other proprietary rights, may delay or prevent our development and commercialization efforts.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Our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are developing product candidates. As the biopharmaceutical industry expands and more patents are issued, the risk increases that our product candidates or other business activities may be subject to claims of infringement of the patent rights of third parties. Third parties may assert that we are employing their proprietary technology without authorization.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There may be third-party patents or patent applications with claims to compositions, formulations, methods of manufacture or methods for treatment related to the use or manufacture of our product candidates. Moreover, because patent applications can take many years to issue, there may be currently pending patent applications that may later result in issued patents covering our product candidates. The existence of any patent with valid and enforceable claims covering one or more of our product candidates could cause substantial delays in our ability to introduce a candidate into the U.S. market if the term of such patent extends beyond our desired product launch date.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that do not require publication of patent applications until 18 months after filing.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In addition, third parties may obtain patent rights in the future and claim that use of our technologies infringes upon these rights.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were held by a court of competent jurisdiction to cover aspects of our formulations, processes for manufacture or methods of use, the holders of any such patent may be able to block our ability to develop and commercialize the applicable product candidate unless we obtained a license or until such patent expires. In either case, such a license may not be available on commercially reasonable terms.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In addition to infringement claims against us, we may become a party to other patent litigation and other proceedings, including interference, derivation or post-grant proceedings declared or granted by the USPTO and similar proceedings in foreign countries, regarding intellectual property rights with respect to our products.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our product candidates.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The cost to us of any patent litigation or other proceeding, even if resolved in our favor, could be substantial. Patent litigation and other proceedings may fail, and even if successful, may result in substantial costs and distract our management and other employees. Uncertainties resulting from the initiation and continuation of patent litigation or other proceedings could impair our ability to compete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Furthermore, as the patent landscape is crowded and highly competitive, even in the absence of litigation we may need to obtain licenses from third parties to advance our research or allow commercialization of our product candidates. We may fail to obtain any of these licenses at a reasonable cost or on reasonable terms, if at all. Even if we are able to obtain a license, it may be non-exclusive, which means that our competitors may also receive access to the same technologies licensed to us. In that event, we may face commercial competition, which could harm our business. We cannot provide any assurances that third-party patents do not exist which might be enforced against product candidates resulting in either an injunction prohibiting our sales, or, with respect to our sales, an obligation on our part to pay royalties or other forms of compensation to third parties.</w:t>
      </w:r>
    </w:p>
    <w:p>
      <w:pPr>
        <w:pStyle w:val="TextBody"/>
        <w:bidi w:val="0"/>
        <w:jc w:val="left"/>
        <w:rPr>
          <w:rFonts w:ascii="Times New Roman" w:hAnsi="Times New Roman"/>
          <w:sz w:val="20"/>
        </w:rPr>
      </w:pPr>
      <w:r>
        <w:rPr>
          <w:rFonts w:ascii="Times New Roman" w:hAnsi="Times New Roman"/>
          <w:b/>
          <w:i/>
          <w:color w:val="000000"/>
          <w:sz w:val="20"/>
        </w:rPr>
        <w:t>We may need to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develop or license intellectual property for which development was funded or otherwise assisted by, the U.S. government and/or government agencies, such as the National Institutes of Health, for development of our technology and product candidates. Failure to meet our own obligations to future licensors or upstream licensors, including such government agencies, may result in the loss of our rights to such intellectual property, which could harm our business.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The U.S. government and/or government agencies may provide funding, facilities, personnel, or other assistance in connection with the development of the intellectual property rights owned by or licensed to us. The U.S. government and/or government agencies may retain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research resulting in future in</w:t>
        <w:noBreakHyphen/>
        <w:t>licensed patent rights and technology that was funded in part by the U.S. government could result in the government having certain rights, or march</w:t>
        <w:noBreakHyphen/>
        <w:t>in rights, to such patent rights and technology which may permit the government to disclose our confidential information to third parties and to exercise march</w:t>
        <w:noBreakHyphen/>
        <w:t>in rights to use or allow third parties to use our licensed technology, potentially on unfavorable terms or without adequate compensation.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the patents of our licensors or our other intellectual property rights, which could be expensive, time-consuming and unsuccessful.</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and decide that we do not have the right to stop the other party from using the invention at issue on the grounds that our patent claims do not cover the invention or that the other party’s use of our patented technology falls under the safe harbor to patent infringement under 35 U.S.C. §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Even if we establish infringement, the court may decide not to grant an injunction against further infringing activity and instead award only monetary damages, which may or may not be an adequate remedy.</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We employ individuals and retain independent contractors and consultants who were previously employed at universities or other pharmaceutical companies, including our competitors or potential competitors. Although we seek to protect our ownership of intellectual property rights by ensuring that our agreements with our employees, independent contractors, consultants,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such persons’ former companies or other third parties. We may also be subject to claims that such persons or other third parties have an ownership interest in our intellectual property.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In addition, while we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asserting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We are party to certain license agreements (e.g. with Takeda and The Regents) pursuant to which we were granted rights to intellectual property in connection with the development, manufacture and commercialization of certain product candidates. If we fail to comply with our obligations under these agreements or if we are subject to a bankruptcy, we may be required to make certain payments to the licensor of our license or the licensor may have the right to terminate the license, and in the event of termination we may not be able to develop or market products covered by the license. In the event we breach any of our obligations under these agreements, we may incur significant liability to our research and licensing partners. Disputes may arise regarding intellectual property subject to a licensing agreement, including:</w:t>
      </w:r>
    </w:p>
    <w:p>
      <w:pPr>
        <w:pStyle w:val="TextBody"/>
        <w:bidi w:val="0"/>
        <w:spacing w:before="0" w:after="0"/>
        <w:ind w:left="37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licensing agreement;</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patents and other rights;</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our collaborators;</w:t>
      </w:r>
    </w:p>
    <w:p>
      <w:pPr>
        <w:pStyle w:val="TextBody"/>
        <w:bidi w:val="0"/>
        <w:spacing w:before="120" w:after="283"/>
        <w:ind w:left="37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ind w:left="730" w:right="0" w:hanging="0"/>
        <w:jc w:val="left"/>
        <w:rPr/>
      </w:pPr>
      <w:r>
        <w:rPr/>
        <w:t>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harm our business.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In addition, our license agreements do, and we expect that future license agreements will, impose various diligence, milestone payment, royalty, insurance and/or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 and could compromise our development and commercialization efforts for our product candidates.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 filings and other intellectual property.</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pStyle w:val="TextBody"/>
        <w:bidi w:val="0"/>
        <w:jc w:val="left"/>
        <w:rPr>
          <w:rFonts w:ascii="Times New Roman" w:hAnsi="Times New Roman"/>
          <w:sz w:val="20"/>
        </w:rPr>
      </w:pPr>
      <w:r>
        <w:rPr>
          <w:rFonts w:ascii="Times New Roman" w:hAnsi="Times New Roman"/>
          <w:b/>
          <w:i/>
          <w:color w:val="000000"/>
          <w:sz w:val="20"/>
        </w:rPr>
        <w:t>Any trademarks we may obtain may be infringed or successfully challenged, resulting in harm to our business.</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any proprietary name we propose to use with our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those affiliated with or controlled by state actors.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such as, our employees, consultants, board members, contractors, potential collaborators and financial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Although we require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Misappropriation or unauthorized disclosure of our trade secrets could impair our competitive position and may harm our business. Additionally, if the steps taken to maintain our trade secrets are deemed inadequate, we may have insufficient recourse against third parties for misappropriating any trade secret. We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Filing, prosecuting, defending and enforcing patents and trademarks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and we may not be able to use our trademarks in all countries or prevent others from using or registering similar trademarks.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products and our patents or other intellectual property rights may not be effective or sufficient to prevent them from competing.</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being approved, and could provoke third parties to assert claims against us. We may not prevail in any lawsuits that we initiate and the damages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other remedies awarded, if any, may not be commercially meaningful. Governments of some foreign countries may force us to license our patents to third parties on terms that are not commercially reasonable or acceptable to us. In addition, many countries limit the enforceability of patents against government agencies or government contractors.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 xml:space="preserve">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unpredictable. </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In addition, geopolitical actions in the United States and in other countries could increase the uncertainties and costs surrounding the prosecution or maintenance of our patent applications or those of any future licensors and the maintenance, enforcement, or defense of our issued patents or those of any future licensors. As a result, our competitive position may be impaired, and our business, financial condition, results of operations, and prospects may be adversely affected.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pStyle w:val="TextBody"/>
        <w:bidi w:val="0"/>
        <w:spacing w:before="0" w:after="240"/>
        <w:ind w:left="0" w:right="0" w:firstLine="360"/>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other foreign patent agencies in several stages over the lifetime of the patent. We rely on our outside counsel or third-party vendors to pay these fees. The USPTO, CIPO and various 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our present and future product candidates, our competitors might be able to enter the market, which would have an adverse effect on our business.</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Business Operations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will be required to expand our development and regulatory capabilities and potentially implement sales, marketing and distribution capabilities, and as a result, we may encounter difficulties in managing our growth, which could disrupt our operations.</w:t>
      </w:r>
    </w:p>
    <w:p>
      <w:pPr>
        <w:pStyle w:val="TextBody"/>
        <w:bidi w:val="0"/>
        <w:jc w:val="both"/>
        <w:rPr/>
      </w:pPr>
      <w:r>
        <w:rPr/>
        <w:t>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As our development and commercialization plans and strategies develop, and as we continue operating as a public company, we expect to need and to experience significant growth in the number of our employees and the scope of our operations, particularly in the areas of drug development, regulatory affairs and, if our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and human resources, we may not be able to effectively manage the expansion of our operations or recruit and train additional qualified personnel, as the competition for individuals in oncology product development is high. Our future financial performance and our ability to commercialize our product candidates will depend, in part, on our ability to effectively manage any future growth, and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future success depends on our ability to retain key members of senior management and to attract, retain and motivate qualified personnel.</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Our ability to compete in the highly competitive biopharmaceutical industry depends upon our ability to attract and retain highly qualified management, research and development, clinical, financial and business development personnel. Our senior management may terminate their employment with us at any time, and we do not maintain “key person” insurance for any of our employees.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The Acquisition resulted in a combined management team that is small relative to our development ambitions. We are heavily dependent on a limited number of individuals with specialized expertise in PI3K/AKT/mTOR pathway biology, metabolic oncology, and clinical development of combination products. The loss of one or more of these individuals, particularly during the critical post-Acquisition integration period, could significantly delay our clinical development programs. Competition for individuals with this specialized expertise is intense, and we may not be able to recruit suitable replacements on acceptable terms or in a timely manner.</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Following the Acquisition, certain of our employees who previously worked at a private company are now subject to public company compliance obligations, and any failure to comply with these obligations could expose us to regulatory risk and reputational harm.</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As a result of the Acquisition, a number of individuals who previously operated in a private company environment are now employees or officers of a publicly traded company and are subject to public company compliance obligations, including compliance with our insider trading policy, Section 16 reporting requirements under the Securities Exchange Act of 1934, Regulation FD restrictions on selective disclosure of material nonpublic information, and quiet period restrictions around SEC filings. These individuals may not have prior experience with public company compliance requirements.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have implemented onboarding and training programs to educate former Faeth employees regarding these obligations. However, there can be no assurance that all individuals will fully understand or consistently comply with these requirements, particularly during the initial post-Acquisition integration period. Any inadvertent violation of insider trading laws, Section 16 reporting obligations, or Regulation FD could result in SEC enforcement action, personal liability for the individuals involved, and reputational harm to the company. Such violations could also undermine investor confidence in our corporate governance practices and adversely affect the trading price of our common stock.</w:t>
      </w:r>
    </w:p>
    <w:p>
      <w:pPr>
        <w:pStyle w:val="TextBody"/>
        <w:bidi w:val="0"/>
        <w:jc w:val="left"/>
        <w:rPr>
          <w:rFonts w:ascii="Times New Roman" w:hAnsi="Times New Roman"/>
          <w:sz w:val="20"/>
        </w:rPr>
      </w:pPr>
      <w:r>
        <w:rPr>
          <w:rFonts w:ascii="Times New Roman" w:hAnsi="Times New Roman"/>
          <w:b/>
          <w:i/>
          <w:color w:val="000000"/>
          <w:sz w:val="20"/>
        </w:rPr>
        <w:t>If we engage in future acquisitions or strategic collaborations,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programs and initiatives in pursuing such a strategic partnership, merger or acquisition;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0" w:after="0"/>
        <w:ind w:left="36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our inability to generate revenue from acquired technology sufficient to meet our objectives in undertaking the acquisition or even to offset the associated acquisition and maintenance costs.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Additionally, if we undertake future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reduced resources of our management to pursue our business strategy;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decreased demand for any product candidates or products that we may develop;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significant costs to defend the resulting litigation;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substantial monetary awards paid to clinical trial participants or patients; </w:t>
      </w:r>
    </w:p>
    <w:p>
      <w:pPr>
        <w:pStyle w:val="TextBody"/>
        <w:bidi w:val="0"/>
        <w:spacing w:before="0" w:after="0"/>
        <w:ind w:left="365"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0" w:after="0"/>
        <w:ind w:left="36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inability to commercialize any products that we may develop.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We do not currently maintain product liability insurance because we have determined that the cost of available coverage is not justified relative to our current stage of clinical development. Once we are ready for a product launch, we intend to bind a policy with product liability insurance coverage in the aggregate and a per incident limit at an amount adequate to cover estimated liabilities that we may incur. We may need to increase our insurance coverage if we re-initiate our clinical trials or if we commence commercialization of our product candidates. Insurance coverage is increasingly expensive. We may not be able to maintain insurance coverage at a reasonable cost or in an amount adequate to satisfy any liability that may arise.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Securities and our Status as a Public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The trading price of our common stock may be volatile, and you could lose all or part of your investment.</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common stock. In addition to the factors discussed elsewhere in this “Risk Factors” section, these factors include: </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commencement, enrollment or results of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positive or negative results from, or delays in, testing and clinical trials by us, collaborators or competitors;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loss of any of our key scientific or management personnel;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actions taken by regulatory agencies with respect to our clinical trials or manufacturers;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or developments in laws or regulations applicable to our product candidates and preclinical program;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and scope of health care payment systems;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our relationships with collaborators, manufacturers or suppliers;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concerns regarding the safety of our product candidates ;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concerning our competitors or the pharmaceutical industry in general;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fluctuations in our operating results;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financial estimates or recommendations by securities analysts;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acquisitions, financing, collaborations or other corporate transactions;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additional product candidates;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volume of our common stock on Nasdaq;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members of our senior management and directors or our stockholders or the anticipation that such sales may occur in the future;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and overall fluctuations in the financial markets in the United States;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market price and volume fluctuations of comparable companies and, in particular, those that operate in the biopharmaceutical industry;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general perception of us and our business; and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and factors, many of which are beyond our control.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our common stock to fluctuate substantially, regardless of our actual operating performance, which may limit or prevent investors from selling their common stock at or above the price paid for the common stock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From time to time, we have been, and may continue to be, subject to legal proceedings and claims in the ordinary course of business. We also may decide to settle lawsuits on unfavorable terms.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and operations could be negatively affected by any securities litigation or stockholder activism, which could cause us to incur significant expense, hinder execution of business and growth strategies and impact our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securities or other reasons may in the future cause us to become the target of securities litigation or stockholder activism.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Securities litigation and stockholder activism, including proxy contests, could result in substantial costs and divert management’s and the Board’s attention and resources from our business. The potential of a proxy contest or other stockholder activism could interfere with our ability to execute on our strategic plan, give rise to perceived uncertainties as to our future direction, result in the loss of potential business opportunities or make it more difficult to attract and retain qualified personnel, any of which could materially and adversely affect our business and operating results. Further, our share price could be subject to significant fluctuation or otherwise be adversely affected by the events, risks and uncertainties of any securities litigation and stockholder activism.</w:t>
      </w:r>
    </w:p>
    <w:p>
      <w:pPr>
        <w:pStyle w:val="TextBody"/>
        <w:bidi w:val="0"/>
        <w:jc w:val="left"/>
        <w:rPr>
          <w:rFonts w:ascii="Times New Roman" w:hAnsi="Times New Roman"/>
          <w:sz w:val="20"/>
        </w:rPr>
      </w:pPr>
      <w:r>
        <w:rPr>
          <w:rFonts w:ascii="Times New Roman" w:hAnsi="Times New Roman"/>
          <w:b/>
          <w:i/>
          <w:color w:val="000000"/>
          <w:sz w:val="20"/>
        </w:rPr>
        <w:t>A significant portion of our total outstanding shares may be sold into the market, which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shares of common stock in the public market, the market price of our common stock could decline significantly.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we have filed registration statements registering the issuance of all shares of common stock subject to options or other equity awards issued or reserved for future issuance under our equity incentive plans. Shares registered under these registration statements will be available for sale in the public market subject to vesting arrangements and exercise of options and, in the case of our affiliates, the restrictions of Rule 144 under the Securities Act.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Furthermore, certain holders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Finally, in connection with the execution of the Agreement and Plan of Merger, or the Merger Agreement, dated as of February 17, 2026, by and among the Company, Sapphire First Merger Sub, Inc., a Delaware corporation and wholly owned subsidiary of the Company, Sapphire Second Merger Sub, LLC, a Delaware limited liability company and wholly owned subsidiary of the Company, Faeth Subsidiary and Faeth HoldCo, certain of our directors and officers, as well as certain of the directors, officers and stockholders of Faeth Therapeutics, each as of immediately prior to the Acquisition, entered into lock-up agreements, pursuant to which each such stockholder will be subject to a 180-day lockup on the sale or transfer of shares of our common stock and Series B Preferred Stock held by each such stockholder, including those shares received by directors and officers in the Acquisition, subject to certain limited exceptions as set forth in such lock-up agreements. Upon expiration of this 180-day lockup period, these shares will become eligible for sale in the public market. Pursuant to the Merger Agreement and the registration rights agreement that we entered into pursuant to the 2026 Private Placement, we are obligated to prepare and file a resale registration statement with the SEC to register the resale of shares of our common stock underlying the Series B Preferred Stock and warrant to purchase shares of Series B Preferred Stock. We will use commercially reasonable efforts to cause this registration statement to be declared effected by the SEC. Once the registration statement is declared effective, the shares subject to the registration statement will no longer constitute restricted securities and may be sold freely in the public markets, subject to (i) the approval of the Company Stockholder Matters (as defined below), (ii) the approval of the Nasdaq Listing Application (as defined below) and (iii) any beneficial ownership limitations set by the holder of Series B Preferred Stock. If our stockholders sell, or indicate an intention to sell, substantial amounts of our common stock in the public market after legal restrictions on resale lapse, the trading price of our common stock could decline.</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will make our shares of common stock less attractive to investors.</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stockholder advisory votes on golden parachute compensation not previously approved. Certain of these reduced reporting requirements and exemptions are also 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Under the JOBS Act, we will remain an emerging growth company until the earliest of (1) the last day of the fiscal year in which we have more than $1.235 billion in annual revenue; (2) the date we qualify as a “large accelerated filer,” with at least $700.0 million of equity securities held by non-affiliates; (3) the issuance, in any three-year period, by our company of more than $1.0 billion in non-convertible debt securities; and (4) December 31, 2026,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(i) we have a public float (i.e., the market value of common equity held by non-affiliates) of less than $250 million or (ii) our annual revenue is less than $100 million during the most recently completed fiscal year and the market value of our common stock held by non-affiliates is less than $700 million.</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Under the JOBS Act, emerging growth companies also can delay adopting new or revised accounting standards until such time as those standards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pStyle w:val="TextBody"/>
        <w:bidi w:val="0"/>
        <w:jc w:val="left"/>
        <w:rPr>
          <w:rFonts w:ascii="Times New Roman" w:hAnsi="Times New Roman"/>
          <w:sz w:val="20"/>
        </w:rPr>
      </w:pPr>
      <w:r>
        <w:rPr>
          <w:rFonts w:ascii="Times New Roman" w:hAnsi="Times New Roman"/>
          <w:b/>
          <w:i/>
          <w:color w:val="000000"/>
          <w:sz w:val="20"/>
        </w:rPr>
        <w:t>We do not anticipate paying any cash dividends on our common stock in the foreseeable future.</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We do not intend to pay any cash dividends on our common stock in the foreseeable future and we currently intend to retain our future earnings, if any, to fund the development and growth of our business. Therefore, you should not rely on an investment in our common stock to provide dividend income. 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relevant by our board of directors. As a result, capital appreciation, if any, on our common stock will be your sole source of gains for the foreseeable future.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are subject to federal, state and local income and other taxes in the United States and in foreign jurisdictions because of the scope of our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U.S. 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Internal Revenue Service and other taxing authorities with respect to this and other legislation may affect us, and certain aspects of such legislation could be repealed or modified in future legislation or sunset in future years. In addition, it is uncertain if and to what extent various states will conform to federal law. We continue to evaluate the impact that these and other tax reforms may have on our business. To the extent that any such changes in tax laws and regulations have a negative impact on us, including as a result of related uncertainty, our business, financial condition, results of operations and cash flows may be materially and adversely impacted and we may be required to implement changes to minimize increases in our tax liability.</w:t>
      </w:r>
    </w:p>
    <w:p>
      <w:pPr>
        <w:pStyle w:val="TextBody"/>
        <w:bidi w:val="0"/>
        <w:jc w:val="left"/>
        <w:rPr>
          <w:rFonts w:ascii="Times New Roman" w:hAnsi="Times New Roman"/>
          <w:sz w:val="20"/>
        </w:rPr>
      </w:pPr>
      <w:r>
        <w:rPr>
          <w:rFonts w:ascii="Times New Roman" w:hAnsi="Times New Roman"/>
          <w:b/>
          <w:i/>
          <w:color w:val="000000"/>
          <w:sz w:val="20"/>
        </w:rPr>
        <w:t>Our ability to use our net operating losses to offset future taxable income may be subject to certain limitations.</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Our net operating loss, or NOL, carryforwards could expire unused and be unavailable to offset future income tax liabilities because of their limited duration or because of restrictions under U.S. tax law. U.S. federal NOLs generated in taxable years beginning before January 1, 2018 are permitted to be carried forward for only 20 taxable years under applicable U.S. federal income tax law. Under the Tax Cuts and Jobs Act of 2017, or the Tax Act, as modified by the Coronavirus Aid, Relief, and Economic Security Act, or the CARES Act, NOLs arising in taxable years beginning after December 31, 2017 may be carried forward indefinitely, but the deductibility of such NOLs generally will be limited in taxable years beginning after December 31, 2020 to 80% of current year taxable income. As of December 31, 2025, we had NOL carryforwards for federal and state income tax purposes of approximately $170.5 million and $98.9 million, respectively, a portion of which expired beginning in 2025. Net operating loss carryforwards generated after December 31, 2017 for federal tax reporting purposes of $137.2 million have an indefinite life. The remaining federal net operating losses are subject to a 20-year carryforward period.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Following the approval of the Company Stockholder Matters, the Acquisition will result in an ownership change for us and, accordingly, our NOL carryforwards and certain other tax attributes will be subject to limitations (or disallowance) on their use after approval of the Company Stockholder Matters. Faeth’s NOL carryforwards may also be subject to limitations as a result of prior shifts in equity ownership and/or the Acquisition. We may also have experienced an ownership change in the past, and may experience ownership changes in the future as a result of subsequent shifts in our stock ownership, some of which are outside our control. Furthermore, our ability to utilize NOLs of Faeth we have acquired as a result of the Acquisition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and expect to continue incurring significantly increased costs as a result of operating as a company whose common stock is publicly traded, and our management will be required to devote substantial time to new compliance initiatives.</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As a public company, we have incurred significant legal, accounting and other expenses that we did not incur previously, as a private company. These expenses will likely be even more significant after we no longer qualify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Pursuant to Section 404, we are required to furnish a report by our senior management on our internal control over financial reporting. Depending upon our filer status, we could also be required to include an attestation report on internal control over financial reporting issued by our independent registered public accounting firm as required by Section 404(b). To prepare for eventual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t>
      </w:r>
    </w:p>
    <w:p>
      <w:pPr>
        <w:pStyle w:val="TextBody"/>
        <w:bidi w:val="0"/>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and, to the extent enforceable,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and, to the extent enforceable, the federal district courts of the United States of America, will be the exclusive forum for the following types of actions or proceedings under Delaware statutory or common law: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any derivative claim or cause of action brought on our behalf;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for breach of a fiduciary duty owed by any of our current or former directors, officers or other employees to us or our stockholders;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against us or any of our current or former directors, officers or other employees, arising out of or pursuant to any provision of the Delaware General Corporation Law, or DGCL, our certificate of incorporation or our bylaws;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seeking to interpret, apply, enforce or determine the validity of our certificate of incorporation or our bylaws;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or proceeding as to which the DGCL confers jurisdiction to the Court of Chancery of the State of Delaware; and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Act or the Securities Exchange Act of 1934, or the Exchange Act, or any claim for which the U.S. federal courts have exclusive jurisdiction. Our amended and restated certificate of incorporation will provide that the federal district courts of the United States of America will be the exclusive forum for resolving any complaint asserting a cause of action arising under the Securities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any other court of competent jurisdiction were to find either exclusive-forum provision in our amended and restated certificate of incorporation to be inapplicable or unenforceable, we may incur additional costs associated with resolving the dispute in other jurisdictions, which could seriously harm our business. </w:t>
      </w:r>
    </w:p>
    <w:p>
      <w:pPr>
        <w:pStyle w:val="TextBody"/>
        <w:bidi w:val="0"/>
        <w:jc w:val="left"/>
        <w:rPr>
          <w:rFonts w:ascii="Times New Roman" w:hAnsi="Times New Roman"/>
          <w:b/>
          <w:i/>
          <w:color w:val="000000"/>
          <w:sz w:val="20"/>
        </w:rPr>
      </w:pPr>
      <w:r>
        <w:rPr>
          <w:rFonts w:ascii="Times New Roman" w:hAnsi="Times New Roman"/>
          <w:b/>
          <w:i/>
          <w:color w:val="000000"/>
          <w:sz w:val="20"/>
        </w:rPr>
        <w:t>Insiders have substantial influence over us and could cause us to take actions that may not be, or refrain from taking actions that may be, in our best interest or in the best interest of our stockholders.</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We believe that our directors, executive officers and principal stockholders, together with their affiliates, own, in the aggregate, a substantial portion of our outstanding common stock. As a result, if these or certain of these stockholders were to choose to act together, they may be able to affect the outcome of matters submitted to our stockholders for approval, as well as our management and affairs, such as: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composition of our board of directors;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adoption of amendments to our certificate of incorporation and bylaws;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mergers or sales of substantially all of our assets;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capital structure and financing; and</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contracts between us and these stockholders or their affiliates, which could involve conflicts of interest.</w:t>
      </w:r>
    </w:p>
    <w:p>
      <w:pPr>
        <w:pStyle w:val="TextBody"/>
        <w:bidi w:val="0"/>
        <w:spacing w:before="120" w:after="120"/>
        <w:ind w:left="0" w:right="0" w:firstLine="720"/>
        <w:jc w:val="left"/>
        <w:rPr>
          <w:rFonts w:ascii="Times New Roman" w:hAnsi="Times New Roman"/>
          <w:color w:val="000000"/>
          <w:sz w:val="20"/>
        </w:rPr>
      </w:pPr>
      <w:r>
        <w:rPr>
          <w:rFonts w:ascii="Times New Roman" w:hAnsi="Times New Roman"/>
          <w:color w:val="000000"/>
          <w:sz w:val="20"/>
        </w:rPr>
        <w:t>This concentration of ownership could harm the market price of our common stock by:</w:t>
      </w:r>
    </w:p>
    <w:p>
      <w:pPr>
        <w:pStyle w:val="TextBody"/>
        <w:bidi w:val="0"/>
        <w:spacing w:before="0" w:after="0"/>
        <w:ind w:left="36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delaying, deferring or preventing a change in control of our company and making some transactions more difficult or impossible without the support of these stockholders, even if such transactions are beneficial to other stockholders;</w:t>
      </w:r>
    </w:p>
    <w:p>
      <w:pPr>
        <w:pStyle w:val="TextBody"/>
        <w:bidi w:val="0"/>
        <w:jc w:val="left"/>
        <w:rPr/>
      </w:pPr>
      <w:r>
        <w:rPr/>
        <w:t> </w:t>
      </w:r>
    </w:p>
    <w:p>
      <w:pPr>
        <w:pStyle w:val="TextBody"/>
        <w:bidi w:val="0"/>
        <w:spacing w:before="0" w:after="0"/>
        <w:ind w:left="36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impeding a merger, consolidation, takeover or other business combination involving our company; or</w:t>
      </w:r>
    </w:p>
    <w:p>
      <w:pPr>
        <w:pStyle w:val="TextBody"/>
        <w:bidi w:val="0"/>
        <w:jc w:val="left"/>
        <w:rPr/>
      </w:pPr>
      <w:r>
        <w:rPr/>
        <w:t> </w:t>
      </w:r>
    </w:p>
    <w:p>
      <w:pPr>
        <w:pStyle w:val="TextBody"/>
        <w:bidi w:val="0"/>
        <w:spacing w:before="0" w:after="0"/>
        <w:ind w:left="36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requiring us to engage in transactions that may not be agreeable to or in the best interest of us or other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Acquisition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Pursuant to the terms of the Acquisition, we are required to recommend that our stockholders approve the conversion of all outstanding shares of our Series B preferred stock into shares of our common stock. We must also obtain stockholder approval of an amendment to our certificate of incorporation to increase the number of shares we are authorized to issue. We cannot guarantee that our stockholders will approve these matters, and if they fail to do so we may be required to settle such shares in cash and our operations may be materially harmed.</w:t>
      </w:r>
    </w:p>
    <w:p>
      <w:pPr>
        <w:pStyle w:val="TextBody"/>
        <w:bidi w:val="0"/>
        <w:jc w:val="left"/>
        <w:rPr/>
      </w:pPr>
      <w:r>
        <w:rPr/>
        <w:t> </w:t>
      </w:r>
    </w:p>
    <w:p>
      <w:pPr>
        <w:pStyle w:val="TextBody"/>
        <w:bidi w:val="0"/>
        <w:ind w:left="0" w:right="0" w:firstLine="540"/>
        <w:jc w:val="left"/>
        <w:rPr>
          <w:rFonts w:ascii="Times New Roman" w:hAnsi="Times New Roman"/>
          <w:color w:val="000000"/>
          <w:sz w:val="20"/>
        </w:rPr>
      </w:pPr>
      <w:r>
        <w:rPr>
          <w:rFonts w:ascii="Times New Roman" w:hAnsi="Times New Roman"/>
          <w:color w:val="000000"/>
          <w:sz w:val="20"/>
        </w:rPr>
        <w:t xml:space="preserve">Under the terms of the Merger Agreement and the 2026 Private Placement purchase agreement, as promptly as practicable following the date of the Merger Agreement and pursuant to the Nasdaq Stock Market Rules, we will call and hold a meeting of our stockholders to obtain the requisite approval from our legacy stockholders for, among other things, (i) the approval, in accordance with certain of the rules of Nasdaq of the conversion of the Series B Preferred Stock into shares of our common stock, or the Conversion Proposal, (ii) the approval of a “change of control” under Nasdaq Listing Rules 5110 and 5635(b), or the Change in Control Proposal, (iii) the amendment of our certificate of incorporation to authorize an increase of up to 300,000,000 shares of our common stock, or the Charter Amendment Proposal and, together with the Conversion Proposal and the Change in Control Proposal, the Company Stockholder Matters, (iv) the approval of (A) the 2026 Equity Incentive Plan, which will provide for new awards for a number of shares of our common stock not exceeding 10% of our fully diluted shares of capital stock outstanding immediately after the 2026 Private Placement, and subject to approval by our Board, and which will include an annual increase pursuant to an “evergreen” provision providing for an annual increase of up to 5% of the total number of our fully diluted shares of capital stock outstanding as of the day prior to such increase and (B) the 2026 Employee Stock Purchase Plan, with a total pool of shares of our common stock not exceeding 1% of our fully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diluted shares of capital stock outstanding immediately after the 2026 Private Placement, and which shall include an annual increase pursuant to an “evergreen” provision providing for an annual increase of up to 1% of the total number of our fully diluted shares of capital stock outstanding as of the day prior to such increase. If we fail to receive sufficient proxies to constitute a quorum or to obtain the required vote on the Company Stockholder Matters and/or our Nasdaq Listing Application is not approved, we would be required to adjourn the meeting one or more times for up to 30 days per adjournment. If stockholder approval of the Company Stockholder Matters or approval of the Nasdaq Listing Application are still not obtained following such adjournment(s), we will be obligated to continue soliciting stockholder approval at subsequent annual or special meetings of our stockholders, held at intervals of no more than six months, until such approvals are obtained, which would be time consuming and costly. </w:t>
      </w:r>
    </w:p>
    <w:p>
      <w:pPr>
        <w:pStyle w:val="TextBody"/>
        <w:bidi w:val="0"/>
        <w:ind w:left="0" w:right="0" w:firstLine="540"/>
        <w:jc w:val="left"/>
        <w:rPr/>
      </w:pPr>
      <w:r>
        <w:rPr/>
        <w:t> </w:t>
      </w:r>
    </w:p>
    <w:p>
      <w:pPr>
        <w:pStyle w:val="TextBody"/>
        <w:bidi w:val="0"/>
        <w:ind w:left="0" w:right="0" w:firstLine="540"/>
        <w:jc w:val="left"/>
        <w:rPr>
          <w:rFonts w:ascii="Times New Roman" w:hAnsi="Times New Roman"/>
          <w:color w:val="000000"/>
          <w:sz w:val="20"/>
        </w:rPr>
      </w:pPr>
      <w:r>
        <w:rPr>
          <w:rFonts w:ascii="Times New Roman" w:hAnsi="Times New Roman"/>
          <w:color w:val="000000"/>
          <w:sz w:val="20"/>
        </w:rPr>
        <w:t>There can be no assurance that our legacy stockholders will approve the Company Stockholder Matters. If our legacy stockholders do not approve the Charter Amendment Proposal, we would be unable to issue the additional shares of our common stock necessary to complete the conversion of Series B Preferred Stock into our common stock, and may be unable to satisfy our other capital needs, which could have a material adverse effect on our business, financial condition, and prospects.</w:t>
      </w:r>
    </w:p>
    <w:p>
      <w:pPr>
        <w:pStyle w:val="TextBody"/>
        <w:bidi w:val="0"/>
        <w:ind w:left="0" w:right="0" w:firstLine="540"/>
        <w:jc w:val="left"/>
        <w:rPr/>
      </w:pPr>
      <w:r>
        <w:rPr/>
        <w:t> </w:t>
      </w:r>
    </w:p>
    <w:p>
      <w:pPr>
        <w:pStyle w:val="TextBody"/>
        <w:bidi w:val="0"/>
        <w:ind w:left="0" w:right="0" w:firstLine="540"/>
        <w:jc w:val="left"/>
        <w:rPr>
          <w:rFonts w:ascii="Times New Roman" w:hAnsi="Times New Roman"/>
          <w:color w:val="000000"/>
          <w:sz w:val="20"/>
        </w:rPr>
      </w:pPr>
      <w:r>
        <w:rPr>
          <w:rFonts w:ascii="Times New Roman" w:hAnsi="Times New Roman"/>
          <w:color w:val="000000"/>
          <w:sz w:val="20"/>
        </w:rPr>
        <w:t>Additionally, if the Company Stockholder Matters are not approved by the date that is six months following the initial issuance date of the Series B Preferred Stock, the holders of the Series B Preferred Stock would be entitled to require us to settle their shares of our common stock underlying the Series B Preferred Stock for cash at a price per share equal to the fair value of our common stock at such time as described in the Certificate of Designation or Preferences, Rights and Limitations of the Series B Preferred Stock, or the Certificate of Designation. If we are forced to cash settle a significant amount of the shares of our common stock underlying the Series B Preferred Stock, it could materially affect our results of operations, business and financial condition.</w:t>
      </w:r>
    </w:p>
    <w:p>
      <w:pPr>
        <w:pStyle w:val="TextBody"/>
        <w:bidi w:val="0"/>
        <w:ind w:left="0" w:right="0" w:firstLine="54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obtain approval of the Nasdaq Listing Application could materially affect our results of operations, business and financial condition.</w:t>
      </w:r>
    </w:p>
    <w:p>
      <w:pPr>
        <w:pStyle w:val="TextBody"/>
        <w:bidi w:val="0"/>
        <w:jc w:val="left"/>
        <w:rPr/>
      </w:pPr>
      <w:r>
        <w:rPr/>
        <w:t> </w:t>
      </w:r>
    </w:p>
    <w:p>
      <w:pPr>
        <w:pStyle w:val="TextBody"/>
        <w:bidi w:val="0"/>
        <w:ind w:left="0" w:right="0" w:firstLine="540"/>
        <w:jc w:val="left"/>
        <w:rPr>
          <w:rFonts w:ascii="Times New Roman" w:hAnsi="Times New Roman"/>
          <w:color w:val="000000"/>
          <w:sz w:val="20"/>
        </w:rPr>
      </w:pPr>
      <w:r>
        <w:rPr>
          <w:rFonts w:ascii="Times New Roman" w:hAnsi="Times New Roman"/>
          <w:color w:val="000000"/>
          <w:sz w:val="20"/>
        </w:rPr>
        <w:t xml:space="preserve">Pursuant to the Merger Agreement, in order to permit the waiver of the beneficial ownership limitations applicable to the Series B Preferred Stock and take other actions following the consummation of the Acquisition, which would constitute a “change of control” under Nasdaq Listing Rule 5110(a), we are required to use our reasonable best efforts to file an initial listing application for our common stock on Nasdaq (the “Nasdaq Listing Application”). The Nasdaq Listing Application must be conditionally approved prior to the date of our stockholder meeting to approve the Company Stockholder Matters. If we fail to meet the Nasdaq listing requirements and Nasdaq does not approve the Nasdaq Listing Application, we will be required to adjourn our stockholder meeting to approve the Company Stockholder Matters one or more times for up to 30 days per adjournment, continue to use our reasonable best efforts to obtain approval of the Nasdaq Listing Application and to continue soliciting stockholder approval of the Company Stockholder Matters at subsequent annual or special meetings of our stockholders, held at intervals of no more than six months, until such approval and the approval of the Company Stockholder Matters are obtained, which would be time consuming and costly. Additionally, if the Company Stockholder Matters are not approved by the date that is six months following the initial issuance date of the Series B Preferred Stock, the holders of the Series B Preferred Stock would be entitled to require us to settle their shares of Series B Preferred Stock for cash at a price per share equal to the fair value of the Series B Preferred Stock at such time as described in the Certificate of Designation or Preferences, Rights and Limitations of the Series B Preferred Stock. If we are forced to cash settle a significant amount of the shares of our common stock underlying the Series B Preferred Stock, it could materially affect our results of operations, business and financial condition. We cannot assure you that we will be able to meet Nasdaq’s initial listing standards. Furthermore, if we fail to obtain approval of the Nasdaq Listing Application, we may be unable to execute on our plans for the Company following the Acquisition, which could materially affect our results of operations, business and financial condition.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There is no guarantee that the Acquisition will increase stockholder value.</w:t>
      </w:r>
    </w:p>
    <w:p>
      <w:pPr>
        <w:pStyle w:val="TextBody"/>
        <w:bidi w:val="0"/>
        <w:jc w:val="left"/>
        <w:rPr/>
      </w:pPr>
      <w:r>
        <w:rPr/>
        <w:t> </w:t>
      </w:r>
    </w:p>
    <w:p>
      <w:pPr>
        <w:pStyle w:val="TextBody"/>
        <w:bidi w:val="0"/>
        <w:ind w:left="0" w:right="0" w:firstLine="540"/>
        <w:jc w:val="left"/>
        <w:rPr>
          <w:rFonts w:ascii="Times New Roman" w:hAnsi="Times New Roman"/>
          <w:color w:val="000000"/>
          <w:sz w:val="20"/>
        </w:rPr>
      </w:pPr>
      <w:r>
        <w:rPr>
          <w:rFonts w:ascii="Times New Roman" w:hAnsi="Times New Roman"/>
          <w:color w:val="000000"/>
          <w:sz w:val="20"/>
        </w:rPr>
        <w:t xml:space="preserve">In February 2026, we consummated the Acquisition, pursuant to which we acquired Faeth, and we closed the 2026 Private Placement. We cannot guarantee that implementing the Acquisition and related transactions will not impair stockholder value or otherwise adversely affect our business. The Acquisition poses significant integration challenges between our businesses and employees which could result in management and business disruptions,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which could harm our results of operation, business prospects, and impair the value of the Acquisition to our stockholders.</w:t>
      </w:r>
    </w:p>
    <w:p>
      <w:pPr>
        <w:pStyle w:val="TextBody"/>
        <w:bidi w:val="0"/>
        <w:ind w:left="0" w:right="0" w:firstLine="72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successfully integrate the businesses of the Company and Faeth Therapeutics in the expected timeframe could adversely affect our results of operations, financial condition, and future results.</w:t>
      </w:r>
    </w:p>
    <w:p>
      <w:pPr>
        <w:pStyle w:val="TextBody"/>
        <w:bidi w:val="0"/>
        <w:jc w:val="left"/>
        <w:rPr/>
      </w:pPr>
      <w:r>
        <w:rPr/>
        <w:t> </w:t>
      </w:r>
    </w:p>
    <w:p>
      <w:pPr>
        <w:pStyle w:val="TextBody"/>
        <w:bidi w:val="0"/>
        <w:ind w:left="0" w:right="0" w:firstLine="540"/>
        <w:jc w:val="left"/>
        <w:rPr>
          <w:rFonts w:ascii="Times New Roman" w:hAnsi="Times New Roman"/>
          <w:color w:val="000000"/>
          <w:sz w:val="20"/>
        </w:rPr>
      </w:pPr>
      <w:r>
        <w:rPr>
          <w:rFonts w:ascii="Times New Roman" w:hAnsi="Times New Roman"/>
          <w:color w:val="000000"/>
          <w:sz w:val="20"/>
        </w:rPr>
        <w:t>Our ability to successfully integrate the operations of the Company and Faeth Therapeutics will depend, in part, on our ability to realize the anticipated benefits from the Acquisition. If we are not able to achieve these objectives within the anticipated time frame, or at all, the anticipated benefits of the Acquisition may not be realized fully, or at all, or may take longer to realize than expected, and the value of our common stock may be adversely affected. In addition, the integration of the Company’s and Faeth’s respective businesses will be a time-consuming and expensive process. Proper planning and effective and timely implementation will be critical to avoid any significant disruption to our operations. There can be no assurance that we will effectively manage the increased complexity of our business without experiencing operating inefficiencies or control deficiencies. Delays encountered in the integration process could have a material adverse effect on our expenses, operating results and financial condition, including the value of shares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to incur substantial expenses related to the integration of Faeth.</w:t>
      </w:r>
    </w:p>
    <w:p>
      <w:pPr>
        <w:pStyle w:val="TextBody"/>
        <w:bidi w:val="0"/>
        <w:jc w:val="left"/>
        <w:rPr/>
      </w:pPr>
      <w:r>
        <w:rPr/>
        <w:t> </w:t>
      </w:r>
    </w:p>
    <w:p>
      <w:pPr>
        <w:pStyle w:val="TextBody"/>
        <w:bidi w:val="0"/>
        <w:ind w:left="0" w:right="0" w:firstLine="540"/>
        <w:jc w:val="left"/>
        <w:rPr>
          <w:rFonts w:ascii="Times New Roman" w:hAnsi="Times New Roman"/>
          <w:color w:val="000000"/>
          <w:sz w:val="20"/>
        </w:rPr>
      </w:pPr>
      <w:r>
        <w:rPr>
          <w:rFonts w:ascii="Times New Roman" w:hAnsi="Times New Roman"/>
          <w:color w:val="000000"/>
          <w:sz w:val="20"/>
        </w:rPr>
        <w:t>We have incurred, and expect to continue to incur, substantial expenses in connection with the Acquisition and the integration of Faeth. There are a large number of processes, policies, procedures, operations, technologies and systems that must be integrated, including accounting and finance, billing, payroll, and benefits. Both the Company and Faeth have incurred significant transaction expenses in connection with the drafting and negotiation of the Merger Agreement, and the related ancillary agreements.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likely will result in our taking significant charges against earnings following the completion of the Acquisition, and the amount and timing of such charges are uncertain at present.</w:t>
      </w:r>
    </w:p>
    <w:p>
      <w:pPr>
        <w:pStyle w:val="TextBody"/>
        <w:bidi w:val="0"/>
        <w:spacing w:before="120" w:after="12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operations and clinical development plans and timelines, as well as the manufacturing, clinical trial and other business activities performed by us or by third parties with whom we conduct business, including our contract manufacturers, CROs, shippers, equipment suppliers and others, could be adversely affected by the effects of health epidemics.</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Our business could be adversely affected by health epidemics wherever we have clinical trial sites or other business operations. In addition, health epidemics could cause significant disruption in the operations of third-party manufacturers, CROs and other third parties upon whom we rely. The effects of government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If our relationships with our suppliers or other vendors are terminated or scaled back as a result of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our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retain patients and principal investigators and site staff who, as healthcare providers, may have heightened exposure or experience additional restrictions by their institutions, city or state, our clinical trial operations could be adversely impacted.</w:t>
      </w:r>
    </w:p>
    <w:p>
      <w:pPr>
        <w:pStyle w:val="TextBody"/>
        <w:bidi w:val="0"/>
        <w:spacing w:before="120" w:after="120"/>
        <w:jc w:val="left"/>
        <w:rPr>
          <w:rFonts w:ascii="Times New Roman" w:hAnsi="Times New Roman"/>
          <w:sz w:val="20"/>
        </w:rPr>
      </w:pPr>
      <w:r>
        <w:rPr>
          <w:rFonts w:ascii="Times New Roman" w:hAnsi="Times New Roman"/>
          <w:b/>
          <w:i/>
          <w:color w:val="000000"/>
          <w:sz w:val="20"/>
        </w:rPr>
        <w:t>If our information systems or data, or those of our collaborators, contractors, consultants or other third parties with whom we work, are or were compromised, we could experience adverse consequences, including but not limited to regulatory investigations or actions; litigation; fines and penalties; significant disruption of our product development programs and our ability to operate our business effectively; reputational harm; and other adverse consequences.</w:t>
      </w:r>
      <w:r>
        <w:rPr>
          <w:rFonts w:ascii="Times New Roman" w:hAnsi="Times New Roman"/>
          <w:color w:val="000000"/>
          <w:sz w:val="20"/>
        </w:rPr>
        <w:t xml:space="preserve">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collect, receive, store, process, generate, use, transfer, disclose, make accessible, protect, secure, dispose of, transmit, and share, or, collectively, process, proprietary, confidential, and sensitive data, including personal data, intellectual property, trade secrets and clinical trial data, or, collectively, sensitive information.</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computer viruses, malicious or unintentional actions or inactions that cause vulnerabilities, malware, software or hardware failure, supply chain attacks, social engineering (including through deep fakes, which may be increasingly more difficult to identify as fake, and phishing), credential stuffing, ransomware, unauthorized access, attacks enhanced or facilitated by artificial intelligence, or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Future or past business transactions (such as acquisitions or mergers)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third parties may not have adequate information security measures.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Remote work has increased risks to our information systems and data, as personnel utilize network connections, computers and devices outside of our premises or network.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operate our business.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We have in the past and may in the future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this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Such an actual or perceived security incident could also cause us to experience other adverse consequences, such as: loss of, or damage to, our data or applications, inappropriate disclosure of confidential or proprietary information, legal liability, exposure to litigation (including class claims) and regulatory enforcement action (for example, investigations, fines, penalties, audits and inspections), additional reporting requirements and/or oversight, fines, penalties, indemnification obligations, harm to our competitive position, reputational damage, and delay in the further development and commercialization of our product candidates.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(or that of the third parties with whom we work)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us and the third parties with whom we work should we become subject to these laws. Similar laws have been passed or are being considered in several other states, as well as at the federal and local levels, and we expect more governments to pass similar laws in the future. The evolving patchwork of local,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the United Kingdom’s General Data Protection Regulation (“UK GDPR”) (collectively, “GDPR”), Brazil’s General Data Protection Law (Lei Geral de Proteção de Dados Pessoais, or “LGPD”) (Law No. 13,709/2018), and India’s Information Technology Act and supplementary rules, impose strict requirements for processing personal data. The EU GDPR governs the collection, use, disclosure, transfer or other processing of personal data of European Economic Area (“EEA”) residents. Among other things, the EU GDPR imposes requirements regarding the security of personal data and notification of data processing obligations to the competent national data processing authorities, changes the lawful bases on which personal data can be processed, expands the definition of personal data over prior EU law and requires changes to informed consent practices, as well as more detailed notices for clinical trial subjects and investigators. The EU GDPR also provides for substantial fines for breaches and violations (up to the greater of €20 million or 4% of annual global revenue). The EU GDPR also confers a private right of action on data subjects and consumer associations to lodge complaints with supervisory authorities, seek judicial remedies and obtain compensation for damages resulting from violations of the EU GDPR.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We increasingly use artificial intelligence and machine learning tools across our operations and business functions, and we expect our use of such tools to expand over time. While we believe that the responsible use of AI tools can enhance our operational efficiency, these tools present risks that could adversely affect our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third-party AI platforms could result in the inadvertent disclosure of trade secrets, attorney-client privileged materials, or material nonpublic information. The regulatory landscape governing the use of AI in the life sciences and pharmaceutical industries is rapidly evolving, and new laws, regulations, or guidance — including those arising from the current administration’s policy initiatives — could impose additional compliance obligations, restrict certain uses of AI tools, or increase our exposure to regulatory enforcement actions or litigation. Any failure to adequately govern our use of AI tools could result in reputational harm, regulatory scrutiny, or legal liability.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In addition to data privacy and security laws, we are and may in the future become bound by contractual obligations and industry standards related to data privacy and security, and our efforts to comply with such obligations may not be successful. We publish privacy policies and other statements regarding data privacy and security. Regulators are increasingly scrutinizing these statements, and if these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data on our behalf. In addition, these obligations may require us to change aspects of our business model or our clinical trials. </w:t>
      </w:r>
    </w:p>
    <w:p>
      <w:pPr>
        <w:pStyle w:val="TextBody"/>
        <w:bidi w:val="0"/>
        <w:spacing w:before="0" w:after="120"/>
        <w:ind w:left="0" w:right="0" w:firstLine="555"/>
        <w:jc w:val="left"/>
        <w:rPr>
          <w:rFonts w:ascii="Times New Roman" w:hAnsi="Times New Roman"/>
          <w:color w:val="000000"/>
          <w:sz w:val="20"/>
        </w:rPr>
      </w:pPr>
      <w:r>
        <w:rPr>
          <w:rFonts w:ascii="Times New Roman" w:hAnsi="Times New Roman"/>
          <w:color w:val="000000"/>
          <w:sz w:val="20"/>
        </w:rPr>
        <w:t xml:space="preserve">Although we endeavor to comply with applicable data privacy and security obligations, we may at times fail (or be perceived to have failed) to do so. Moreover, despite our efforts, our personnel or third parties upon whom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rely may fail to comply with such obligations, which could negatively impact our business operations. 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 xml:space="preserve">Our operations, and those of our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 </w:t>
      </w:r>
    </w:p>
    <w:p>
      <w:pPr>
        <w:pStyle w:val="TextBody"/>
        <w:bidi w:val="0"/>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the price and trading volume of our common stock could decline.</w:t>
      </w:r>
      <w:r>
        <w:rPr>
          <w:rFonts w:ascii="Times New Roman" w:hAnsi="Times New Roman"/>
          <w:color w:val="000000"/>
          <w:sz w:val="20"/>
        </w:rPr>
        <w:t xml:space="preserve"> </w:t>
      </w:r>
    </w:p>
    <w:p>
      <w:pPr>
        <w:pStyle w:val="TextBody"/>
        <w:bidi w:val="0"/>
        <w:spacing w:before="120" w:after="120"/>
        <w:ind w:left="0" w:right="0" w:firstLine="555"/>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As a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continue to have equity research analyst coverage, we will not have any control over the analysts or the content and opinions included in their reports. The price of our common stock could decline if one or more equity research analysts downgrade our common stock or issue other unfavorable commentary or research about us. If one or more equity research analysts ceases coverage of us or fails to publish reports on us regularly, demand for our common stock could decrease, which in turn could cause the trading price or trading volume of our common stock to decline.</w:t>
      </w:r>
    </w:p>
    <w:p>
      <w:pPr>
        <w:pStyle w:val="TextBody"/>
        <w:bidi w:val="0"/>
        <w:jc w:val="left"/>
        <w:rPr>
          <w:rFonts w:ascii="Times New Roman" w:hAnsi="Times New Roman"/>
          <w:sz w:val="20"/>
        </w:rPr>
      </w:pPr>
      <w:bookmarkStart w:id="4" w:name="item_1b_unresolved_staff_comments"/>
      <w:bookmarkEnd w:id="4"/>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bookmarkStart w:id="5" w:name="item_1c_cybersecurity"/>
      <w:bookmarkEnd w:id="5"/>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We have established policies and processes designed for assessing, identifying, and managing material risk from cybersecurity threats to our critical computer networks, third party hosted services, communications systems, hardware and software, and our critical data, including clinical trial data, intellectual property, confidential information that is proprietary, strategic, financial or competitive in nature, and personal data.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Our legal team as well as the Vice Presidents of Product and Engineering are responsible for identifying, assessing and managing the Company’s cybersecurity threats and risks. These functions use various methods such as automated tools, reports of threats and threat actors, third-party threat assessments, and vulnerability assessments in an effort to identify, monitor and assess cybersecurity threats.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Depending on the environment, system and data, we implement and maintain various technical, physical, and organizational measures, processes, standards and policies designed to manage and mitigate material risks from cybersecurity threats, including, for example, cybersecurity testing and cybersecurity awareness training, encryption of certain data, network security controls, data segregation, access controls, asset management processes, and systems monitoring tools.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retain third-party service providers in an effort to help identify, assess and manage the Company’s cybersecurity threats and risks, including for example, professional services firms (such as outside legal counsel) and cybersecurity consultants.</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including, for example, application providers, hosting companies, contract research organizations, and contract manufacturing organizations. Depending on the nature of the services provided, the sensitivity of the systems and data at issue, and the identity of the provider, our vendor engagement processes may include risk assessments, security evaluations, audit requirements, and imposition of cybersecurity obligations.</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We have integrated our assessment and management of material risks from cybersecurity threats into our overall risk management systems and processes. For example, our senior management evaluates material risks from cybersecurity threats against our overall business objectives and reports to the board or the board’s audit committee which evaluates our overall enterprise risks.</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For a description of the risks from cybersecurity threats that may materially affect the Company and how they may do so, see our risk factors under Part 1. Item 1A. Risk Factors in this Annual Report on Form 10-K, including the risk entitled “If our information systems or data, or those of our collaborators, contractors, consultants or other third parties with whom we work, are or were compromised, we could experience adverse consequences, including but not limited to regulatory investigations or actions; litigation; fines and penalties; significant disruption of our product development programs and our ability to operate our business effectively; reputational harm; and other adverse consequences.”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Governance</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 xml:space="preserve">Our board of directors addresses our cybersecurity risk management as part of its general oversight function. The board of directors’ audit committee is responsible for overseeing our cybersecurity risk management processes, including oversight and mitigation of risks from cybersecurity threats. </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 xml:space="preserve">Our Vice President of Engineering, Vice President of Product, and General Counsel integrate cybersecurity risk considerations into the Company’s overall risk management strategy, communicate key priorities to relevant personnel, help prepare for cybersecurity incidents, approve cybersecurity processes, and review security assessments and other security-related reports. </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Our Vice President of Engineering has approximately 15 years of experience in healthcare technology, including prior roles at Flatiron Health and Epic Systems involving systems that process sensitive patient data. He has expertise in designing and operating systems subject to HIPAA and SOC 2 compliance requirements, including security architecture review, access control and authentication design, and participation in SOC 2 and HIPAA audit and incident response processes.</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Our Vice President of Product has over 20 years of experience delivering products across the healthcare ecosystem, including digital health products used in clinical trial management and pharmaceutical ordering. He has experience managing products subject to HIPAA and 21 CFR Part 11 regulatory requirements and maintains training related to HIPAA, data privacy, and security practices in regulated healthcare environments.</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Our General Counsel oversees the Company's cybersecurity incident response processes and evaluates cybersecurity risks in the context of SEC disclosure obligations. He has prior experience advising public and private companies on regulatory compliance and risk management, including matters involving data privacy and information security.</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 xml:space="preserve">Our cybersecurity incident response processes are designed to escalate certain cybersecurity incidents to members of management depending on the circumstances, including our General Counsel. The General Counsel works with the Company’s incident responders in an effort to help mitigate and remediate cybersecurity incidents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which he is notified. In addition, our incident response processes include reporting to our disclosure committee and audit committee of the board of directors for certain cybersecurity incidents.</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Our audit committee receives periodic reports from management concerning the Company’s significant cybersecurity threats and risks and the processes designed to address them. The audit committee also receives various reports, summaries or presentations related to cybersecurity threats, risk and mitigation.</w:t>
      </w:r>
    </w:p>
    <w:p>
      <w:pPr>
        <w:pStyle w:val="TextBody"/>
        <w:bidi w:val="0"/>
        <w:jc w:val="left"/>
        <w:rPr>
          <w:rFonts w:ascii="Times New Roman" w:hAnsi="Times New Roman"/>
          <w:sz w:val="20"/>
        </w:rPr>
      </w:pPr>
      <w:bookmarkStart w:id="6" w:name="item_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leased office and laboratory space in Boston, Massachusetts pursuant to a lease that expires in September 2026. We also lease office and laboratory space in Rockville, Maryland at 1405 Research Blvd, Suite 125, which serves as our principal executive office. The Rockville research operations were wound down in connection with the 2024 Restructuring, and the space is currently used on a limited basis for administrative purposes. The lease expires in 2027. We believe that our current facilities are adequate to meet our ongoing needs, and that, if we require additional space, we will be able to obtain additional facilities on commercially reasonable terms.</w:t>
      </w:r>
    </w:p>
    <w:p>
      <w:pPr>
        <w:pStyle w:val="TextBody"/>
        <w:bidi w:val="0"/>
        <w:spacing w:before="360" w:after="283"/>
        <w:jc w:val="left"/>
        <w:rPr>
          <w:rFonts w:ascii="Times New Roman" w:hAnsi="Times New Roman"/>
          <w:sz w:val="20"/>
        </w:rPr>
      </w:pPr>
      <w:bookmarkStart w:id="7" w:name="item_3_legal_proceedings"/>
      <w:bookmarkEnd w:id="7"/>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not currently a party to any material legal proceedings. From time to time, we may become involved in other litigation or legal proceedings relating to claims arising from the ordinary course of business. </w:t>
      </w:r>
    </w:p>
    <w:p>
      <w:pPr>
        <w:pStyle w:val="TextBody"/>
        <w:bidi w:val="0"/>
        <w:spacing w:before="36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left"/>
        <w:rPr>
          <w:rFonts w:ascii="Times New Roman" w:hAnsi="Times New Roman"/>
          <w:sz w:val="20"/>
        </w:rPr>
      </w:pPr>
      <w:bookmarkStart w:id="9" w:name="item_5_market_for_registrants_common_equ"/>
      <w:bookmarkEnd w:id="9"/>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future ability to pay cash dividends on our capital stock may also be limited by the terms of any future debt or preferred securities or future credit facility.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Our common stock is listed on the Nasdaq Capital Market under the symbol “SNSE”. As of March 23, 2026, we </w:t>
      </w:r>
      <w:r>
        <w:rPr>
          <w:rFonts w:ascii="Times New Roman" w:hAnsi="Times New Roman"/>
          <w:color w:val="231F20"/>
          <w:sz w:val="20"/>
        </w:rPr>
        <w:t>had 1,340,281</w:t>
      </w:r>
      <w:r>
        <w:rPr>
          <w:rFonts w:ascii="Times New Roman" w:hAnsi="Times New Roman"/>
          <w:color w:val="000000"/>
          <w:sz w:val="20"/>
        </w:rPr>
        <w:t xml:space="preserve"> shares of common stock outstanding held by 193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240" w:after="283"/>
        <w:ind w:left="274"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On February 17, 2026, we completed the Acquisition pursuant to the Merger Agreement. In connection with the closing of the Acquisition, we issued to the stockholders of Faeth HoldCo an aggregate of 10,497.0980 shares of our Series B Non-Voting Convertible Preferred Stock. Each share of Series B Preferred Stock is convertible into 1,000 shares of our common stock, representing 10,497,098 shares on an as-converted-to-common-stock basis (without giving effect to any beneficial ownership limitations), subject to stockholder approval of the Company Stockholder Matters and certain beneficial ownership limitations established by each holder. The shares of Series B Preferred Stock issued as Acquisition consideration were offered and sold in reliance upon the exemption from registration provided by Section 4(a)(2) of the Securities Act and Rule 506 of Regulation D promulgated thereunder. </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On February 20, 2026, we completed a private placement of 14,440.395 shares of our Series B Preferred Stock at a purchase price of approximately $13,850 per share (or approximately $13.85 per share on an as-converted-to-common-stock basis) for aggregate gross proceeds of approximately $200 million. The investors in the 2026 Private Placement included B Group Capital, Balyasny Asset Management, Columbia Threadneedle Investments, Cormorant Asset Management, Fairmount, Logos Capital, RA Capital Management, Vivo Capital and other institutional investors. The Series B Preferred Stock issued in the 2026 Private Placement was offered and sold in reliance upon the exemption from registration provided by Section 4(a)(2) of the Securities Act and Rule 506 of Regulation D promulgated thereunder, as a transaction by an issuer not involving a public offering. Each of the investors represented that it was an "accredited investor" as defined in Regulation D and acquired the securities for investment only and not with a view to or for sale in connection with any distribution thereof.</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Subject to stockholder approval of the Company Stockholder Matters, each share of Series B Preferred Stock will automatically convert into 1,000 shares of common stock, subject to certain beneficial ownership limitations established by each holder; provided that such beneficial ownership limitations may be waived by each holder of Series B Preferred Stock at any time following the approval by Nasdaq of the Nasdaq Listing Application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approval of the Company Stockholder Matters upon notice to the Company. We have agreed to file a registration statement on Form S-3 to register the resale of shares of common stock issuable upon conversion of the Series B Preferred Stock within 75 calendar days following the closing of the 2026 Private Placement.</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For additional information regarding the Acquisition and the 2026 Private Placement, see the Current Report on Form 8-K filed with the SEC on February 18, 2026 and Note 15 to the consolidated financial statements included elsewhere in this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Parties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0" w:name="item_6_selected_financial_data"/>
      <w:bookmarkEnd w:id="10"/>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12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7_managements_discussion_analysis_f"/>
      <w:bookmarkEnd w:id="11"/>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the related notes and other financial information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this Report for a discussion of important factors that could cause actual results to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In this section, we discuss our financial condition, changes in financial condition and results of our operations for the year ended December 31, 2025, compared to the year ended December 31, 2024. For a discussion and analysis comparing our results for the year ended December 31, 2024, to the year ended December 31, 2023, see our Annual Report on Form 10-K for the year ended December 31, 2024, filed with the SEC on March 28, 2025, under Part II, Item 7 “Management’s Discussion and Analysis of Financial Condition and Results of Operations.”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Unless otherwise indicated, all information in this Annual Report on Form 10-K gives effect to a 1-for-20 reverse stock split of our common stock that became effective on June 16, 2025 (the “Reverse Stock Split”), and all references to historical share and per share amounts give effect to the Reverse Stock Split.</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 clinical-stage biotechnology company focused on improving outcomes for cancer patients through multi-node inhibition of critical oncogenic pathways. On February 17, 2026, we completed the Acquisition of Faeth Therapeutics, a clinical-stage biotechnology company developing multi-node therapies targeting tumor metabolism and signaling, and received $200 million in gross proceeds from the 2026 Private Placement from a broad syndicate of institutional investors. The acquisition brought Faeth's lead asset, PIKTOR, a proprietary investigational all-oral combination of serabelisib and sapanisertib that inhibits multiple nodes of the PI3K/AKT/mTOR pathway, into our pipeline. Because the Acquisition and 2026 Private Placement closed subsequent to the balance sheet date, the consolidated financial statements included in this Report reflect only the pre-acquisition operations of Sensei Biotherapeutics. For additional information regarding the terms of the acquisition and the concurrent financing, see Note 15 to the consolidated financial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Following the acquisition, our lead program is PIKTOR, an oral multi-node inhibitor of the PI3K/AKT/mTOR pathway in development for endometrial and breast cancer. The PI3K/AKT/mTOR pathway is dysregulated in up to 50% of all solid tumors, making it one of the most prevalent therapeutic targets in oncology. Our core thesis is that simultaneously suppressing multiple pathway nodes can produce deeper, more durable tumor suppression than approved therapies that target only a single node. PIKTOR is currently being evaluated in an ongoing Phase 2 trial in second-line advanced endometrial cancer (Study FTH-PIK-201), with topline data anticipated by year-end 2026, and we intend to initiate a Phase 1b trial in HR+/HER2- advanced breast cancer (Study FTH-PIK-101) by the first half of 2026. We believe the $200 million in financing proceeds, together with our existing cash and cash equivalents, will be sufficient to fund operations through these key clinical milestones.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Prior to the Acquisition, we were primarily focused on the development of solnerstotug (formerly SNS-101), our conditionally active monoclonal antibody targeting the immune checkpoint VISTA. In November 2025, our Board of Directors approved a reduction in force of approximately 65% of our pre-acquisition workforce, referred to herein as the 2025 Restructuring, to preserve capital while we evaluated strategic alternatives, including the Acquisition. We are completing the remaining portions of the solnerstotug Phase 1/2 trial with patients currently on study.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incurred significant operating losses since our inception and expect to continue to incur losses for the foreseeable future. Our net loss was $21.1 million and $30.2 million for the years ended December 31, 2025 and 2024, respectively. As of December 31, 2025, we had an accumulated deficit of $283.1 million and cash, cash equivalents and marketable securities of $21.2 million, which does not include the $200 million in gross proceeds received in the February 2026 Private Placement. The decrease in our net loss in 2025 was primarily attributable to reduced research and development spending resulting from the wind-down of our legacy programs, together with the 2024 Restructuring and the 2025 Restructuring. We expect our research and development expenses to increase significantly in future periods as we advance the clinical development of PIKTOR and other candidates acquired in the Acquisition. We also expect to incur increased general and administrative expenses related to the integration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Faeth's operations and the support of our expanded product pipeline. We have not generated any product revenue and do not expect to do so for the foreseeable future, if ever.</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research and development expense consists of expenses incurred in connection with the discovery and development of our product candidates. These expenses include: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CROs, as well as investigative sites and consultants that conduct our preclinical studies and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product candidates including the cost of CMOs that manufacture product for use in our preclinical studies and clinical trials and perform analytical testing, scale-up and other services in connection with our development activities;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outsourced professional scientific development services;</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benefits and stock-based compensation for employees engaged in the research and development function;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relating to regulatory activities, including filing fees paid to regulatory agencies;</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fees for maintaining licenses and other amounts due under our third party licensing agreements;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materials and supplies used to support our research activities;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expenses for utilities and other facility-related costs.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direct external research and development expenses consist primarily of third party costs, such as fees paid to CROs, CMOs, research/testing laboratories and outside consultants in connection with our preclinical development, process development, manufacturing and clinical development activities. We do not allocate these costs to specific product candidates because many of them are deployed across several of our development programs and, as such, are not separately classified. We have historically used internal resources primarily to conduct research and manage our preclinical development, process development, manufacturing and clinical development activities. These employees have worked across multiple development programs and, therefore, we have not historically tracked their costs by program and, as such, are not separately classified.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of the Acquisition in February 2026, we generally expect that our research and development expenses will increase as we initiate and advance clinical development of PIKTOR and other candidates acquired.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 uncertainties associated with the duration and cost of clinical trials, which vary significantly over the life of a project as a result of many factors, including:</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outcome and costs of our preclinical studies, our current product candidates and any other product candidates we may acquire or develop;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of our product candidates or making arrangements with third-party manufacturers for both clinical and commercial supplies of these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and the initiation, duration and completion of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gaining regulatory approvals for our product candidates, subject to the successful outcome of ongoing and future clinical trials;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expenditures are subject to additional uncertainties, including the terms and timing of regulatory approvals. We may never succeed in achieving regulatory approval for any of our product candidates. We may obtain unexpected results from our clinical trials. We may elect to discontinue, delay or modify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significant additional development costs.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General and administrative expenses consist principally of salaries and related costs for personnel in executive, administrative, finance and legal functions, including stock-based compensation, travel and recruiting expenses. Other general and administrative expenses include facility related costs, patent filing and prosecution costs and professional fees for legal, auditing and tax services, and insurance costs.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due to costs incurred to integrate Faeth’s operations and to support the expanded product pipeline. These anticipated increases include higher personnel-related costs as we integrate the Faeth team and the ongoing requirements of managing an expanded clinical-stage pipeline. </w:t>
      </w:r>
    </w:p>
    <w:p>
      <w:pPr>
        <w:pStyle w:val="TextBody"/>
        <w:bidi w:val="0"/>
        <w:spacing w:before="240" w:after="283"/>
        <w:ind w:left="244" w:right="0" w:hanging="0"/>
        <w:jc w:val="left"/>
        <w:rPr>
          <w:rFonts w:ascii="Times New Roman" w:hAnsi="Times New Roman"/>
          <w:i/>
          <w:color w:val="000000"/>
          <w:sz w:val="20"/>
        </w:rPr>
      </w:pPr>
      <w:r>
        <w:rPr>
          <w:rFonts w:ascii="Times New Roman" w:hAnsi="Times New Roman"/>
          <w:i/>
          <w:color w:val="000000"/>
          <w:sz w:val="20"/>
        </w:rPr>
        <w:t>Long-Lived Asset Impairment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long-lived asset impairments consisted of charges related to the write-down of certain equipment and finance right-of-use assets due to streamlining operations and focusing resources on advancing the clinical development of our former lead product solnerstotug in 2024. There were no long-lived asset impairment charges recorded during the year ended December 31, 2025.</w:t>
      </w:r>
    </w:p>
    <w:p>
      <w:pPr>
        <w:pStyle w:val="TextBody"/>
        <w:bidi w:val="0"/>
        <w:spacing w:before="360" w:after="283"/>
        <w:ind w:left="244" w:right="0" w:hanging="0"/>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other income (expense) consists of accretion on short-term investments, interest expense and gain or loss on fixed asset disposals.</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244" w:right="0" w:hanging="0"/>
        <w:jc w:val="left"/>
        <w:rPr>
          <w:rFonts w:ascii="Times New Roman" w:hAnsi="Times New Roman"/>
          <w:b/>
          <w:i/>
          <w:color w:val="000000"/>
          <w:sz w:val="20"/>
        </w:rPr>
      </w:pPr>
      <w:r>
        <w:rPr>
          <w:rFonts w:ascii="Times New Roman" w:hAnsi="Times New Roman"/>
          <w:b/>
          <w:i/>
          <w:color w:val="000000"/>
          <w:sz w:val="20"/>
        </w:rPr>
        <w:t>Comparison of Years Ended December 31, 2025 and 2024</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The following sets forth our results of operations for the years ended December 31, 2025 and 2024: </w:t>
      </w:r>
    </w:p>
    <w:tbl>
      <w:tblPr>
        <w:tblW w:w="7776" w:type="dxa"/>
        <w:jc w:val="left"/>
        <w:tblInd w:w="0" w:type="dxa"/>
        <w:tblLayout w:type="fixed"/>
        <w:tblCellMar>
          <w:top w:w="28" w:type="dxa"/>
          <w:left w:w="28" w:type="dxa"/>
          <w:bottom w:w="28" w:type="dxa"/>
          <w:right w:w="28" w:type="dxa"/>
        </w:tblCellMar>
      </w:tblPr>
      <w:tblGrid>
        <w:gridCol w:w="2646"/>
        <w:gridCol w:w="146"/>
        <w:gridCol w:w="317"/>
        <w:gridCol w:w="1106"/>
        <w:gridCol w:w="249"/>
        <w:gridCol w:w="219"/>
        <w:gridCol w:w="317"/>
        <w:gridCol w:w="1106"/>
        <w:gridCol w:w="166"/>
        <w:gridCol w:w="146"/>
        <w:gridCol w:w="211"/>
        <w:gridCol w:w="736"/>
        <w:gridCol w:w="411"/>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Twelve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Long-lived 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ind w:left="245" w:right="0" w:hanging="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were $11.0 million for the year ended December 31, 2025, compared to $18.6 million for the year ended December 31, 2024. The decrease of $7.7 million was primarily attributable to $3.1 million of lower personnel costs, including non-cash stock-based compensation and incentives, $1.4 million of lower facilities and equipment cost, $1.1 million less expense relating to lab supply purchases, $0.9 million of lower expense associated with clinical trials, $0.5 million of lower manufacturing cost, $0.4 million less outside research fees, $0.3 million of lower preclinical research expense and $0.2 million of decreased restructuring costs, partially offset by $0.2 million of higher consulting expense.</w:t>
      </w:r>
    </w:p>
    <w:p>
      <w:pPr>
        <w:pStyle w:val="TextBody"/>
        <w:bidi w:val="0"/>
        <w:jc w:val="left"/>
        <w:rPr/>
      </w:pPr>
      <w:r>
        <w:rPr/>
        <w:t>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were $11.3 million for the year ended December 31, 2025, compared to $13.0 million for the year ended December 31, 2024. The decrease of $1.7 million was primarily attributable to $3.0 million of lower personnel costs, including recruiting, non-cash stock-based compensation and incentives and $0.1 million of lower board fees, partially offset by $1.0 million for higher restructuring costs, $0.3 million of higher consulting cost and $0.1 million higher cost for external administrative fees.</w:t>
      </w:r>
    </w:p>
    <w:p>
      <w:pPr>
        <w:pStyle w:val="TextBody"/>
        <w:bidi w:val="0"/>
        <w:spacing w:before="360" w:after="283"/>
        <w:ind w:left="244" w:right="0" w:hanging="0"/>
        <w:jc w:val="left"/>
        <w:rPr>
          <w:rFonts w:ascii="Times New Roman" w:hAnsi="Times New Roman"/>
          <w:i/>
          <w:color w:val="000000"/>
          <w:sz w:val="20"/>
        </w:rPr>
      </w:pPr>
      <w:r>
        <w:rPr>
          <w:rFonts w:ascii="Times New Roman" w:hAnsi="Times New Roman"/>
          <w:i/>
          <w:color w:val="000000"/>
          <w:sz w:val="20"/>
        </w:rPr>
        <w:t>Long-Lived Asset Impairment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Long-lived asset impairment expenses were $1.0 million for the year ended December 31, 2024, related to $0.6 million of financing right-of-use equipment lease impairments and $0.4 million of fixed asset impairments.</w:t>
      </w:r>
    </w:p>
    <w:p>
      <w:pPr>
        <w:pStyle w:val="TextBody"/>
        <w:bidi w:val="0"/>
        <w:spacing w:before="360" w:after="283"/>
        <w:ind w:left="244" w:right="0" w:hanging="0"/>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was $1.2 million and $2.5 million for the years ended December 31, 2025 and 2024, respectively, primarily attributable to interest and accretion on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i/>
          <w:color w:val="000000"/>
          <w:sz w:val="20"/>
        </w:rPr>
        <w:t>Sources of Liquidity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our inception, we have not generated any product revenue and have incurred net losses and negative cash flows from our operations. As of December 31, 2025, we had cash, cash equivalents and marketable securities of $21.2 million. We have financed our operations through sales of our common stock, convertible preferred stock and convertible debt. Through the date of this Report, we have raised an aggregate of $123.4 million of gross proceeds from private placements of our equity and convertible debt securities, net proceeds of $138.5 million from our initial public offering in February 2021 and gross proceeds of $200 million from the 2026 Private Placement completed in February 2026. Our net loss was $21.1 million and $30.2 million for the years ended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2025 and 2024, respectively. As of December 31, 2025, we had an accumulated deficit of $283.1 million. Our primary use of cash is to fund operating expenses, which consist primarily of research and development expenditures, and to a lesser extent, general and administrative expenditures.</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below: </w:t>
      </w:r>
    </w:p>
    <w:p>
      <w:pPr>
        <w:pStyle w:val="TextBody"/>
        <w:bidi w:val="0"/>
        <w:jc w:val="left"/>
        <w:rPr/>
      </w:pPr>
      <w:r>
        <w:rPr/>
        <w:t> </w:t>
      </w:r>
    </w:p>
    <w:tbl>
      <w:tblPr>
        <w:tblW w:w="7167" w:type="dxa"/>
        <w:jc w:val="left"/>
        <w:tblInd w:w="0" w:type="dxa"/>
        <w:tblLayout w:type="fixed"/>
        <w:tblCellMar>
          <w:top w:w="28" w:type="dxa"/>
          <w:left w:w="28" w:type="dxa"/>
          <w:bottom w:w="28" w:type="dxa"/>
          <w:right w:w="28" w:type="dxa"/>
        </w:tblCellMar>
      </w:tblPr>
      <w:tblGrid>
        <w:gridCol w:w="3496"/>
        <w:gridCol w:w="146"/>
        <w:gridCol w:w="317"/>
        <w:gridCol w:w="1106"/>
        <w:gridCol w:w="249"/>
        <w:gridCol w:w="219"/>
        <w:gridCol w:w="317"/>
        <w:gridCol w:w="110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Twelve Months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(20,453</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ind w:left="244" w:right="0" w:hanging="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year ended December 31, 2025, our operating activities used $20.5 million of cash, resulting from our $21.1 million net loss and a $1.6 million decrease related to changes in our operating assets and liabilities partially offset by increases in non-cash charges of $2.2 million, primarily related to $1.5 million of non-cash lease expense, $1.3 million of stock compensation expense and $0.1 million of depreciation partially offset by $0.7 million of accretion on marketable securities. During the year ended December 31, 2024, our operating activities used $24.7 million of cash, resulting from our $30.2 million net loss and a $0.5 million decrease related to changes in our operating assets and liabilities partially offset by increases in non-cash charges of $6.0 million primarily related to $3.1 million of stock compensation expense, $1.6 million of non-cash lease expense, $0.8 million of amortization of financing lease right-of-use assets, $0.6 million for financing right-of-use asset impairments, $0.6 million of depreciation and $0.3 million of loss on fixed asset impairments, partially offset by $1.0 million of accretion on marketable securities.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year ended December 31, 2025, net cash provided by investing activities was $19.8 million, primarily due to $44.7 million in maturities of short-term investments and $0.3 million in proceeds from the sale of property and equipment, partially offset by $25.2 million in purchases of short-term investments. During the year ended December 31, 2024, net cash used in investing activities was $22.4 million primarily due to $67.2 million in maturities of short-term investments partially offset by $44.6 million in purchases of short-term investments and $0.2 million in purchases of property and equipment.</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year ended December 31, 2025, net cash used in financing activities was $0.6 million, primarily from $0.8 million of principal payments under our financing leases, partially offset by $0.1 million in proceeds from the sale of financing leased assets. During the year ended December 31, 2024, net cash used in financing activities was $0.8 million, consisting of $0.8 million of principal payments under our financing leases.</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Material Cash Requirements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material cash requirements will have an impact on our future liquidity. Our material cash requirements represent material expected or contractually committed future payment obligations.</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operating lease arrangements for our corporate offices, lab facilities and an executive residence. As part of our adoption of Accounting Standards Codification, or ASC, 842, we recorded operating right-of-use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operating lease liabilities for these agreements. As of December 31, 2025, we had operating lease payment obligations of $1.5 million, with $1.4 million payable within twelve months. See Note 6 in our annual financial statements included elsewhere in this Report for additional information.</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Finance Leases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lease research equipment, furniture and a vehicle under finance leases. As part of our adoption of ASC 842, we recorded financing right-of-use assets and financing lease liabilities for these leases as of January 1, 2022. As of December 31, 2025, we had finance lease payment obligations of $0.1 million, with $0.1 million payable within 12 months. See Note 6 in our annual financial statements included elsewhere in this Report for additional information.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biopharmaceutical industry, it can take a significant amount of time and capital resources to successfully complete all stages of research and development and commercialize a product candidate. The ultimate length of time and spend required cannot be accurately estimated as it varies substantially according to the type, complexity, novelty and intended use of a product candidate. Please see the “Funding Requirements” section below for further details.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our future capital requirements will depend on many factors, including, without limitation, the timing of stockholder approval of the Company Stockholder Matters and the potential cash settlement obligations that may arise if we are unable to timely deliver shares of our common stock upon conversion of the Series B Preferred Stock. In connection with the Acquisition, we issued 24,937.493 shares of Series B Preferred Stock, each share of which is convertible into 1,000 shares of our common stock, subject to certain beneficial ownership limitations and receipt of approval of the Company Stockholder Matters. The shares of Series B Preferred Stock will automatically convert upon the third business day following receipt of approval of the Company Stockholder Matters stockholder approval in accordance with Nasdaq listing rules up to the beneficial ownership limitations set by each holder; provided that such beneficial ownership limitations may be waived by each holder of Series B Preferred Stock at any time following the approval by Nasdaq of the Nasdaq Listing Application and approval of the Company Stockholder Matters.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Certificate of Designation contains a provision that, at any time following the earlier of (i) approval of the Company Stockholder Matters or (ii) six months after the initial issuance of the Series B Preferred Stock, if we fail to deliver shares of our common stock to a converting holder within the time periods required by the Certificate of Designation, such holder may require us to pay, in lieu of delivering the applicable conversion shares, an amount of cash equal to the fair value of the undelivered shares based on the last reported closing sale price of our common stock on the principal trading market on which our common stock is listed as of the trading day immediately prior to the date on which the applicable notice of conversion was delivered to us. Such payment would be required within two business days of the holder's request.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we are unable to obtain approval of the Company Stockholder Matters or approval of the Nasdaq Listing Application, or if we are otherwise unable to timely deliver shares of our common stock upon conversion — whether due to an insufficient number of authorized shares, Nasdaq listing requirements, or other factors — we could become obligated to make significant cash settlement payments to holders of Series B Preferred Stock who submit conversion notices after the applicable trigger date. Given the number of shares of Series B Preferred Stock outstanding and the potential magnitude of such cash settlement obligations, which would be determined by reference to the then-current trading price of our common stock, any such payments could require us to use a substantial portion of our available cash resources or to seek additional financing to satisfy these obligations, which could materially limit the amount of cash available to fund our operations and advance our clinical programs.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even following stockholder approval of the Company Stockholder Matters, certain holders may be unable to convert their shares of Series B Preferred Stock due to the application of beneficial ownership limitations set by such holder. Shares of Series B Preferred Stock that are not converted in the automatic conversion on account of beneficial ownership limitations will remain outstanding until converted at the option of the applicable holder, and the cash settlement provisions described above would apply to any failure to timely deliver conversion shares in connection with any such optional conversion.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initiate clinical trials of, and potentially seek marketing approval for, our product candidates. In addition, we expect to continue to incur significant costs associated with operating as a public company, including significant legal, accounting, investor relations and other expenses. The timing and amount of our operating expenditures will depend largely 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current and future preclinical studies and clinical trials for our current and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the manufacture of additional clinical trial material as well as any costs related to the scale-up of manufacturing activities;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seek regulatory approvals for any product candidates that successfully complete clinical trials;</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hire additional clinical, quality assurance, quality control and other scientific personnel;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develop or may in-license;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meeting and maintaining compliance with regulatory requirements;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filing, prosecuting, defending and enforcing our patent claims and other intellectual property rights;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collaboration agreements we may choose to enter into, including the achievement of milestones or occurrence of other developments that trigger payments under any license or collaboration agreements we might have at such time;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the expansion of our operational, financial and management systems and increased personnel, including personnel to support our operations as a public company;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in regions where we choose to commercialize our products, if approved, on our own.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We expect our existing cash and cash equivalents, together with the proceeds from the 2026 Private Placement, will enable us to fund our operating expenses and capital expenditure requirements through topline data readouts from both our ongoing Phase 2 trial of PIKTOR in advanced endometrial cancer (Study FTH-PIK-201) and our planned Phase 1b trial of PIKTOR in HR+/HER2- advanced breast cancer (Study FTH-PIK-101). We have based this estimate on assumptions that may prove to be wrong, and we may use our available capital resources sooner than we currently expect. Our future capital requirements will depend on many factors, including: </w:t>
      </w:r>
    </w:p>
    <w:p>
      <w:pPr>
        <w:pStyle w:val="TextBody"/>
        <w:bidi w:val="0"/>
        <w:spacing w:before="0" w:after="0"/>
        <w:ind w:left="61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establishing or contracting for sales and marketing capabilities if we obtain regulatory approvals to market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limiting or restricting our ability to take specific actions, such as incurring additional debt, making capital expenditures or declaring dividends. In addition, debt financing would result in fixed payment obligations.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This Management’s Discussion and Analysis of Financial Condition and Results of Operations is based on our financial statements, which are prepared in accordance with US GAAP.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described in Note 2 to our annual financial statements beginning on page F-1 of this Report, we believe the following are the critical accounting policies used in the preparation of our financial statements that require significant estimates and judgments.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Accrued Research and Development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incur expenses associated with preclinical development and clinical trials. Accounting for preclinical or clinical activities relating to work performed by CROs and other external vendors requires management to exercise significant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related to certain clinical activities complicates the estimation of accruals for services rendered by CROs and other vendors in connection with clinical trials. We record the estimated costs of research and development activities based upon the estimated amount of services provided but not yet invoiced and include these costs in the accrued and other current liabilities or prepaid expenses on the balance sheets and within research and development expense on the consolidated statements of operations. We determine the estimated costs through discussions with the internal personnel and external service providers as to the progress, or stage of completion of the services and the agreed-upon fees to be paid for such services. This process involves a thorough review of open contracts and evaluation by internal personnel to identify services received that have been performed for us and estimating the associated cost incurred for these services for which we have not yet been invoiced or otherwise notified of the actual cost. In estimating the duration of a clinical study, we evaluate the start-up, treatment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wrap-up periods, compensation arrangements and services rendered attributable to each clinical trial and fluctuations are regularly tested against payment plans and trial completion assumptions.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determine the estimated costs through discussions with internal personnel and external service providers as to the progress, or stage of completion of the services and the agreed-upon fees to be paid for such services.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measure all stock-based awards granted based on their estimated fair value on the date of the grant and recognize the corresponding compensation expense for those awarded to employees and directors over the requisite service period, which is generally the vesting period of the respective award, and for those awarded to nonemployees over the period during which services are rendered by nonemployees until completed. We have typically issued stock options and warrants with service-based vesting conditions and we record the expense for these awards using the straight-line method.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estimate the fair value of each stock option grant using the Black-Scholes option-pricing model, which uses as inputs the closing price of our common stock and assumptions we make for the volatility of our common stock, the expected term of our stock options and warrants, the risk-free interest rate for a period that approximates the expected term of our stock options and warrants and our expected dividend yield. The fair value of our stock options and warrants on the date of grant, prior to February 3, 2021, was determined by us with the assistance of a third-party valuation specialist in accordance with the guidance in the American Institute of Certified Public Accountants Valuation Guide, Valuation of Privately-Held-Company Equity Securities Issued as Compensation, as our common stock was not actively traded.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See Note 2 in our annual financial statements included elsewhere in this Report for a description of recent accounting pronouncements applicable to our financial statements. Other than as disclosed in our financial statements, we do not expect that any recently issued accounting standards will have a material impact on our financial statements or will otherwise apply to our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qualify as an Emerging Growth Company, or EGC, as defined in the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may take advantage of these exemptions until the last day of the fiscal year following the fifth anniversary of our initial public offering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consolidated financial statements may not be directly comparable to those of other public companies.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 </w:t>
      </w:r>
    </w:p>
    <w:p>
      <w:pPr>
        <w:pStyle w:val="TextBody"/>
        <w:bidi w:val="0"/>
        <w:spacing w:before="360" w:after="283"/>
        <w:jc w:val="left"/>
        <w:rPr>
          <w:rFonts w:ascii="Times New Roman" w:hAnsi="Times New Roman"/>
          <w:sz w:val="20"/>
        </w:rPr>
      </w:pPr>
      <w:bookmarkStart w:id="12" w:name="item_7a_quantitative_qualitative_disclos"/>
      <w:bookmarkEnd w:id="12"/>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 smaller reporting company as defined by Item 10 of Regulation S-K and are not required to provide the information otherwise required under this item. </w:t>
      </w:r>
    </w:p>
    <w:p>
      <w:pPr>
        <w:pStyle w:val="TextBody"/>
        <w:bidi w:val="0"/>
        <w:spacing w:before="360" w:after="283"/>
        <w:jc w:val="left"/>
        <w:rPr>
          <w:rFonts w:ascii="Times New Roman" w:hAnsi="Times New Roman"/>
          <w:sz w:val="20"/>
        </w:rPr>
      </w:pPr>
      <w:bookmarkStart w:id="13" w:name="item_8_financial_statements_supplementar"/>
      <w:bookmarkEnd w:id="13"/>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Annual Report on Form 10-K. An index of those financial statements is found in Item 15, Exhibits and Financial Statement Schedules, of this Annual Report on Form 10-K.</w:t>
      </w:r>
    </w:p>
    <w:p>
      <w:pPr>
        <w:pStyle w:val="TextBody"/>
        <w:bidi w:val="0"/>
        <w:spacing w:before="360" w:after="283"/>
        <w:jc w:val="left"/>
        <w:rPr>
          <w:rFonts w:ascii="Times New Roman" w:hAnsi="Times New Roman"/>
          <w:b/>
          <w:color w:val="000000"/>
          <w:sz w:val="20"/>
        </w:rPr>
      </w:pPr>
      <w:bookmarkStart w:id="14" w:name="item_9_changes_in_disagreements_with_acc"/>
      <w:bookmarkEnd w:id="14"/>
      <w:r>
        <w:rPr>
          <w:rFonts w:ascii="Times New Roman" w:hAnsi="Times New Roman"/>
          <w:b/>
          <w:color w:val="000000"/>
          <w:sz w:val="20"/>
        </w:rPr>
        <w:t>Item 9. Changes in and Disagreements With Accountants on Accounting and Financial Disclosure.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5" w:name="item_9a_controls_procedures"/>
      <w:bookmarkEnd w:id="15"/>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 with the participation of our Principal Executive Officer, or PEO, and Principal Financial Officer, or PFO, evaluated the effectiveness of our disclosure controls and procedures as defined in Rules 13a-15(e) and 15d-15(e) under the Exchange Act as of December 31, 2025. Our disclosure controls and procedures are designed to provide reasonable assurance that information we are required to disclose in the reports we file or submit under the Exchange Act is accumulated and communicated to our management, including our PEO and PFO, as appropriate to allow timely decisions regarding required disclosures, and is recorded, processed, summarized, and reported within the time periods specified in the SEC’s rules and forms. Based on this evaluation, our PEO and PFO have concluded that our disclosure controls and procedures were effective at the reasonable assurance level as of December 31,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Management’s Report on Internal Control over Financial Reporting and Attestation Report of the Registered Public Accounting Firm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an adequate system of internal control over financial reporting, as defined in the Exchange Act Rule 13a-15(f). Management conducted an assessment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control over financial reporting based on the framework established in 2013 by the Committee of Sponsoring Organizations of the Treadway Commission in Internal Control—Integrated Framework. Based on the assessment, management concluded that, as of December 31, 2025, our internal control over financial reporting was effective.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This Report does not include an attestation report of our registered public accounting firm regarding internal control over financial reporting as required by Section 404(b) of the Sarbanes Oxley Act of 2002. Because we qualify as an emerging growth company under the JOBS Act, management’s report was not subject to attestation by our independent registered public accounting firm.</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December 31, 2025, that has materially affected, or is reasonably likely to materially affect, our internal control over financial reporting.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360" w:after="283"/>
        <w:jc w:val="left"/>
        <w:rPr>
          <w:rFonts w:ascii="Times New Roman" w:hAnsi="Times New Roman"/>
          <w:sz w:val="20"/>
        </w:rPr>
      </w:pPr>
      <w:bookmarkStart w:id="16" w:name="item_9b_or_information"/>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9B.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fiscal quarter ended December 31, 2025, none of our officers or directors, as defined in Rule 16a-1(f), adopted, modified or terminated a “Rule 10b5-1 trading arrangement” or a “non-Rule 10b5-1 trading arrangement,” as those terms are defined in Item 408 of Regulation S-K. </w:t>
      </w:r>
    </w:p>
    <w:p>
      <w:pPr>
        <w:pStyle w:val="TextBody"/>
        <w:bidi w:val="0"/>
        <w:spacing w:before="240" w:after="240"/>
        <w:jc w:val="left"/>
        <w:rPr>
          <w:rFonts w:ascii="Times New Roman" w:hAnsi="Times New Roman"/>
          <w:sz w:val="20"/>
        </w:rPr>
      </w:pPr>
      <w:r>
        <w:rPr>
          <w:rFonts w:ascii="Times New Roman" w:hAnsi="Times New Roman"/>
          <w:i/>
          <w:color w:val="000000"/>
          <w:sz w:val="20"/>
        </w:rPr>
        <w:t>Elimination of Series A Preferred Stock</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As previously reported, on March 7, 2023, the Special Committee of the Board of Directors of the Company adopted a stockholder rights plan and declared a dividend of one right, or a Right, for each outstanding share of common stock of the Company. Each Right entitled the registered holder thereof under certain circumstances to purchase from the Company one ten-thousandth of a share of Series A Junior Participating Cumulative Preferred Stock. The terms of the Rights were set forth in a Stockholder Rights Agreement, dated as of March 7, 2023, between the Company and American Stock Transfer &amp; Trust Company, LLC, as rights agent, or, as amended, the Rights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Rights expired pursuant to the terms of the Rights Agreement on March 7, 2025. Accordingly, on March 26, 2025, the Company filed with the Secretary of State of the State of Delaware a Certificate of Elimination eliminating from its Amended and Restated Certificate of Incorporation, as amended, the designation of certain shares of its preferred stock as Series A Junior Participating Cumulative Preferred Stock, which had been designated for potential use in connection with the Rights Agreement. As a result, all shares of preferred stock previously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designated as Series A Junior Participating Cumulative Preferred Stock were eliminated and returned to the status of authorized but unissued shares of preferred stock, without designation.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foregoing description of the Certificate of Elimination does not purport to be complete and is subject to and qualified in its entirety by reference to the full text of the Certificate of Elimination, which is included as Exhibit 3.4 hereto, and is incorporated by reference herein.</w:t>
      </w:r>
    </w:p>
    <w:p>
      <w:pPr>
        <w:pStyle w:val="TextBody"/>
        <w:bidi w:val="0"/>
        <w:spacing w:before="360" w:after="283"/>
        <w:jc w:val="left"/>
        <w:rPr>
          <w:rFonts w:ascii="Times New Roman" w:hAnsi="Times New Roman"/>
          <w:b/>
          <w:color w:val="000000"/>
          <w:sz w:val="20"/>
        </w:rPr>
      </w:pPr>
      <w:bookmarkStart w:id="17" w:name="item_9c"/>
      <w:bookmarkEnd w:id="17"/>
      <w:r>
        <w:rPr>
          <w:rFonts w:ascii="Times New Roman" w:hAnsi="Times New Roman"/>
          <w:b/>
          <w:color w:val="000000"/>
          <w:sz w:val="20"/>
        </w:rPr>
        <w:t>Item 9C. Disclosure Regarding Foreign Jurisdictions That Prevent Inspections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360" w:after="283"/>
        <w:ind w:left="0" w:right="0" w:firstLine="490"/>
        <w:jc w:val="left"/>
        <w:rPr>
          <w:rFonts w:ascii="Times New Roman" w:hAnsi="Times New Roman"/>
          <w:color w:val="000000"/>
          <w:sz w:val="20"/>
        </w:rPr>
      </w:pPr>
      <w:r>
        <w:rPr>
          <w:rFonts w:ascii="Times New Roman" w:hAnsi="Times New Roman"/>
          <w:color w:val="000000"/>
          <w:sz w:val="20"/>
        </w:rPr>
        <w:t>We will file a definitive Proxy Statement for our 2026 Annual Meeting of Stockholders, or the 2026 Proxy Statement, with the SEC, pursuant to Regulation 14A, not later than 120 days after the end of our fiscal year. Accordingly, certain information required by Part III has been omitted under General Instruction G(3) to Form 10-K. Only those sections of the 2026 Proxy Statement that specifically address the items set forth herein are incorporated by reference.</w:t>
      </w:r>
    </w:p>
    <w:p>
      <w:pPr>
        <w:pStyle w:val="TextBody"/>
        <w:bidi w:val="0"/>
        <w:spacing w:before="360" w:after="283"/>
        <w:jc w:val="left"/>
        <w:rPr>
          <w:rFonts w:ascii="Times New Roman" w:hAnsi="Times New Roman"/>
          <w:sz w:val="20"/>
        </w:rPr>
      </w:pPr>
      <w:bookmarkStart w:id="18" w:name="item_10_directors_executive_ficers_corpo"/>
      <w:bookmarkEnd w:id="18"/>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Item 10 is hereby incorporated by reference to the sections of the 2026 Proxy Statement under the captions “Information Regarding the Board of Directors and Corporate Governance,” “Election of Directors,” “Executive Officers” and “Section 16(a) Beneficial Ownership Reporting Compliance.”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Code of Business Conduct and Ethics</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We have adopted a Code of Business Conduct and Ethics, or the Code of Conduct, applicable to all of our employees, executive officers and directors. The Code of Conduct is available on our website at www.senseibio.com. The Audit Committee is responsible for overseeing the Code of Conduct and must approve any waivers of the Code of Conduct for executive officers and directors. If we make any substantive amendments to the Code of Conduct or grant any waiver from a provision of the Code of Conduct to any executive officer or director, we will promptly disclose the amendment or waiver on our website.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Insider Trading Policy</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We have adopted an insider trading policy governing the purchase, sale, and other dispositions of our securities and those of public companies in which we have business dealings by our directors, executive officers, employees and consultants, that we believe is reasonably designed to promote compliance with insider trading laws, rules and regulations, and the exchange listing standards applicable to us. This policy also prohibits directors, officers, and other employees from engaging in short sales, transactions in put or call options, hedging transactions, margin accounts or other inherently speculative transactions with respect to our stock at any time. In addition, it is the Company’s intent to comply with applicable laws and regulations relating to insider trading. A copy of our insider trading policy is filed as Exhibit 19.1 to this Annual Report on Form 10-K.</w:t>
      </w:r>
    </w:p>
    <w:p>
      <w:pPr>
        <w:pStyle w:val="TextBody"/>
        <w:bidi w:val="0"/>
        <w:spacing w:before="360" w:after="283"/>
        <w:jc w:val="left"/>
        <w:rPr>
          <w:rFonts w:ascii="Times New Roman" w:hAnsi="Times New Roman"/>
          <w:sz w:val="20"/>
        </w:rPr>
      </w:pPr>
      <w:bookmarkStart w:id="19" w:name="item_11_executive_compensation"/>
      <w:bookmarkEnd w:id="19"/>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Item 11 is hereby incorporated by reference to the sections of the 2026 Proxy Statement under the captions “Executive Compensation” and “Non-Employee Director Compensation.” </w:t>
      </w:r>
    </w:p>
    <w:p>
      <w:pPr>
        <w:pStyle w:val="TextBody"/>
        <w:bidi w:val="0"/>
        <w:spacing w:before="360" w:after="283"/>
        <w:jc w:val="left"/>
        <w:rPr>
          <w:rFonts w:ascii="Times New Roman" w:hAnsi="Times New Roman"/>
          <w:sz w:val="20"/>
        </w:rPr>
      </w:pPr>
      <w:bookmarkStart w:id="20" w:name="item_12_security_ownership_certain_benef"/>
      <w:bookmarkEnd w:id="20"/>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Item 12 is hereby incorporated by reference to the sections of the 2026 Proxy Statement under the captions “Security Ownership of Certain Beneficial Owners and Management” and “Securities Authorized for Issuance under Equity Compensation Plans.” </w:t>
      </w:r>
    </w:p>
    <w:p>
      <w:pPr>
        <w:pStyle w:val="TextBody"/>
        <w:bidi w:val="0"/>
        <w:spacing w:before="360" w:after="283"/>
        <w:jc w:val="left"/>
        <w:rPr>
          <w:rFonts w:ascii="Times New Roman" w:hAnsi="Times New Roman"/>
          <w:sz w:val="20"/>
        </w:rPr>
      </w:pPr>
      <w:bookmarkStart w:id="21" w:name="item_13_certain_relationships_related_tr"/>
      <w:bookmarkEnd w:id="21"/>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information required by Item 13 is hereby incorporated by reference to the sections of the 2026 Proxy Statement under the captions “Transactions with Related Persons” and “Independence of the Board of Directors.”</w:t>
      </w:r>
    </w:p>
    <w:p>
      <w:pPr>
        <w:pStyle w:val="TextBody"/>
        <w:bidi w:val="0"/>
        <w:spacing w:before="360" w:after="283"/>
        <w:jc w:val="left"/>
        <w:rPr>
          <w:rFonts w:ascii="Times New Roman" w:hAnsi="Times New Roman"/>
          <w:sz w:val="20"/>
        </w:rPr>
      </w:pPr>
      <w:bookmarkStart w:id="22" w:name="item_14_principal_accounting_fees_servic"/>
      <w:bookmarkEnd w:id="22"/>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information required by Item 14 is hereby incorporated by reference to the sections of the 2026 Proxy Statement under the caption “Ratification of Selection of Independent Registered Public Accounting Firm.”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23" w:name="item_15_exhibits_financial_statement_sch"/>
      <w:bookmarkEnd w:id="23"/>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Exhibits </w:t>
      </w:r>
    </w:p>
    <w:p>
      <w:pPr>
        <w:pStyle w:val="TextBody"/>
        <w:pBdr/>
        <w:bidi w:val="0"/>
        <w:spacing w:before="120" w:after="283"/>
        <w:ind w:left="0" w:right="0" w:hanging="490"/>
        <w:jc w:val="left"/>
        <w:rPr/>
      </w:pPr>
      <w:r>
        <w:rPr/>
        <w:t> </w:t>
      </w:r>
    </w:p>
    <w:p>
      <w:pPr>
        <w:pStyle w:val="TextBody"/>
        <w:pBdr>
          <w:bottom w:val="single" w:sz="4" w:space="1" w:color="000000"/>
        </w:pBdr>
        <w:bidi w:val="0"/>
        <w:ind w:left="0" w:right="9360" w:hanging="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563C1"/>
                  <w:sz w:val="20"/>
                  <w:u w:val="single"/>
                </w:rPr>
                <w:t>Agreement and Plan of Merger, dated February 17, 2026, by and among Sensei Biotherapeutics, Inc., Sapphire First Merger Sub, Inc., Sapphire Second Merger Sub, LLC, Faeth Holdings Therapeutics, Inc. and Faeth Therapeutics, LLC (incorporated by reference to Exhibit 2.1 to the Registrant’s Current Report on Form 8-K (File No. 001-39980), filed with the SEC on February 18,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563C1"/>
                  <w:sz w:val="20"/>
                  <w:u w:val="single"/>
                </w:rPr>
                <w:t>Amended and Restated Certificate of Incorporation (incorporated by reference to Exhibit 3.1 to the Registrant’s Current Report on Form 8-K (File No. 001-39980), filed with the SEC on February 11,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563C1"/>
                  <w:sz w:val="20"/>
                  <w:u w:val="single"/>
                </w:rPr>
                <w:t>Amended and Restated Bylaws (incorporated by reference to Exhibit 3.1 to the Registrant’s Current Report on Form 8-K (File No. 001-39980), filed with the SEC on December 9,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563C1"/>
                  <w:sz w:val="20"/>
                  <w:u w:val="single"/>
                </w:rPr>
                <w:t>Certificate of Designations of the Series A Junior Participating Cumulative Preferred Stock of the Registrant (incorporated by reference to Exhibit 3.1 to the Registrant’s Current Report on Form 8-K (File No. 001-39980), filed with the SEC on March 7,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563C1"/>
                  <w:sz w:val="20"/>
                  <w:u w:val="single"/>
                </w:rPr>
                <w:t>Certificate of Elimination of the Series A Junior Participating Cumulative Preferred Stock of the Registrant (incorporated by reference to Exhibit 3.4 to the Registrant’s Annual Report on Form 10-K (File No. 001-39980), filed with the SEC on March 28,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563C1"/>
                  <w:sz w:val="20"/>
                  <w:u w:val="single"/>
                </w:rPr>
                <w:t>Certificate of Designation of Series B Non-Voting Convertible Preferred Stock (incorporated by reference to Exhibit 3.1 to the Registrant</w:t>
              </w:r>
            </w:hyperlink>
            <w:r>
              <w:rPr>
                <w:rFonts w:ascii="Times New Roman" w:hAnsi="Times New Roman"/>
                <w:color w:val="0563C1"/>
                <w:sz w:val="20"/>
              </w:rPr>
              <w:t>’</w:t>
            </w:r>
            <w:hyperlink r:id="rId22">
              <w:r>
                <w:rPr>
                  <w:rStyle w:val="InternetLink"/>
                  <w:rFonts w:ascii="Times New Roman" w:hAnsi="Times New Roman"/>
                  <w:color w:val="0563C1"/>
                  <w:sz w:val="20"/>
                  <w:u w:val="single"/>
                </w:rPr>
                <w:t>s Current Report on Form 8-K (File No. 001-39980), filed with the SEC on February 18,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4_1.htm">
              <w:r>
                <w:rPr>
                  <w:rStyle w:val="InternetLink"/>
                  <w:rFonts w:ascii="Times New Roman" w:hAnsi="Times New Roman"/>
                  <w:color w:val="0563C1"/>
                  <w:sz w:val="20"/>
                  <w:u w:val="single"/>
                </w:rPr>
                <w:t>Description of Securities</w:t>
              </w:r>
            </w:hyperlink>
            <w:r>
              <w:rPr>
                <w:rFonts w:ascii="Times New Roman" w:hAnsi="Times New Roman"/>
                <w:color w:val="0563C1"/>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4.2</w:t>
            </w: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4_2.htm">
              <w:r>
                <w:rPr>
                  <w:rStyle w:val="InternetLink"/>
                  <w:rFonts w:ascii="Times New Roman" w:hAnsi="Times New Roman"/>
                  <w:color w:val="0563C1"/>
                  <w:sz w:val="20"/>
                  <w:u w:val="single"/>
                </w:rPr>
                <w:t>Warrant to Purchase Stock, dated as of September 7, 2021, by and between Faeth Therapeutics, Inc. and Western Alliance Bank.</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563C1"/>
                  <w:sz w:val="20"/>
                  <w:u w:val="single"/>
                </w:rPr>
                <w:t>Form of Indemnification Agreement entered into by and between Sensei Biotherapeutics, Inc. and each director and executive officer (incorporated by reference to Exhibit 10.4 to the Registrant’s Registration Statement on Form S-1 (File No. 333-252138)).</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563C1"/>
                  <w:sz w:val="20"/>
                  <w:u w:val="single"/>
                </w:rPr>
                <w:t>Sensei Biotherapeutics, Inc. 2018 Equity Incentive Plan, as amended, and forms of agreements thereunder (incorporated by reference to Exhibit 10.1 to the Registrant’s Registration Statement on Form S-1 (File No. 333-252138)).</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563C1"/>
                  <w:sz w:val="20"/>
                  <w:u w:val="single"/>
                </w:rPr>
                <w:t>Sensei Biotherapeutics, Inc. 2021 Equity Incentive Plan and forms of agreements thereunder (incorporated by reference to Exhibit 10.2 to the Registrant’s Registration Statement on Form S-1 (File No. 333-252138)).</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563C1"/>
                  <w:sz w:val="20"/>
                  <w:u w:val="single"/>
                </w:rPr>
                <w:t>Sensei Biotherapeutics, Inc. 2021 Employee Stock Purchase Plan (incorporated by reference to Exhibit 10.10 to the Registrant’s Registration Statement on Form S-1 (File No. 333-252138)).</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563C1"/>
                  <w:sz w:val="20"/>
                  <w:u w:val="single"/>
                </w:rPr>
                <w:t>Form of Stock Option Grant Notice and Stock Option Agreement for Inducement Grants Outside of the Sensei Biotherapeutics, Inc. 2021 Equity Incentive Plan (incorporated by reference to Exhibit 10.4 to the Registrant’s Current Report on Form 8-K (File No. 001-39980), filed with the SEC on February 18, 2026)</w:t>
              </w:r>
            </w:hyperlink>
            <w:r>
              <w:rPr>
                <w:rFonts w:ascii="Times New Roman" w:hAnsi="Times New Roman"/>
                <w:color w:val="0563C1"/>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6.htm">
              <w:r>
                <w:rPr>
                  <w:rStyle w:val="InternetLink"/>
                  <w:rFonts w:ascii="Times New Roman" w:hAnsi="Times New Roman"/>
                  <w:color w:val="0563C1"/>
                  <w:sz w:val="20"/>
                  <w:u w:val="single"/>
                </w:rPr>
                <w:t>Faeth Therapeutics, Inc. 2019 Stock Incentive Plan and forms of agreements thereunder.</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563C1"/>
                  <w:sz w:val="20"/>
                  <w:u w:val="single"/>
                </w:rPr>
                <w:t>Non-Employee Director Compensation Policy (incorporated by reference to Exhibit 10.12 to the Registrant’s Annual Report on Form 10-K (File No. 001-39980) filed with the SEC on March 15,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563C1"/>
                  <w:sz w:val="20"/>
                  <w:u w:val="single"/>
                </w:rPr>
                <w:t>Lease Agreement, by and between Sensei Biotherapeutics, Inc. and Are-Maryland No. 8 Corp., dated as of October 22, 2020 (incorporated by reference to Exhibit 10.9 to the Registrant’s Registration Statement on Form S-1 (File No. 333-252138)).</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563C1"/>
                  <w:sz w:val="20"/>
                  <w:u w:val="single"/>
                </w:rPr>
                <w:t>Lease Agreement, by and between Sensei Biotherapeutics, Inc. and RREF II 451D, LLC, dated as of January 13, 2021 (incorporated by reference to Exhibit 10.14 to the Registrant’s Annual Report on Form 10-K (File No. 001-39980) filed with the SEC on March 15, 2022).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
        <w:gridCol w:w="146"/>
        <w:gridCol w:w="9441"/>
      </w:tblGrid>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1" w:type="dxa"/>
            <w:tcBorders/>
            <w:vAlign w:val="center"/>
          </w:tcPr>
          <w:p>
            <w:pPr>
              <w:pStyle w:val="TableContents"/>
              <w:bidi w:val="0"/>
              <w:spacing w:before="0" w:after="283"/>
              <w:jc w:val="left"/>
              <w:rPr>
                <w:sz w:val="4"/>
                <w:szCs w:val="4"/>
              </w:rPr>
            </w:pPr>
            <w:r>
              <w:rPr>
                <w:sz w:val="4"/>
                <w:szCs w:val="4"/>
              </w:rPr>
            </w:r>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10.htm">
              <w:r>
                <w:rPr>
                  <w:rStyle w:val="InternetLink"/>
                  <w:rFonts w:ascii="Times New Roman" w:hAnsi="Times New Roman"/>
                  <w:color w:val="0563C1"/>
                  <w:sz w:val="20"/>
                  <w:u w:val="single"/>
                </w:rPr>
                <w:t>Employment Agreement, dated July 31, 2024, by and between the Registrant and Christopher Gerry</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563C1"/>
                  <w:sz w:val="20"/>
                  <w:u w:val="single"/>
                </w:rPr>
                <w:t>Employment Agreement dated July 12, 2024, by and between the Registrant and Josiah Craver (incorporated by reference to Exhibit 10.1 to the Registrant’s Quarterly Report on Form 10-Q (File No. 001-39980) filed with the SEC on November 11, 2024).</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563C1"/>
                  <w:sz w:val="20"/>
                  <w:u w:val="single"/>
                </w:rPr>
                <w:t>Employment Letter between the Company and Anand Parikh, effective February 17, 2026 (incorporated by reference to Exhibit 10.3 to the Registrant’s Current Report on Form 8-K (File No. 001-39980), filed with the SEC on February 18, 2026)</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563C1"/>
                  <w:sz w:val="20"/>
                  <w:u w:val="single"/>
                </w:rPr>
                <w:t>Form of Consulting Agreement, dated November 14, 2025, entered into with John Celebi, Edward van der Horst and Stephanie Krebs. (incorporated by reference to Exhibit 10.1 to the Registrant’s Quarterly Report on Form 10-Q (File No. 001-39980) filed with the SEC on November 14, 2025).</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14.htm">
              <w:r>
                <w:rPr>
                  <w:rStyle w:val="InternetLink"/>
                  <w:rFonts w:ascii="Times New Roman" w:hAnsi="Times New Roman"/>
                  <w:color w:val="0563C1"/>
                  <w:sz w:val="20"/>
                  <w:u w:val="single"/>
                </w:rPr>
                <w:t>Amended Retention Agreement, dated as of February 17, 2025, entered into with Christopher Gerry.</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15.htm">
              <w:r>
                <w:rPr>
                  <w:rStyle w:val="InternetLink"/>
                  <w:rFonts w:ascii="Times New Roman" w:hAnsi="Times New Roman"/>
                  <w:color w:val="0563C1"/>
                  <w:sz w:val="20"/>
                  <w:u w:val="single"/>
                </w:rPr>
                <w:t>Amended Retention Agreement, dated as of February 17, 2025, entered into with Josiah Craver.</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563C1"/>
                  <w:sz w:val="20"/>
                  <w:u w:val="single"/>
                </w:rPr>
                <w:t>Open Market Sales Agreement</w:t>
              </w:r>
            </w:hyperlink>
            <w:hyperlink r:id="rId35">
              <w:r>
                <w:rPr>
                  <w:rStyle w:val="InternetLink"/>
                  <w:rFonts w:ascii="Times New Roman" w:hAnsi="Times New Roman"/>
                  <w:color w:val="0563C1"/>
                  <w:sz w:val="13"/>
                  <w:u w:val="single"/>
                </w:rPr>
                <w:t>SM</w:t>
              </w:r>
            </w:hyperlink>
            <w:hyperlink r:id="rId36">
              <w:r>
                <w:rPr>
                  <w:rStyle w:val="InternetLink"/>
                  <w:rFonts w:ascii="Times New Roman" w:hAnsi="Times New Roman"/>
                  <w:color w:val="0563C1"/>
                  <w:sz w:val="20"/>
                  <w:u w:val="single"/>
                </w:rPr>
                <w:t>, dated March 15, 2022, by and between the Registrant and Jefferies LLC (incorporated by reference to Exhibit 1.2 to the Registrant’s Registration Statement on Form S-3 (File No. 333-263567), filed with the SEC on March 15, 2022).</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563C1"/>
                  <w:sz w:val="20"/>
                  <w:u w:val="single"/>
                </w:rPr>
                <w:t>Form of Securities Purchase Agreement, dated as of February 17, 2026, by and among Sensei Biotherapeutics, Inc. and each investor listed on Exhibit A thereto (incorporated by reference to Exhibit 10.1 to the Registrant’s Current Report on Form 8-K (File No. 001-39980), filed with the SEC on February 18, 2026)</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563C1"/>
                  <w:sz w:val="20"/>
                  <w:u w:val="single"/>
                </w:rPr>
                <w:t>Form of Registration Rights Agreement, by and among Sensei Biotherapeutics, Inc. and certain investors signatory thereto (incorporated by reference to Exhibit 10.2 to the Registrant’s Current Report on Form 8-K (File No. 001-39980), filed with the SEC on February 18, 2026)</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19.htm">
              <w:r>
                <w:rPr>
                  <w:rStyle w:val="InternetLink"/>
                  <w:rFonts w:ascii="Times New Roman" w:hAnsi="Times New Roman"/>
                  <w:color w:val="0563C1"/>
                  <w:sz w:val="20"/>
                  <w:u w:val="single"/>
                </w:rPr>
                <w:t>Exclusive License Agreement, dated as of August 10, 2007, between Faeth Therapeutics, Inc. (as successor in interest to Calithera Biosciences, Inc., Millennium Pharmaceuticals, Inc. and Intellikine, Inc.) and The Regents of the University of California and acting through its Office of Technology Management, University of California San Francisco, as amended by Amendment No. 1 dated as of March 13, 2009, Amendment No. 2 dated as of July 8, 2009, Amendment No. 3 dated as of November 30, 2010, Amendment No. 4 dated September 8, 2014, Amendment No. 5 dated August 4, 2021, and Amendment No. 6 dated as of February 1, 2022.</w:t>
              </w:r>
            </w:hyperlink>
            <w:hyperlink w:anchor="snse-ex10_19.htm">
              <w:r>
                <w:rPr>
                  <w:rStyle w:val="InternetLink"/>
                  <w:rFonts w:ascii="Times New Roman" w:hAnsi="Times New Roman"/>
                  <w:color w:val="0563C1"/>
                  <w:sz w:val="20"/>
                </w:rPr>
                <w:t xml:space="preserve"> </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20.htm">
              <w:r>
                <w:rPr>
                  <w:rStyle w:val="InternetLink"/>
                  <w:rFonts w:ascii="Times New Roman" w:hAnsi="Times New Roman"/>
                  <w:color w:val="0563C1"/>
                  <w:sz w:val="20"/>
                  <w:u w:val="single"/>
                </w:rPr>
                <w:t>License Agreement, dated as of March 18, 2019, between Faeth Therapeutics, Inc. (as successor in interest to Petra Pharma Corporation and Ravenna Pharmaceuticals, Inc.) and Takeda Pharmaceutical Company Limited.</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21.htm">
              <w:r>
                <w:rPr>
                  <w:rStyle w:val="InternetLink"/>
                  <w:rFonts w:ascii="Times New Roman" w:hAnsi="Times New Roman"/>
                  <w:color w:val="0563C1"/>
                  <w:sz w:val="20"/>
                  <w:u w:val="single"/>
                </w:rPr>
                <w:t>Amended and Restated TAK-228 Asset Purchase Agreement, dated as of May 15, 2023, between Faeth Therapeutics, Inc. (as successor in interest to Calithera Biosciences, Inc.) and Millennium Pharmaceuticals, Inc.</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22.htm">
              <w:r>
                <w:rPr>
                  <w:rStyle w:val="InternetLink"/>
                  <w:rFonts w:ascii="Times New Roman" w:hAnsi="Times New Roman"/>
                  <w:color w:val="0563C1"/>
                  <w:sz w:val="20"/>
                  <w:u w:val="single"/>
                </w:rPr>
                <w:t>Letter Agreement, dated as of May 15, 2023, between Millennium Pharmaceuticals, Inc. and Faeth Therapeutics, Inc.</w:t>
              </w:r>
            </w:hyperlink>
            <w:hyperlink w:anchor="snse-ex10_22.htm">
              <w:r>
                <w:rPr>
                  <w:rStyle w:val="InternetLink"/>
                  <w:rFonts w:ascii="Times New Roman" w:hAnsi="Times New Roman"/>
                  <w:color w:val="0563C1"/>
                  <w:sz w:val="20"/>
                </w:rPr>
                <w:t xml:space="preserve"> </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23.htm">
              <w:r>
                <w:rPr>
                  <w:rStyle w:val="InternetLink"/>
                  <w:rFonts w:ascii="Times New Roman" w:hAnsi="Times New Roman"/>
                  <w:color w:val="0563C1"/>
                  <w:sz w:val="20"/>
                  <w:u w:val="single"/>
                </w:rPr>
                <w:t>Letter Agreement dated as of January 29, 2026, between Millennium Pharmaceuticals, Inc., Takeda Pharmaceutical Company Limited and Faeth Therapeutics, Inc.</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24.htm">
              <w:r>
                <w:rPr>
                  <w:rStyle w:val="InternetLink"/>
                  <w:rFonts w:ascii="Times New Roman" w:hAnsi="Times New Roman"/>
                  <w:color w:val="0563C1"/>
                  <w:sz w:val="20"/>
                  <w:u w:val="single"/>
                </w:rPr>
                <w:t>Retention Agreement, dated as of December 22, 2025, entered into with Christopher Gerry.</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10_25.htm">
              <w:r>
                <w:rPr>
                  <w:rStyle w:val="InternetLink"/>
                  <w:rFonts w:ascii="Times New Roman" w:hAnsi="Times New Roman"/>
                  <w:color w:val="0563C1"/>
                  <w:sz w:val="20"/>
                  <w:u w:val="single"/>
                </w:rPr>
                <w:t>Retention Agreement, dated as of December 22, 2025, entered into with Josiah Craver.</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563C1"/>
                  <w:sz w:val="20"/>
                  <w:u w:val="single"/>
                </w:rPr>
                <w:t>Insider Trading Policy(incorporated by reference to Exhibit 19.1 to the Registrant’s Annual Report on Form 10-K (File No. 001-39980), filed with the SEC on March 28, 2025).</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21_1.htm">
              <w:r>
                <w:rPr>
                  <w:rStyle w:val="InternetLink"/>
                  <w:rFonts w:ascii="Times New Roman" w:hAnsi="Times New Roman"/>
                  <w:color w:val="0563C1"/>
                  <w:sz w:val="20"/>
                  <w:u w:val="single"/>
                </w:rPr>
                <w:t>Subsidiaries of the Registrant.</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23_1.htm">
              <w:r>
                <w:rPr>
                  <w:rStyle w:val="InternetLink"/>
                  <w:rFonts w:ascii="Times New Roman" w:hAnsi="Times New Roman"/>
                  <w:color w:val="0563C1"/>
                  <w:sz w:val="20"/>
                  <w:u w:val="single"/>
                </w:rPr>
                <w:t>Consent of Deloitte &amp; Touche LLP, independent registered public accounting firm.</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 (included on signature page).</w:t>
            </w:r>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31_1.htm">
              <w:r>
                <w:rPr>
                  <w:rStyle w:val="InternetLink"/>
                  <w:rFonts w:ascii="Times New Roman" w:hAnsi="Times New Roman"/>
                  <w:color w:val="0563C1"/>
                  <w:sz w:val="20"/>
                  <w:u w:val="single"/>
                </w:rPr>
                <w:t>Certification of Principal Executive Officer Pursuant to Rules 13a-14(a) and 15d-14(a) under the Securities Exchange Act of 1934, as Adopted Pursuant to Section 302 of the Sarbanes-Oxley Act of 2002.</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31_2.htm">
              <w:r>
                <w:rPr>
                  <w:rStyle w:val="InternetLink"/>
                  <w:rFonts w:ascii="Times New Roman" w:hAnsi="Times New Roman"/>
                  <w:color w:val="0563C1"/>
                  <w:sz w:val="20"/>
                  <w:u w:val="single"/>
                </w:rPr>
                <w:t>Certification of Principal Financial Officer Pursuant to Rules 13a-14(a) and 15d-14(a) under the Securities Exchange Act of 1934, as Adopted Pursuant to Section 302 of the Sarbanes-Oxley Act of 2002.</w:t>
              </w:r>
            </w:hyperlink>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nse-ex32_1.htm">
              <w:r>
                <w:rPr>
                  <w:rStyle w:val="InternetLink"/>
                  <w:rFonts w:ascii="Times New Roman" w:hAnsi="Times New Roman"/>
                  <w:color w:val="0563C1"/>
                  <w:sz w:val="20"/>
                  <w:u w:val="single"/>
                </w:rPr>
                <w:t>Certification of Principal Executive Officer and Principal Financial Officer Pursuant to 18 U.S.C. Section 1350, as Adopted Pursuant to Section 906 of the Sarbanes-Oxley Act of 2002.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
        <w:gridCol w:w="146"/>
        <w:gridCol w:w="9396"/>
      </w:tblGrid>
      <w:tr>
        <w:trPr/>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96" w:type="dxa"/>
            <w:tcBorders/>
            <w:vAlign w:val="center"/>
          </w:tcPr>
          <w:p>
            <w:pPr>
              <w:pStyle w:val="TableContents"/>
              <w:bidi w:val="0"/>
              <w:spacing w:before="0" w:after="283"/>
              <w:jc w:val="left"/>
              <w:rPr>
                <w:sz w:val="4"/>
                <w:szCs w:val="4"/>
              </w:rPr>
            </w:pPr>
            <w:r>
              <w:rPr>
                <w:sz w:val="4"/>
                <w:szCs w:val="4"/>
              </w:rPr>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563C1"/>
                  <w:sz w:val="20"/>
                  <w:u w:val="single"/>
                </w:rPr>
                <w:t>Incentive Compensation Recoupment Policy, adopted on October 2, 2023 (incorporated by reference to Exhibit 97 to the Registrant’s Annual Report on Form 10-K (File No. 001-39980) filed with the SEC on February 29, 2024).</w:t>
              </w:r>
            </w:hyperlink>
            <w:hyperlink r:id="rId41">
              <w:r>
                <w:rPr>
                  <w:rStyle w:val="InternetLink"/>
                  <w:rFonts w:ascii="Times New Roman" w:hAnsi="Times New Roman"/>
                  <w:color w:val="0563C1"/>
                  <w:sz w:val="20"/>
                </w:rPr>
                <w:t xml:space="preserve"> </w:t>
              </w:r>
            </w:hyperlink>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 </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ind w:left="0" w:right="9360" w:hanging="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This certification is being furnished solely to accompany this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Pursuant to Item 601(b)(10) of Regulation S-K, portions of this exhibit (indicated by asterisks) have been omitted as the registrant has determined that the omitted information is (i) not material and (ii) the type of information that the registrant customarily and actually treats as private or confidential.</w:t>
      </w:r>
    </w:p>
    <w:p>
      <w:pPr>
        <w:pStyle w:val="TextBody"/>
        <w:bidi w:val="0"/>
        <w:jc w:val="left"/>
        <w:rPr>
          <w:rFonts w:ascii="Times New Roman" w:hAnsi="Times New Roman"/>
          <w:color w:val="000000"/>
          <w:sz w:val="20"/>
        </w:rPr>
      </w:pPr>
      <w:r>
        <w:rPr>
          <w:rFonts w:ascii="Times New Roman" w:hAnsi="Times New Roman"/>
          <w:color w:val="000000"/>
          <w:sz w:val="20"/>
        </w:rPr>
        <w:t> Certain schedules, annexes and attachments have been omitted pursuant to Item 601(a)(5) of Regulation S-K. The registrant agrees to provide, on a supplemental basis, a copy of any omitted schedules, annexes and attachments to the SEC or its staff upon request.</w:t>
      </w:r>
    </w:p>
    <w:p>
      <w:pPr>
        <w:pStyle w:val="TextBody"/>
        <w:bidi w:val="0"/>
        <w:spacing w:before="360" w:after="283"/>
        <w:jc w:val="left"/>
        <w:rPr>
          <w:rFonts w:ascii="Times New Roman" w:hAnsi="Times New Roman"/>
          <w:sz w:val="20"/>
        </w:rPr>
      </w:pPr>
      <w:bookmarkStart w:id="24" w:name="item_16_form_10k_summary"/>
      <w:bookmarkEnd w:id="24"/>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360" w:after="283"/>
        <w:ind w:left="0" w:right="0" w:firstLine="490"/>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179" w:type="dxa"/>
        <w:jc w:val="left"/>
        <w:tblInd w:w="0" w:type="dxa"/>
        <w:tblLayout w:type="fixed"/>
        <w:tblCellMar>
          <w:top w:w="28" w:type="dxa"/>
          <w:left w:w="28" w:type="dxa"/>
          <w:bottom w:w="28" w:type="dxa"/>
          <w:right w:w="28" w:type="dxa"/>
        </w:tblCellMar>
      </w:tblPr>
      <w:tblGrid>
        <w:gridCol w:w="556"/>
        <w:gridCol w:w="1456"/>
        <w:gridCol w:w="406"/>
        <w:gridCol w:w="276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Sensei Biotherapeutics,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30,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W. Gerry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Gerry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General Counsel</w:t>
            </w:r>
          </w:p>
        </w:tc>
      </w:tr>
    </w:tbl>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Christopher W. Gerry and Josiah Craver, jointly and severally, as his or her true and lawful attorneys-in-fact and agents, with full power of substitution and resubstitution, for him or her and in his or her name, place and stead, in any and all capacities, to sign this Annual Report on Form 10-K of Sensei Biotherapeutics,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9"/>
        <w:gridCol w:w="146"/>
        <w:gridCol w:w="6415"/>
        <w:gridCol w:w="146"/>
        <w:gridCol w:w="1429"/>
      </w:tblGrid>
      <w:tr>
        <w:trPr/>
        <w:tc>
          <w:tcPr>
            <w:tcW w:w="2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20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W. Gerry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President and General Counsel (</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2026</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Gerry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Josiah Craver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Senior Vice President of Finance (</w:t>
            </w:r>
            <w:r>
              <w:rPr>
                <w:rFonts w:ascii="Times New Roman" w:hAnsi="Times New Roman"/>
                <w:i/>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2026</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Josiah Craver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Bob Holmen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2026</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Bob Holmen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Ricks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2026</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Ricks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Kristian Humer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2026</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Kristian Humer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Phillip Donenberg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2026</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Phillip Donenberg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Anand Parikh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2026</w:t>
            </w:r>
          </w:p>
        </w:tc>
      </w:tr>
      <w:tr>
        <w:trPr/>
        <w:tc>
          <w:tcPr>
            <w:tcW w:w="20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Anand Parikh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8"/>
        <w:gridCol w:w="146"/>
        <w:gridCol w:w="751"/>
      </w:tblGrid>
      <w:tr>
        <w:trPr/>
        <w:tc>
          <w:tcPr>
            <w:tcW w:w="9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9308" w:type="dxa"/>
            <w:tcBorders/>
            <w:tcMar>
              <w:top w:w="0" w:type="dxa"/>
              <w:left w:w="0" w:type="dxa"/>
              <w:bottom w:w="0" w:type="dxa"/>
              <w:right w:w="0" w:type="dxa"/>
            </w:tcMar>
            <w:vAlign w:val="center"/>
          </w:tcPr>
          <w:p>
            <w:pPr>
              <w:pStyle w:val="TableContents"/>
              <w:pBdr/>
              <w:bidi w:val="0"/>
              <w:spacing w:before="0" w:after="283"/>
              <w:ind w:left="0" w:right="0" w:firstLine="240"/>
              <w:jc w:val="left"/>
              <w:rPr/>
            </w:pPr>
            <w:hyperlink w:anchor="report_independent_registered_public_acc">
              <w:r>
                <w:rPr>
                  <w:rStyle w:val="InternetLink"/>
                  <w:rFonts w:ascii="Times New Roman" w:hAnsi="Times New Roman"/>
                  <w:color w:val="0563C1"/>
                  <w:sz w:val="20"/>
                  <w:u w:val="single"/>
                </w:rPr>
                <w:t>Report of Independent Registered Public Accounting Firm</w:t>
              </w:r>
            </w:hyperlink>
            <w:r>
              <w:rPr>
                <w:rFonts w:ascii="Times New Roman" w:hAnsi="Times New Roman"/>
                <w:color w:val="000000"/>
                <w:sz w:val="24"/>
              </w:rPr>
              <w:t xml:space="preserve"> </w:t>
            </w:r>
            <w:r>
              <w:rPr>
                <w:rFonts w:ascii="Times New Roman" w:hAnsi="Times New Roman"/>
                <w:color w:val="000000"/>
                <w:sz w:val="20"/>
              </w:rPr>
              <w:t>(PCAOB ID No. 34)</w:t>
            </w:r>
          </w:p>
        </w:tc>
        <w:tc>
          <w:tcPr>
            <w:tcW w:w="146"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F-2</w:t>
            </w:r>
          </w:p>
        </w:tc>
      </w:tr>
      <w:tr>
        <w:trPr/>
        <w:tc>
          <w:tcPr>
            <w:tcW w:w="9308" w:type="dxa"/>
            <w:tcBorders/>
            <w:tcMar>
              <w:top w:w="0" w:type="dxa"/>
              <w:left w:w="0" w:type="dxa"/>
              <w:bottom w:w="0" w:type="dxa"/>
              <w:right w:w="0" w:type="dxa"/>
            </w:tcMar>
            <w:vAlign w:val="center"/>
          </w:tcPr>
          <w:p>
            <w:pPr>
              <w:pStyle w:val="TableContents"/>
              <w:pBdr/>
              <w:bidi w:val="0"/>
              <w:spacing w:before="0" w:after="283"/>
              <w:ind w:left="0" w:right="0" w:firstLine="240"/>
              <w:jc w:val="left"/>
              <w:rPr/>
            </w:pPr>
            <w:hyperlink w:anchor="consolidated_balance_sheets">
              <w:r>
                <w:rPr>
                  <w:rStyle w:val="InternetLink"/>
                  <w:rFonts w:ascii="Times New Roman" w:hAnsi="Times New Roman"/>
                  <w:color w:val="0563C1"/>
                  <w:sz w:val="20"/>
                  <w:u w:val="single"/>
                </w:rPr>
                <w:t>Consolidated Balance Sheets as of December 31, 2025 and 2024</w:t>
              </w:r>
            </w:hyperlink>
          </w:p>
        </w:tc>
        <w:tc>
          <w:tcPr>
            <w:tcW w:w="146"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F-3</w:t>
            </w:r>
          </w:p>
        </w:tc>
      </w:tr>
      <w:tr>
        <w:trPr/>
        <w:tc>
          <w:tcPr>
            <w:tcW w:w="9308" w:type="dxa"/>
            <w:tcBorders/>
            <w:tcMar>
              <w:top w:w="0" w:type="dxa"/>
              <w:left w:w="0" w:type="dxa"/>
              <w:bottom w:w="0" w:type="dxa"/>
              <w:right w:w="0" w:type="dxa"/>
            </w:tcMar>
            <w:vAlign w:val="center"/>
          </w:tcPr>
          <w:p>
            <w:pPr>
              <w:pStyle w:val="TableContents"/>
              <w:pBdr/>
              <w:bidi w:val="0"/>
              <w:spacing w:before="0" w:after="283"/>
              <w:ind w:left="0" w:right="0" w:firstLine="240"/>
              <w:jc w:val="left"/>
              <w:rPr/>
            </w:pPr>
            <w:hyperlink w:anchor="consolidated_statements_operations">
              <w:r>
                <w:rPr>
                  <w:rStyle w:val="InternetLink"/>
                  <w:rFonts w:ascii="Times New Roman" w:hAnsi="Times New Roman"/>
                  <w:color w:val="0563C1"/>
                  <w:sz w:val="20"/>
                  <w:u w:val="single"/>
                </w:rPr>
                <w:t>Consolidated Statements of Operations and Comprehensive Loss for the Years Ended December 31, 2025 and 2024</w:t>
              </w:r>
            </w:hyperlink>
          </w:p>
        </w:tc>
        <w:tc>
          <w:tcPr>
            <w:tcW w:w="146"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9308" w:type="dxa"/>
            <w:tcBorders/>
            <w:tcMar>
              <w:top w:w="0" w:type="dxa"/>
              <w:left w:w="0" w:type="dxa"/>
              <w:bottom w:w="0" w:type="dxa"/>
              <w:right w:w="0" w:type="dxa"/>
            </w:tcMar>
            <w:vAlign w:val="center"/>
          </w:tcPr>
          <w:p>
            <w:pPr>
              <w:pStyle w:val="TableContents"/>
              <w:pBdr/>
              <w:bidi w:val="0"/>
              <w:spacing w:before="0" w:after="20"/>
              <w:ind w:left="0" w:right="0" w:firstLine="240"/>
              <w:jc w:val="left"/>
              <w:rPr/>
            </w:pPr>
            <w:hyperlink w:anchor="consolidated_statements_convertible_pref">
              <w:r>
                <w:rPr>
                  <w:rStyle w:val="InternetLink"/>
                  <w:rFonts w:ascii="Times New Roman" w:hAnsi="Times New Roman"/>
                  <w:color w:val="0563C1"/>
                  <w:sz w:val="20"/>
                  <w:u w:val="single"/>
                </w:rPr>
                <w:t>Consolidated Statements of Common Stock and Stockholders’ Equity for the Years Ended December 31,</w:t>
              </w:r>
            </w:hyperlink>
            <w:hyperlink w:anchor="consolidated_statements_convertible_pref">
              <w:r>
                <w:rPr>
                  <w:rStyle w:val="InternetLink"/>
                  <w:rFonts w:ascii="Times New Roman" w:hAnsi="Times New Roman"/>
                  <w:color w:val="0563C1"/>
                  <w:sz w:val="20"/>
                </w:rPr>
                <w:t xml:space="preserve"> </w:t>
              </w:r>
            </w:hyperlink>
            <w:hyperlink w:anchor="consolidated_balance_sheets">
              <w:r>
                <w:rPr>
                  <w:rStyle w:val="InternetLink"/>
                  <w:rFonts w:ascii="Times New Roman" w:hAnsi="Times New Roman"/>
                  <w:color w:val="0563C1"/>
                  <w:sz w:val="20"/>
                  <w:u w:val="single"/>
                </w:rPr>
                <w:t>2025 and 2024</w:t>
              </w:r>
            </w:hyperlink>
          </w:p>
        </w:tc>
        <w:tc>
          <w:tcPr>
            <w:tcW w:w="146" w:type="dxa"/>
            <w:tcBorders/>
            <w:tcMar>
              <w:top w:w="0" w:type="dxa"/>
              <w:left w:w="0" w:type="dxa"/>
              <w:bottom w:w="0" w:type="dxa"/>
              <w:right w:w="0" w:type="dxa"/>
            </w:tcMar>
            <w:vAlign w:val="center"/>
          </w:tcPr>
          <w:p>
            <w:pPr>
              <w:pStyle w:val="TableContents"/>
              <w:pBdr/>
              <w:bidi w:val="0"/>
              <w:spacing w:before="0" w:after="20"/>
              <w:ind w:left="0" w:right="0" w:hanging="24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9308" w:type="dxa"/>
            <w:tcBorders/>
            <w:tcMar>
              <w:top w:w="0" w:type="dxa"/>
              <w:left w:w="0" w:type="dxa"/>
              <w:bottom w:w="0" w:type="dxa"/>
              <w:right w:w="0" w:type="dxa"/>
            </w:tcMar>
            <w:vAlign w:val="center"/>
          </w:tcPr>
          <w:p>
            <w:pPr>
              <w:pStyle w:val="TableContents"/>
              <w:pBdr/>
              <w:bidi w:val="0"/>
              <w:spacing w:before="0" w:after="283"/>
              <w:ind w:left="0" w:right="0" w:firstLine="240"/>
              <w:jc w:val="left"/>
              <w:rPr/>
            </w:pPr>
            <w:hyperlink w:anchor="consolidated_statements_cash_flows">
              <w:r>
                <w:rPr>
                  <w:rStyle w:val="InternetLink"/>
                  <w:rFonts w:ascii="Times New Roman" w:hAnsi="Times New Roman"/>
                  <w:color w:val="0563C1"/>
                  <w:sz w:val="20"/>
                  <w:u w:val="single"/>
                </w:rPr>
                <w:t>Consolidated Statements of Cash Flows for the Years Ended December 31,</w:t>
              </w:r>
            </w:hyperlink>
            <w:hyperlink w:anchor="consolidated_statements_cash_flows">
              <w:r>
                <w:rPr>
                  <w:rStyle w:val="InternetLink"/>
                  <w:rFonts w:ascii="Times New Roman" w:hAnsi="Times New Roman"/>
                  <w:color w:val="0563C1"/>
                  <w:sz w:val="20"/>
                </w:rPr>
                <w:t xml:space="preserve"> </w:t>
              </w:r>
            </w:hyperlink>
            <w:hyperlink w:anchor="consolidated_balance_sheets">
              <w:r>
                <w:rPr>
                  <w:rStyle w:val="InternetLink"/>
                  <w:rFonts w:ascii="Times New Roman" w:hAnsi="Times New Roman"/>
                  <w:color w:val="0563C1"/>
                  <w:sz w:val="20"/>
                  <w:u w:val="single"/>
                </w:rPr>
                <w:t>2025 and 2024</w:t>
              </w:r>
            </w:hyperlink>
          </w:p>
        </w:tc>
        <w:tc>
          <w:tcPr>
            <w:tcW w:w="146"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9308" w:type="dxa"/>
            <w:tcBorders/>
            <w:tcMar>
              <w:top w:w="0" w:type="dxa"/>
              <w:left w:w="0" w:type="dxa"/>
              <w:bottom w:w="0" w:type="dxa"/>
              <w:right w:w="0" w:type="dxa"/>
            </w:tcMar>
            <w:vAlign w:val="center"/>
          </w:tcPr>
          <w:p>
            <w:pPr>
              <w:pStyle w:val="TableContents"/>
              <w:pBdr/>
              <w:bidi w:val="0"/>
              <w:spacing w:before="0" w:after="283"/>
              <w:ind w:left="0" w:right="0" w:firstLine="240"/>
              <w:jc w:val="left"/>
              <w:rPr/>
            </w:pPr>
            <w:hyperlink w:anchor="notes_to_consolidated_financial_statemen">
              <w:r>
                <w:rPr>
                  <w:rStyle w:val="InternetLink"/>
                  <w:rFonts w:ascii="Times New Roman" w:hAnsi="Times New Roman"/>
                  <w:color w:val="0563C1"/>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5" w:name="report_independent_registered_public_acc"/>
      <w:bookmarkEnd w:id="25"/>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Sensei Biotherapeutics,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audited the accompanying consolidated balance sheets of Sensei Biotherapeutics, Inc. and subsidiaries (the "Company") as of December 31, 2025 and 2024, the related consolidated statements of operations and comprehensive loss, common stock and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As discussed in Note 1 to the financial statements, the Company may be required to make significant cash payments to holders of Series B Non-Voting Convertible Preferred Stock that could substantially reduce the Company’s available cash resources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rFonts w:ascii="Times New Roman" w:hAnsi="Times New Roman"/>
          <w:color w:val="000000"/>
          <w:sz w:val="20"/>
        </w:rPr>
      </w:pPr>
      <w:r>
        <w:rPr>
          <w:rFonts w:ascii="Times New Roman" w:hAnsi="Times New Roman"/>
          <w:color w:val="000000"/>
          <w:sz w:val="20"/>
        </w:rPr>
        <w:t xml:space="preserve">/s/ Deloitte &amp; Touche LLP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Baltimore, Maryland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March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6" w:name="consolidated_balance_sheets"/>
      <w:bookmarkEnd w:id="26"/>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4"/>
        <w:gridCol w:w="146"/>
        <w:gridCol w:w="213"/>
        <w:gridCol w:w="852"/>
        <w:gridCol w:w="166"/>
        <w:gridCol w:w="146"/>
        <w:gridCol w:w="213"/>
        <w:gridCol w:w="852"/>
        <w:gridCol w:w="393"/>
      </w:tblGrid>
      <w:tr>
        <w:trPr/>
        <w:tc>
          <w:tcPr>
            <w:tcW w:w="7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financing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Compensation and employee benefits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w:t>
            </w:r>
          </w:p>
        </w:tc>
        <w:tc>
          <w:tcPr>
            <w:tcW w:w="3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3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and 10,000,000 shares authorized as of December 31, 2025 and December 31, 2024; zero shares issued and outstanding at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and 12,500,000 shares authorized as of December 31, 2025 and December 31, 2024; 1,261,685 and 1,258,940 shares issued and outstanding at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300,451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(262,052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7" w:name="consolidated_statements_operations"/>
      <w:bookmarkEnd w:id="27"/>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52"/>
        <w:gridCol w:w="146"/>
        <w:gridCol w:w="211"/>
        <w:gridCol w:w="931"/>
        <w:gridCol w:w="166"/>
        <w:gridCol w:w="146"/>
        <w:gridCol w:w="211"/>
        <w:gridCol w:w="931"/>
        <w:gridCol w:w="611"/>
      </w:tblGrid>
      <w:tr>
        <w:trPr/>
        <w:tc>
          <w:tcPr>
            <w:tcW w:w="6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Long-lived 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1,255,776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center"/>
        <w:rPr/>
      </w:pPr>
      <w:r>
        <w:rPr/>
        <w:t> </w:t>
      </w:r>
    </w:p>
    <w:p>
      <w:pPr>
        <w:pStyle w:val="TextBody"/>
        <w:bidi w:val="0"/>
        <w:ind w:left="0" w:right="0" w:firstLine="49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8" w:name="consolidated_statements_convertible_pref"/>
      <w:bookmarkEnd w:id="28"/>
      <w:r>
        <w:rPr>
          <w:rFonts w:ascii="Times New Roman" w:hAnsi="Times New Roman"/>
          <w:b/>
          <w:color w:val="000000"/>
          <w:sz w:val="20"/>
        </w:rPr>
        <w:t>CONSOLIDATED STATEMENTS OF COMMON STOCK AND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1"/>
        <w:gridCol w:w="146"/>
        <w:gridCol w:w="146"/>
        <w:gridCol w:w="721"/>
        <w:gridCol w:w="151"/>
        <w:gridCol w:w="146"/>
        <w:gridCol w:w="216"/>
        <w:gridCol w:w="415"/>
        <w:gridCol w:w="146"/>
        <w:gridCol w:w="146"/>
        <w:gridCol w:w="244"/>
        <w:gridCol w:w="817"/>
        <w:gridCol w:w="151"/>
        <w:gridCol w:w="146"/>
        <w:gridCol w:w="207"/>
        <w:gridCol w:w="739"/>
        <w:gridCol w:w="151"/>
        <w:gridCol w:w="146"/>
        <w:gridCol w:w="454"/>
        <w:gridCol w:w="802"/>
        <w:gridCol w:w="151"/>
        <w:gridCol w:w="146"/>
        <w:gridCol w:w="275"/>
        <w:gridCol w:w="872"/>
        <w:gridCol w:w="400"/>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1,251,432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296,999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(231,895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64,895</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3,135</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Issuance of equity in exchange for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Surrender of shares for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Vesting of restricted stock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Employee stock purchase plan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(30,157</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1,258,940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300,451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(262,052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38,386</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Surrender of shares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Vesting of restricted stock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Cash-in-lieu of fractional shares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Exercise of stock options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(21,085</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1,261,685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301,728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(283,137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18,592</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center"/>
        <w:rPr/>
      </w:pPr>
      <w:r>
        <w:rPr/>
        <w:t> </w:t>
      </w:r>
    </w:p>
    <w:p>
      <w:pPr>
        <w:pStyle w:val="TextBody"/>
        <w:bidi w:val="0"/>
        <w:ind w:left="0" w:right="0" w:firstLine="49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9" w:name="consolidated_statements_cash_flows"/>
      <w:bookmarkEnd w:id="2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85"/>
        <w:gridCol w:w="146"/>
        <w:gridCol w:w="247"/>
        <w:gridCol w:w="837"/>
        <w:gridCol w:w="209"/>
        <w:gridCol w:w="183"/>
        <w:gridCol w:w="247"/>
        <w:gridCol w:w="837"/>
        <w:gridCol w:w="614"/>
      </w:tblGrid>
      <w:tr>
        <w:trPr/>
        <w:tc>
          <w:tcPr>
            <w:tcW w:w="6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(21,085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financing right-of-use asset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financing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Compensation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(24,670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(44,595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44,693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67,181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19,772</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22,440</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Principal payments for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the sale of financing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 of employee restricted stock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Employee stock purchase plan 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in lieu of fractional shares for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options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8,668</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9,994</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financing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equity in exchange for compensation included in compensation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Initial measurement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Initial measurement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Initial measurement of 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center"/>
        <w:rPr/>
      </w:pPr>
      <w:r>
        <w:rPr/>
        <w:t> </w:t>
      </w:r>
    </w:p>
    <w:p>
      <w:pPr>
        <w:pStyle w:val="TextBody"/>
        <w:bidi w:val="0"/>
        <w:ind w:left="0" w:right="0" w:firstLine="49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SENSEI BIOTHERAPEUTICS,</w:t>
      </w:r>
      <w:r>
        <w:rPr>
          <w:rFonts w:ascii="Times New Roman" w:hAnsi="Times New Roman"/>
          <w:caps/>
          <w:color w:val="000000"/>
          <w:sz w:val="20"/>
        </w:rPr>
        <w:t xml:space="preserve"> </w:t>
      </w:r>
      <w:r>
        <w:rPr>
          <w:rFonts w:ascii="Times New Roman" w:hAnsi="Times New Roman"/>
          <w:b/>
          <w:caps/>
          <w:color w:val="000000"/>
          <w:sz w:val="20"/>
        </w:rPr>
        <w:t>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0" w:name="notes_to_consolidated_financial_statemen"/>
      <w:bookmarkEnd w:id="30"/>
      <w:r>
        <w:rPr>
          <w:rFonts w:ascii="Times New Roman" w:hAnsi="Times New Roman"/>
          <w:b/>
          <w:caps/>
          <w:color w:val="000000"/>
          <w:sz w:val="20"/>
        </w:rPr>
        <w:t>NOTES TO consolidated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 ORGANIZATION AND OPERATIONS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Sensei Biotherapeutics, Inc. (the “Company” or “Sensei”), a clinical-stage biotechnology company, was incorporated in 1999 as a Maryland corporation until being incorporated in Delaware on December 1, 2017. The Company is focused on the discovery and development of next-generation therapeutics for cancer patients. </w:t>
      </w:r>
    </w:p>
    <w:p>
      <w:pPr>
        <w:pStyle w:val="TextBody"/>
        <w:bidi w:val="0"/>
        <w:spacing w:before="360" w:after="283"/>
        <w:ind w:left="245" w:right="0" w:hanging="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Since its inception, the Company has devoted substantially all of its resources to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Since its inception, the Company has incurred substantial losses and had a net loss of $21.1 million for the year ended December 31, 2025. As of December 31, 2025, the Company had an accumulated deficit of $283.1 million. The Company expects to generate operating losses and negative operating cash flows for the foreseeable future.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Company will need additional financing to support its continuing operations and pursue its current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As of December 31, 2025, the Company had $21.1 million of cash, cash equivalents and marketable securities. In February 2026, the company completed a private placement financing through the sale of Series B Non-Voting Convertible Preferred Stock, resulting in gross proceeds of $200 million.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Series B Preferred Stock is subject to automatic conversion into Common Stock upon the third business day following the Company’s receipt of stockholder approval in accordance with Nasdaq listing rules. The Certificate of Designation of Preferences, Rights and Limitations of the Series B Non-Voting Convertible Preferred Stock (the “Certificate of Designation”) provides that, at any time following the earlier of (i) stockholder approval or (ii) six months after the initial issuance of the Series B Preferred Stock, if the Company fails to timely deliver shares of Common Stock to a converting holder in accordance with the terms of the Certificate of Designation, such holder may require the Company to pay cash in an amount equal to the fair value of the undelivered shares.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Company’s ability to satisfy these potential cash settlement obligations is not entirely within its control, as it is contingent on, among other things, the Company’s ability to obtain stockholder approval and to deliver shares of Common Stock upon conversion within the timeframes required by the Certificate of Designation. If the Company is unable to obtain stockholder approval in a timely manner, or is otherwise unable to timely deliver shares of Common Stock upon conversion, holders who submit conversion notices after the applicable trigger date could require the Company to make significant cash payments that could substantially reduce the Company’s available cash resources.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After evaluating the conditions described above in the aggregate, the Company has concluded that there is substantial doubt about its ability to continue as a going concern. The accompanying consolidated financial statements have been prepared on the basis that the Company will continue to operate as a going concern, which contemplates it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June 16, 2025, at 5:00 p.m. Eastern Time, the Company effected a 1-for-20 reverse stock split of the Company’s issued and outstanding shares of common stock and a corresponding reduction in the total number of authorized shares of its common stock from 250,000,000 shares to 12,500,000 shares, as authorized at the Company’s 2025 annual meeting of stockholders held on May 21, 2025 and approved by the Company’s board of directors on June 3, 2025. As a result of the Reverse Stock Split, every 20 shares of issued and outstanding common stock were automatically combined into one issued and outstanding share of common stock, without any change in the par value of $0.0001 per share. No fractional shares were issued as a result of the Reverse Stock Split. Stockholders entitled to a fractional share received a cash payment based on the average closing sales price of the Company’s common stock on The Nasdaq Stock Market for the five trading days immediately preceding the filing date of the Certificate of Amendment. All historical share and per share amounts reflected throughout the financial statements have been adjusted to reflect the Reverse Stock Split. Proportionate adjustments were made to the per share exercise price and the number of shares of common stock that may be purchased upon exercise of outstanding stock options and warrants, the number of shares of common stock reserved for future issuance under the 2021 Equity Incentive Plan (the “2021 Plan”) and the 2021 Employee Stock Purchase Plan (the “2021 ESPP”).</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prepared the accompanying consolidated financial statements in conformity with generally accepted accounting principles in the United States (“US GAAP”). The consolidated financial statements include those accounts of the Company and its subsidiaries after elimination of all intercompany accounts and transactions. </w:t>
      </w:r>
    </w:p>
    <w:p>
      <w:pPr>
        <w:pStyle w:val="TextBody"/>
        <w:bidi w:val="0"/>
        <w:spacing w:before="160" w:after="283"/>
        <w:ind w:left="244" w:right="0" w:hanging="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presented. Estimates are used for, but are not limited to, stock-based compensation, accrued research and development expenses, depreciation of equipment, fair value of financial instruments, the Company’s ability to continue as a going concern and contingencies. Actual results may differ from those estimates.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Cash equivalents are highly liquid investments with an original maturity of 90 days or less at the date of purchase and consist of time deposits and investments in money market funds with commercial banks and financial institutions. As of December 31, 2025, cash and cash equivalents included cash on deposit at commercial banks, and a money market fund that invests in U.S. Government securities.</w:t>
      </w:r>
    </w:p>
    <w:p>
      <w:pPr>
        <w:pStyle w:val="TextBody"/>
        <w:bidi w:val="0"/>
        <w:spacing w:before="360" w:after="283"/>
        <w:ind w:left="244" w:right="0" w:hanging="0"/>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Investments consist of marketable securities with original maturities greater than 90 days at the date of purchase.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(Level 2). Unrealized gains and losses are reported as the accumulated other comprehensive items in stockholders’ equity. Amortization and accretion of premiums and discounts are recorded in other income (expense). Realized gains or losses on debt securities are included in interest income or interest expense, respectively. If any adjustment to fair value reflects a decline in value of the investment, the Company considers all available evidence to evaluate the extent to which the decline is other than temporary and, if so, marks the investment to market on the Company’s statement of operations and comprehensive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 xml:space="preserve">Balance Sheet Risk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maintains each of its cash, cash equivalents and available-for-sale securities balances with high-quality and accredited financial institutions and accordingly, such funds are not exposed to significant credit risk. Periodically the Company maintains deposits in accredited financial intuitions in excess of the federally insured limits. The Company does not believe that it is subject to the unusual credit risk beyond the normal credit risk associated with the commercial banking relationships.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lease inception, the Company determines if an arrangement is or contains a lease, and if so, assesses the lease for classification as either an operating or finance lease.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leased asset is of such a specialized nature that it is expected to have no alternative use to the lessor at the end of the lease. A lease is classified as an operating lease if it does not meet any of these criteria.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Leases with a term greater than one year are recognized on the balance sheet as right-of-use (“ROU”) assets and current and non-current lease liabilities, as applicable. Leases with a term of one year or less are expensed as rent in the period incurred. The Company elected not to separate lease and non-lease components for all underlying assets. As most of the Company’s leases do not provide an implicit rate, the Company uses its incremental borrowing rate based on the information available at the commencement date in determining the present value of lease payments. The incremental borrowing rate is determined by using the rate of interest that the Company would pay to borrow on a collateralized basis an amount equal to the lease payments for a similar term and in a similar economic environment. Lease terms include options to extend or terminate the lease when it is reasonably certain that the Company will exercise the options. For leases that existed prior to the adoption of Accounting Standards Update No. 2016-02, Leases (Topic 842) (“ASC 842”), the Company used the remaining lease term to determine the appropriate incremental borrowing rate.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Property and equipment are recorded at cost and depreciated or amortized over the estimated useful lives of the assets. Repairs or maintenance costs are expensed as incurred. Depreciation is computed using the straight-line method over the following estimated useful lives: </w:t>
      </w:r>
    </w:p>
    <w:tbl>
      <w:tblPr>
        <w:tblW w:w="3887" w:type="dxa"/>
        <w:jc w:val="left"/>
        <w:tblInd w:w="0" w:type="dxa"/>
        <w:tblLayout w:type="fixed"/>
        <w:tblCellMar>
          <w:top w:w="28" w:type="dxa"/>
          <w:left w:w="28" w:type="dxa"/>
          <w:bottom w:w="28" w:type="dxa"/>
          <w:right w:w="28" w:type="dxa"/>
        </w:tblCellMar>
      </w:tblPr>
      <w:tblGrid>
        <w:gridCol w:w="2626"/>
        <w:gridCol w:w="1261"/>
      </w:tblGrid>
      <w:tr>
        <w:trPr/>
        <w:tc>
          <w:tcPr>
            <w:tcW w:w="262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Office equipment and furniture</w:t>
            </w:r>
          </w:p>
        </w:tc>
        <w:tc>
          <w:tcPr>
            <w:tcW w:w="12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3—7 years</w:t>
            </w:r>
          </w:p>
        </w:tc>
      </w:tr>
      <w:tr>
        <w:trPr/>
        <w:tc>
          <w:tcPr>
            <w:tcW w:w="262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Research equipment</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 years</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Leasehold improvements are depreciated over the shorter of their useful life or the life of the lease.</w:t>
      </w:r>
    </w:p>
    <w:p>
      <w:pPr>
        <w:pStyle w:val="TextBody"/>
        <w:bidi w:val="0"/>
        <w:spacing w:before="360" w:after="283"/>
        <w:ind w:left="0" w:right="0" w:firstLine="245"/>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US GAAP requires disclosure of fair value information about financial instruments, whether or not recognized in the balance sheet, for which it is practicable to estimate that value. The framework provides a fair value hierarchy that prioritizes the inputs for the valuation techniques. The hierarchy gives the highest priority to unadjusted quoted prices in active markets for identical assets or liabilities (Level 1 measurements) and the lowest priority to unobservable inputs (Level 3 measurements) and minimizes the use of unobservable inputs. The most observable inputs are used, when available. The three levels of the fair value hierarchy are described as follows: </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Level 1</w:t>
      </w:r>
      <w:r>
        <w:rPr>
          <w:rFonts w:ascii="Times New Roman" w:hAnsi="Times New Roman"/>
          <w:color w:val="000000"/>
          <w:sz w:val="20"/>
        </w:rPr>
        <w:t xml:space="preserve">—Inputs to the valuation methodology are unadjusted quoted prices for identical assets or liabilities in active markets that the Company has the ability to access.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Level 2</w:t>
      </w:r>
      <w:r>
        <w:rPr>
          <w:rFonts w:ascii="Times New Roman" w:hAnsi="Times New Roman"/>
          <w:color w:val="000000"/>
          <w:sz w:val="20"/>
        </w:rPr>
        <w:t xml:space="preserve">—Inputs to the valuation methodology include quoted prices for similar assets and liabilities in active markets; quoted prices for identical or similar assets and liabilities in markets that are not active; inputs other than quoted prices that are observable for the asset or liability; and inputs that are derived from, or corroborated by, observable market data by correlation or other means.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Level 3</w:t>
      </w:r>
      <w:r>
        <w:rPr>
          <w:rFonts w:ascii="Times New Roman" w:hAnsi="Times New Roman"/>
          <w:color w:val="000000"/>
          <w:sz w:val="20"/>
        </w:rPr>
        <w:t xml:space="preserve">—Inputs to the valuation methodology are unobservable and significant to the fair value measurement. </w:t>
      </w:r>
    </w:p>
    <w:p>
      <w:pPr>
        <w:pStyle w:val="TextBody"/>
        <w:bidi w:val="0"/>
        <w:spacing w:before="360" w:after="283"/>
        <w:ind w:left="244" w:right="0" w:hanging="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Long-lived assets, such as property and equipment and right of use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cash flows expected to be generated by the asset. Impairment losses are then measured by comparing the fair value of assets to their carrying amounts. The Company recorded impairments of $1.0 million for the year ended December 31, 2024, consisting of $0.4 million related to property and equipment and $0.6 million related to right-of-use assets. There were no impairments recorded for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costs are expensed in the period incurred. Research and development costs include payroll and personnel expense; consulting costs; external contract research and development costs; raw materials and allocated overhead such as depreciation and amortization, rent and utilities. Advance payments for goods and services to be used in future research and development activities are recorded as prepaid expenses and are expensed over the service period as the services are provided or when the goods are consumed.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Clinical trial costs are a component of research and development expenses. The Company estimates expenses incurred for clinical trials that are in process based on services performed under contractual agreements with clinical research organizations and actual clinical investigators. Included in the estimates are (1) the fee per patient enrolled as specified in the clinical trial contract with each institution participating in the clinical trial and (2) progressive data on patient enrollments obtained from participating clinical trial sites and the actual services performed. Changes in clinical trial assumptions, such as the length of time estimated to enroll all patients, rate of screening failures, patient drop-out rates, number and nature of adverse event reports, and the total number of patients enrolled can impact the average and expected cost per patient and the overall cost of the clinical trial. The Company monitors the progress of the trials and their related activities and adjusts, when appropriate, the accruals accordingly. Adjustments to accruals are charged to expense in the period in which the facts that give rise to the adjustment become known. In the event of early termination of a clinical trial or site, the Company would accrue an amount based on estimates of the remaining noncancellable obligations associated with winding down the clinical trial or cancelation of a participating site.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all stock-based compensation, including stock options, restricted stock units and warrants, at fair value and recognizes stock-based compensation expense for those equity awards, net of actual forfeitures, over the requisite service period, which is generally the vesting period of the respective award. Stock-based compensation is classified in the accompanying consolidated statements of operations and comprehensive loss based on the function to which the related services are provided.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each stock option grant is estimated on the date of grant using the Black-Scholes option-pricing model. The assumptions used in calculating the fair value of stock-based payment awards represent management’s best estimates. The Company lacks sufficient company-specific historical and implied volatility information. Therefore, it estimates its expected stock volatility based on the historical volatility of a publicly traded set of peer companies in addition to its own historical volatility and will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The fair value of restricted stock units are equal to the closing sale price of the Company’s common stock on the date of grant.</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Income taxes are accounted for using the asset and liability method of accounting for taxes. Deferred tax assets and liabilities are recognized for the future tax consequences attributable to differences between the consolidated financial statement carrying amounts of existing assets and liabilities and their respective tax bases, including operating loss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valuation allowance is established when necessary to reduce net deferred tax assets to the amount expected to be realized through future operations. Income tax expense consists of taxes payable for the current period and the net change during the period in deferred tax assets and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evaluates its uncertain tax positions based on a determination of whether and how much of a tax benefit taken by the Company in its tax filings or positions is more likely than not to be realized. Potential interest and penalties associated with any uncertain tax positions are recorded as a component of income tax expense. Management has evaluated the Company’s tax position and concluded that the Company has taken no uncertain tax positions that would require adjustment or disclosure in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Basic net loss per share attributable to common stockholders is computed by dividing the net loss attributable to common stockholders by the weighted 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Diluted loss per share attributable to common stockholders is computed by dividing the diluted net loss attributable to common stockholders by the weighted average number of shares of common stock outstanding for the period, including potential dilutive common stock. For purpose of this calculation, outstanding stock options, stock warrants and convertible preferred stock are considered potential dilutive common stock and are excluded from the computation of net loss per share as their effect is anti-dilutive.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shares of common stock are not assumed to be outstanding if their effect is anti-dilutive. The Company reported a net loss attributable to common stockholders for the years ended December 31, 2025 and 2024.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manages its operations as a single segment, dedicated to improving outcomes for cancer patients by developing novel therapeutics, including through multi-node inhibition of critical oncogenic pathways. The Company’s Chief Operating Decision Maker (“CODM”), the President, reviews the operating results on an aggregate basis and manages the operations as a single operating segment. The CODM oversees performance assessment and resource allocation by reviewing net loss, from our consolidated statement of operations, to guide operational decisions, strategic planning, and forecasting for future periods. To support this oversight, operating expenses are closely tracked to compare budget against actual results. As a single reporting segment, the significant operating expense categories regularly provided to the CODM include research and development, and general and administrative expenses. These expense categories are reported as separate line items in our consolidated statements of operations. All segment assets are reflected as ‘total assets’ in the consolidated balance sheet. All equipment, leasehold improvements, and fixed assets are located in the United States, and agreements with partners are denominated in U.S. dollars, unless otherwise noted.</w:t>
      </w:r>
    </w:p>
    <w:p>
      <w:pPr>
        <w:pStyle w:val="TextBody"/>
        <w:bidi w:val="0"/>
        <w:spacing w:before="360" w:after="283"/>
        <w:ind w:left="244" w:right="0" w:hanging="0"/>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of 2012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 unless otherwise stated.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will remain an “emerging growth company” until the earliest of (i) December 31, 2026, (ii) the last day of the fiscal year in which it has total annual gross revenues of $1.235 billion or more, (iii) the date on which it has issued more than $1.0 billion in nonconvertible debt during the previous three years or (iv) the date on which it is deemed to be a large accelerated filer under the rules of the Securities and Exchange Commission (“SEC”), which generally is when it has more than $700 million in market value of its stock held by non-affiliates.</w:t>
      </w:r>
    </w:p>
    <w:p>
      <w:pPr>
        <w:pStyle w:val="TextBody"/>
        <w:bidi w:val="0"/>
        <w:spacing w:before="360" w:after="120"/>
        <w:ind w:left="0" w:right="0" w:firstLine="245"/>
        <w:jc w:val="left"/>
        <w:rPr>
          <w:rFonts w:ascii="Times New Roman" w:hAnsi="Times New Roman"/>
          <w:b/>
          <w:i/>
          <w:color w:val="000000"/>
          <w:sz w:val="20"/>
        </w:rPr>
      </w:pPr>
      <w:r>
        <w:rPr>
          <w:rFonts w:ascii="Times New Roman" w:hAnsi="Times New Roman"/>
          <w:b/>
          <w:i/>
          <w:color w:val="000000"/>
          <w:sz w:val="20"/>
        </w:rPr>
        <w:t>Recently Adopted New Accounting Standard</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In December 2023, the Financial Accounting Standards Board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For the year ended December 31, 2025, the Company early adopted this ASU retrospectively. The adoption only impacted the Company’s income tax disclosures and had no impact on its results of operations, cash flows, or financial condition.</w:t>
      </w:r>
    </w:p>
    <w:p>
      <w:pPr>
        <w:pStyle w:val="TextBody"/>
        <w:bidi w:val="0"/>
        <w:spacing w:before="360" w:after="283"/>
        <w:ind w:left="0" w:right="0" w:firstLine="245"/>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assessing the impact this standard will have on its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Marketable securities consist of the following as of December 31, 2025 and 2024 (in thousands): </w:t>
      </w:r>
    </w:p>
    <w:tbl>
      <w:tblPr>
        <w:tblW w:w="8495" w:type="dxa"/>
        <w:jc w:val="left"/>
        <w:tblInd w:w="0" w:type="dxa"/>
        <w:tblLayout w:type="fixed"/>
        <w:tblCellMar>
          <w:top w:w="28" w:type="dxa"/>
          <w:left w:w="28" w:type="dxa"/>
          <w:bottom w:w="28" w:type="dxa"/>
          <w:right w:w="28" w:type="dxa"/>
        </w:tblCellMar>
      </w:tblPr>
      <w:tblGrid>
        <w:gridCol w:w="1606"/>
        <w:gridCol w:w="146"/>
        <w:gridCol w:w="338"/>
        <w:gridCol w:w="1087"/>
        <w:gridCol w:w="146"/>
        <w:gridCol w:w="146"/>
        <w:gridCol w:w="788"/>
        <w:gridCol w:w="788"/>
        <w:gridCol w:w="146"/>
        <w:gridCol w:w="146"/>
        <w:gridCol w:w="619"/>
        <w:gridCol w:w="1016"/>
        <w:gridCol w:w="166"/>
        <w:gridCol w:w="146"/>
        <w:gridCol w:w="242"/>
        <w:gridCol w:w="778"/>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ind w:left="0" w:right="0" w:firstLine="490"/>
        <w:jc w:val="left"/>
        <w:rPr/>
      </w:pPr>
      <w:r>
        <w:rPr/>
        <w:t> </w:t>
      </w:r>
    </w:p>
    <w:tbl>
      <w:tblPr>
        <w:tblW w:w="8495" w:type="dxa"/>
        <w:jc w:val="left"/>
        <w:tblInd w:w="0" w:type="dxa"/>
        <w:tblLayout w:type="fixed"/>
        <w:tblCellMar>
          <w:top w:w="28" w:type="dxa"/>
          <w:left w:w="28" w:type="dxa"/>
          <w:bottom w:w="28" w:type="dxa"/>
          <w:right w:w="28" w:type="dxa"/>
        </w:tblCellMar>
      </w:tblPr>
      <w:tblGrid>
        <w:gridCol w:w="1606"/>
        <w:gridCol w:w="146"/>
        <w:gridCol w:w="338"/>
        <w:gridCol w:w="1087"/>
        <w:gridCol w:w="146"/>
        <w:gridCol w:w="146"/>
        <w:gridCol w:w="788"/>
        <w:gridCol w:w="788"/>
        <w:gridCol w:w="146"/>
        <w:gridCol w:w="146"/>
        <w:gridCol w:w="587"/>
        <w:gridCol w:w="1048"/>
        <w:gridCol w:w="166"/>
        <w:gridCol w:w="146"/>
        <w:gridCol w:w="242"/>
        <w:gridCol w:w="778"/>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ind w:left="0" w:right="0" w:firstLine="490"/>
        <w:jc w:val="left"/>
        <w:rPr>
          <w:rFonts w:ascii="Times New Roman" w:hAnsi="Times New Roman"/>
          <w:color w:val="000000"/>
          <w:sz w:val="20"/>
        </w:rPr>
      </w:pPr>
      <w:r>
        <w:rPr>
          <w:rFonts w:ascii="Times New Roman" w:hAnsi="Times New Roman"/>
          <w:color w:val="000000"/>
          <w:sz w:val="20"/>
        </w:rPr>
        <w:t>As of December 31, 2025, all marketable securities held by the Company had remaining contractual maturities of one year or less.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were no impairments of the Company’s assets measured and carried at fair value during the year ended December 31, 2025 and 2024.</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 immaterial amount of unrealized losses were associated with marketable securities with contractual maturities of one year or less.</w:t>
      </w:r>
    </w:p>
    <w:p>
      <w:pPr>
        <w:pStyle w:val="TextBody"/>
        <w:bidi w:val="0"/>
        <w:spacing w:before="240" w:after="283"/>
        <w:ind w:left="0" w:right="0" w:firstLine="49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360" w:after="360"/>
        <w:ind w:left="0" w:right="0" w:firstLine="49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tbl>
      <w:tblPr>
        <w:tblW w:w="6781" w:type="dxa"/>
        <w:jc w:val="left"/>
        <w:tblInd w:w="0" w:type="dxa"/>
        <w:tblLayout w:type="fixed"/>
        <w:tblCellMar>
          <w:top w:w="28" w:type="dxa"/>
          <w:left w:w="28" w:type="dxa"/>
          <w:bottom w:w="28" w:type="dxa"/>
          <w:right w:w="28" w:type="dxa"/>
        </w:tblCellMar>
      </w:tblPr>
      <w:tblGrid>
        <w:gridCol w:w="2161"/>
        <w:gridCol w:w="146"/>
        <w:gridCol w:w="218"/>
        <w:gridCol w:w="590"/>
        <w:gridCol w:w="151"/>
        <w:gridCol w:w="151"/>
        <w:gridCol w:w="218"/>
        <w:gridCol w:w="699"/>
        <w:gridCol w:w="151"/>
        <w:gridCol w:w="151"/>
        <w:gridCol w:w="277"/>
        <w:gridCol w:w="458"/>
        <w:gridCol w:w="151"/>
        <w:gridCol w:w="151"/>
        <w:gridCol w:w="218"/>
        <w:gridCol w:w="699"/>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20,412</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pPr>
      <w:r>
        <w:rPr/>
        <w:t> </w:t>
      </w:r>
    </w:p>
    <w:tbl>
      <w:tblPr>
        <w:tblW w:w="6781" w:type="dxa"/>
        <w:jc w:val="left"/>
        <w:tblInd w:w="0" w:type="dxa"/>
        <w:tblLayout w:type="fixed"/>
        <w:tblCellMar>
          <w:top w:w="28" w:type="dxa"/>
          <w:left w:w="28" w:type="dxa"/>
          <w:bottom w:w="28" w:type="dxa"/>
          <w:right w:w="28" w:type="dxa"/>
        </w:tblCellMar>
      </w:tblPr>
      <w:tblGrid>
        <w:gridCol w:w="2161"/>
        <w:gridCol w:w="146"/>
        <w:gridCol w:w="218"/>
        <w:gridCol w:w="590"/>
        <w:gridCol w:w="151"/>
        <w:gridCol w:w="151"/>
        <w:gridCol w:w="218"/>
        <w:gridCol w:w="699"/>
        <w:gridCol w:w="151"/>
        <w:gridCol w:w="151"/>
        <w:gridCol w:w="277"/>
        <w:gridCol w:w="458"/>
        <w:gridCol w:w="151"/>
        <w:gridCol w:w="151"/>
        <w:gridCol w:w="218"/>
        <w:gridCol w:w="699"/>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There were no transfers among Level 1, Level 2 or Level 3 categories in the years ended December 31, 2025 and 2024. </w:t>
      </w:r>
    </w:p>
    <w:p>
      <w:pPr>
        <w:pStyle w:val="TextBody"/>
        <w:bidi w:val="0"/>
        <w:spacing w:before="360" w:after="283"/>
        <w:jc w:val="left"/>
        <w:rPr>
          <w:rFonts w:ascii="Times New Roman" w:hAnsi="Times New Roman"/>
          <w:sz w:val="20"/>
        </w:rPr>
      </w:pPr>
      <w:r>
        <w:rPr>
          <w:rFonts w:ascii="Times New Roman" w:hAnsi="Times New Roman"/>
          <w:b/>
          <w:color w:val="000000"/>
          <w:sz w:val="20"/>
        </w:rPr>
        <w:t>5. PROPERTY AND EQUIPMENT,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left"/>
        <w:rPr/>
      </w:pPr>
      <w:r>
        <w:rPr/>
        <w:t> </w:t>
      </w:r>
    </w:p>
    <w:tbl>
      <w:tblPr>
        <w:tblW w:w="7090" w:type="dxa"/>
        <w:jc w:val="left"/>
        <w:tblInd w:w="0" w:type="dxa"/>
        <w:tblLayout w:type="fixed"/>
        <w:tblCellMar>
          <w:top w:w="28" w:type="dxa"/>
          <w:left w:w="28" w:type="dxa"/>
          <w:bottom w:w="28" w:type="dxa"/>
          <w:right w:w="28" w:type="dxa"/>
        </w:tblCellMar>
      </w:tblPr>
      <w:tblGrid>
        <w:gridCol w:w="4051"/>
        <w:gridCol w:w="146"/>
        <w:gridCol w:w="333"/>
        <w:gridCol w:w="762"/>
        <w:gridCol w:w="166"/>
        <w:gridCol w:w="146"/>
        <w:gridCol w:w="274"/>
        <w:gridCol w:w="82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Depreciation and amortization expense for the years ended December 31, 2025 and 2024 was $0.1 million and $0.6 million, respectively. </w:t>
      </w:r>
    </w:p>
    <w:p>
      <w:pPr>
        <w:pStyle w:val="TextBody"/>
        <w:bidi w:val="0"/>
        <w:spacing w:before="0" w:after="240"/>
        <w:ind w:left="0" w:right="0" w:firstLine="490"/>
        <w:jc w:val="left"/>
        <w:rPr>
          <w:rFonts w:ascii="Times New Roman" w:hAnsi="Times New Roman"/>
          <w:color w:val="000000"/>
          <w:sz w:val="20"/>
        </w:rPr>
      </w:pPr>
      <w:r>
        <w:rPr>
          <w:rFonts w:ascii="Times New Roman" w:hAnsi="Times New Roman"/>
          <w:color w:val="000000"/>
          <w:sz w:val="20"/>
        </w:rPr>
        <w:t>For the year ended December 31, 2025 the Company disposed of all research equipment through the sale of fixed assets, resulting in a reduction of the gross carrying amount to zero. The related accumulated depreciation of $1.1 million was written off in connection with this disposal. A gain of $42 thousand was recognized on the sale and is included in the other expense line in the consolidated statements of operations and comprehensive loss for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For the year ended December 31, 2024, the Company recorded a charge of $0.4 million in the long-lived asset impairment line in the consolidated statements of operations and comprehensive loss, resulting from streamlining operations and focusing resources on advancing the clinical development of solnerstotug. This charge is comprised of gross write-downs of $0.9 million for research equipment and $0.2 million for office equipment and furniture, and the write-off of associated accumulated depreciation and amortization amounting to $0.6 million and $0.1 million for research equipment and office equipment and furniture, respectively. These amounts were removed from the balance sheet.</w:t>
      </w:r>
    </w:p>
    <w:p>
      <w:pPr>
        <w:pStyle w:val="TextBody"/>
        <w:bidi w:val="0"/>
        <w:ind w:left="0" w:right="0" w:firstLine="490"/>
        <w:jc w:val="left"/>
        <w:rPr/>
      </w:pPr>
      <w:r>
        <w:rPr/>
        <w:t> </w:t>
      </w:r>
    </w:p>
    <w:p>
      <w:pPr>
        <w:pStyle w:val="TextBody"/>
        <w:bidi w:val="0"/>
        <w:ind w:left="0" w:right="0" w:firstLine="49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6. COMMITMENTS AND CONTINGENCIES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b/>
          <w:i/>
          <w:color w:val="000000"/>
          <w:sz w:val="20"/>
        </w:rPr>
        <w:t>Operating Lease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Company leased office and laboratory facilities under operating leases, which expire at various dates through 2027. The Company had $678 thousand in letters of credit outstanding as security on certain of these leases. As part of its adoption of ASC 842, the Company recorded operating right-of-use assets and operating lease liabilities for these leases as of January 1, 2022.</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entered into an operating sublease agreement on January 18, 2023 (the “Sublease”) with respect to part of its existing Boston office and laboratory facilities (the “Head Lease”). The Company accounted for the Head Lease and the Sublease as separate contracts and there was no effect on the right-of-use asset or lease liability associated with the Head Lease. The Sublease ended on December 31, 2024. The Head Lease rent expense is presented separately from income related to the Sublease and both are reported as components of operating expenses on the consolidated statements of operations and comprehensive loss. The Company recorded $0 and $385 thousand of income related to the Sublease for the years ended December 31, 2025 and 2024, respectively.</w:t>
      </w:r>
    </w:p>
    <w:p>
      <w:pPr>
        <w:pStyle w:val="TextBody"/>
        <w:bidi w:val="0"/>
        <w:spacing w:before="120" w:after="283"/>
        <w:ind w:left="244" w:right="0" w:hanging="0"/>
        <w:jc w:val="left"/>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leases research equipment and furniture under finance leases. </w:t>
      </w:r>
    </w:p>
    <w:p>
      <w:pPr>
        <w:pStyle w:val="TextBody"/>
        <w:bidi w:val="0"/>
        <w:spacing w:before="240" w:after="120"/>
        <w:ind w:left="0" w:right="0" w:firstLine="490"/>
        <w:jc w:val="left"/>
        <w:rPr>
          <w:rFonts w:ascii="Times New Roman" w:hAnsi="Times New Roman"/>
          <w:color w:val="000000"/>
          <w:sz w:val="20"/>
        </w:rPr>
      </w:pPr>
      <w:r>
        <w:rPr>
          <w:rFonts w:ascii="Times New Roman" w:hAnsi="Times New Roman"/>
          <w:color w:val="000000"/>
          <w:sz w:val="20"/>
        </w:rPr>
        <w:t>The following table contains a summary of the lease costs recognized under ASC 842 pertaining to the Company’s finance and operating leases (in thousands):</w:t>
      </w:r>
    </w:p>
    <w:tbl>
      <w:tblPr>
        <w:tblW w:w="7065" w:type="dxa"/>
        <w:jc w:val="left"/>
        <w:tblInd w:w="0" w:type="dxa"/>
        <w:tblLayout w:type="fixed"/>
        <w:tblCellMar>
          <w:top w:w="28" w:type="dxa"/>
          <w:left w:w="28" w:type="dxa"/>
          <w:bottom w:w="28" w:type="dxa"/>
          <w:right w:w="28" w:type="dxa"/>
        </w:tblCellMar>
      </w:tblPr>
      <w:tblGrid>
        <w:gridCol w:w="3216"/>
        <w:gridCol w:w="146"/>
        <w:gridCol w:w="376"/>
        <w:gridCol w:w="1020"/>
        <w:gridCol w:w="260"/>
        <w:gridCol w:w="260"/>
        <w:gridCol w:w="376"/>
        <w:gridCol w:w="1020"/>
        <w:gridCol w:w="39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Twelve Months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finance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ind w:left="0" w:right="0" w:firstLine="490"/>
        <w:jc w:val="left"/>
        <w:rPr>
          <w:rFonts w:ascii="Times New Roman" w:hAnsi="Times New Roman"/>
          <w:color w:val="000000"/>
          <w:sz w:val="20"/>
        </w:rPr>
      </w:pPr>
      <w:r>
        <w:rPr>
          <w:rFonts w:ascii="Times New Roman" w:hAnsi="Times New Roman"/>
          <w:color w:val="000000"/>
          <w:sz w:val="20"/>
        </w:rPr>
        <w:t xml:space="preserve">During the year ended December 31, 2025, the Company disposed of research equipment classified as a ROU asset under a lease agreement. The ROU asset was sold, resulting in a loss of $43 thousand, which is included in the other expense line in the consolidated statements of operations and comprehensive loss for the period.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During the year ended December 31, 2024, the Company recognized impairment charges on certain finance right-of-use assets due to streamlining operations and focusing resources on advancing the clinical development of solnerstotug. These charges amounted to $0.6 million, which are not included in the regular amortization expense shown in the table above. The amount related to the right-of-use asset impairment is recorded in the long-lived asset impairment charges line in the consolidated statements of operations and comprehensive loss.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contains a summary of other information pertaining to the Company’s finance and operating leases (in thousands, except lease term and discount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55" w:type="dxa"/>
        <w:jc w:val="left"/>
        <w:tblInd w:w="0" w:type="dxa"/>
        <w:tblLayout w:type="fixed"/>
        <w:tblCellMar>
          <w:top w:w="28" w:type="dxa"/>
          <w:left w:w="28" w:type="dxa"/>
          <w:bottom w:w="28" w:type="dxa"/>
          <w:right w:w="28" w:type="dxa"/>
        </w:tblCellMar>
      </w:tblPr>
      <w:tblGrid>
        <w:gridCol w:w="4086"/>
        <w:gridCol w:w="146"/>
        <w:gridCol w:w="376"/>
        <w:gridCol w:w="1020"/>
        <w:gridCol w:w="260"/>
        <w:gridCol w:w="260"/>
        <w:gridCol w:w="376"/>
        <w:gridCol w:w="1020"/>
        <w:gridCol w:w="41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Twelve Months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Lease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outflows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inflows for operating subleases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outflows for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outflows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 years</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years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 years</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 years</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ind w:left="245" w:right="0" w:hanging="0"/>
        <w:jc w:val="left"/>
        <w:rPr>
          <w:rFonts w:ascii="Times New Roman" w:hAnsi="Times New Roman"/>
          <w:color w:val="000000"/>
          <w:sz w:val="20"/>
        </w:rPr>
      </w:pPr>
      <w:r>
        <w:rPr>
          <w:rFonts w:ascii="Times New Roman" w:hAnsi="Times New Roman"/>
          <w:color w:val="000000"/>
          <w:sz w:val="20"/>
        </w:rPr>
        <w:t>The following table presents the maturity of the Company’s operating and finance lease liabilities as of December 31, 2025 (in thousands):</w:t>
      </w:r>
    </w:p>
    <w:tbl>
      <w:tblPr>
        <w:tblW w:w="5492" w:type="dxa"/>
        <w:jc w:val="left"/>
        <w:tblInd w:w="0" w:type="dxa"/>
        <w:tblLayout w:type="fixed"/>
        <w:tblCellMar>
          <w:top w:w="28" w:type="dxa"/>
          <w:left w:w="28" w:type="dxa"/>
          <w:bottom w:w="28" w:type="dxa"/>
          <w:right w:w="28" w:type="dxa"/>
        </w:tblCellMar>
      </w:tblPr>
      <w:tblGrid>
        <w:gridCol w:w="3181"/>
        <w:gridCol w:w="146"/>
        <w:gridCol w:w="230"/>
        <w:gridCol w:w="626"/>
        <w:gridCol w:w="146"/>
        <w:gridCol w:w="146"/>
        <w:gridCol w:w="312"/>
        <w:gridCol w:w="514"/>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licensing agreements with various parties to obtain the right to make, use, and sell licensed products currently in development.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records estimated losses from loss contingencies, such as a loss arising from a litigation, when it determines that it is probable a liability has been incurred and the amount of loss can be reasonably estimated. Litigation is subject to many factors that are difficult to predict so that there can be no assurance, in the event of a material unfavorable result in one or more claims, the Company will not incur material costs.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7. ACCOUNTS PAYABLE AND CURRENT ACCRUED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Accounts payable and accrued liabilities consist of the following (in thousands):</w:t>
      </w:r>
    </w:p>
    <w:tbl>
      <w:tblPr>
        <w:tblW w:w="5505" w:type="dxa"/>
        <w:jc w:val="left"/>
        <w:tblInd w:w="0" w:type="dxa"/>
        <w:tblLayout w:type="fixed"/>
        <w:tblCellMar>
          <w:top w:w="28" w:type="dxa"/>
          <w:left w:w="28" w:type="dxa"/>
          <w:bottom w:w="28" w:type="dxa"/>
          <w:right w:w="28" w:type="dxa"/>
        </w:tblCellMar>
      </w:tblPr>
      <w:tblGrid>
        <w:gridCol w:w="2686"/>
        <w:gridCol w:w="146"/>
        <w:gridCol w:w="294"/>
        <w:gridCol w:w="801"/>
        <w:gridCol w:w="146"/>
        <w:gridCol w:w="146"/>
        <w:gridCol w:w="294"/>
        <w:gridCol w:w="801"/>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8. Equity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Each share of common stock entitles the holder to one vote on all matters submitted to a vote of the Company’s stockholders. Common stockholders are not entitled to receive dividends, unless declared by the board of directors.</w:t>
      </w:r>
    </w:p>
    <w:p>
      <w:pPr>
        <w:pStyle w:val="TextBody"/>
        <w:bidi w:val="0"/>
        <w:spacing w:before="360" w:after="283"/>
        <w:ind w:left="245" w:right="0" w:hanging="0"/>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There was no common stock warrant activity related to common stock warrants issued in conjunction with equity and debt fundraising events for the years ended December 31, 2025 and 2024. The following is a summary of the common stock warrants outstanding at December 31, 2025 and 2024:</w:t>
      </w:r>
    </w:p>
    <w:tbl>
      <w:tblPr>
        <w:tblW w:w="8292" w:type="dxa"/>
        <w:jc w:val="left"/>
        <w:tblInd w:w="0" w:type="dxa"/>
        <w:tblLayout w:type="fixed"/>
        <w:tblCellMar>
          <w:top w:w="28" w:type="dxa"/>
          <w:left w:w="28" w:type="dxa"/>
          <w:bottom w:w="28" w:type="dxa"/>
          <w:right w:w="28" w:type="dxa"/>
        </w:tblCellMar>
      </w:tblPr>
      <w:tblGrid>
        <w:gridCol w:w="2941"/>
        <w:gridCol w:w="146"/>
        <w:gridCol w:w="166"/>
        <w:gridCol w:w="839"/>
        <w:gridCol w:w="166"/>
        <w:gridCol w:w="146"/>
        <w:gridCol w:w="211"/>
        <w:gridCol w:w="826"/>
        <w:gridCol w:w="146"/>
        <w:gridCol w:w="146"/>
        <w:gridCol w:w="236"/>
        <w:gridCol w:w="755"/>
        <w:gridCol w:w="146"/>
        <w:gridCol w:w="146"/>
        <w:gridCol w:w="334"/>
        <w:gridCol w:w="55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 xml:space="preserve">of Common </w:t>
              <w:br/>
              <w:t xml:space="preserve">Stock </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aps/>
          <w:color w:val="000000"/>
          <w:sz w:val="20"/>
        </w:rPr>
        <w:t>9. STOCK-BASED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2018 Stock Incentive Plan (the “2018 Plan”), provided for the Company to grant qualified incentive options, nonqualified options, stock grants and other stock-based awards to employees and non-employees to purchase the Company’s common stock. Upon the effectiveness of the 2021 Plan, the Company ceased issuing new awards under the 2018 Plan.</w:t>
      </w:r>
    </w:p>
    <w:p>
      <w:pPr>
        <w:pStyle w:val="TextBody"/>
        <w:bidi w:val="0"/>
        <w:spacing w:before="360" w:after="283"/>
        <w:ind w:left="0" w:right="0" w:firstLine="245"/>
        <w:jc w:val="left"/>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2021 Plan became effective in February 2021. The 2021 Plan provides for the grant of incentive stock options to employees, including employees of any parent or subsidiary corporations,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 The number of shares initially reserved for issuance under the 2021 Plan was 250,000 (5,000,000 prior to Reverse Stock Split), which began automatically increasing on January 1 of each calendar year, starting on January 1, 2022 through January 1, 2031, in an amount equal to 4.0% of the total number of shares of the Company’s capital stock outstanding on the last day of the calendar month before the date of each automatic increase, or a lesser number of shares determined by the board of directors. As of December 31, 2025, 101,824 shares remained available for issuance pursuant to the 2021 Plan. </w:t>
      </w:r>
    </w:p>
    <w:p>
      <w:pPr>
        <w:pStyle w:val="TextBody"/>
        <w:bidi w:val="0"/>
        <w:spacing w:before="360" w:after="283"/>
        <w:ind w:left="0" w:right="0" w:firstLine="245"/>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2021 ESPP became effective in February 2021. A total of 16,666 shares (333,333 prior to Reverse Stock Split) of common stock were initially reserved for issuance under the 2021 ESPP, which will automatically increase on January 1 of each calendar year, beginning on January 1, 2022 through January 1, 2031, by an amount equal to 1.0% of the total shares of common stock outstanding on December 31st of the preceding calendar year. The purchase price of the shares under the 2021 ESPP are at 85% of the lower of the fair market value of the Company’s common stock on the first trading day of the offering period or on the purchase date. As of December 31, 2025, the Company had issued 12,220 shares under the 2021 ESPP, and 60,237 shares were available to be issued under the same plan.</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granted options to purchase shares of common stock to employees and nonexecutive directors pursuant to the 2021 Plan at a weighted average fair value of $7.17 per share and $9.78 per share during the years ended December 31, 2025 and 2024, respectively. The Company uses the Black-Scholes option-pricing model to estimate the fair value of the stock options on the applicable grant 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is a summary of the stock option award activity during the year ended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6"/>
        <w:gridCol w:w="146"/>
        <w:gridCol w:w="146"/>
        <w:gridCol w:w="781"/>
        <w:gridCol w:w="166"/>
        <w:gridCol w:w="146"/>
        <w:gridCol w:w="211"/>
        <w:gridCol w:w="676"/>
        <w:gridCol w:w="146"/>
        <w:gridCol w:w="146"/>
        <w:gridCol w:w="236"/>
        <w:gridCol w:w="755"/>
        <w:gridCol w:w="146"/>
        <w:gridCol w:w="146"/>
        <w:gridCol w:w="372"/>
        <w:gridCol w:w="747"/>
        <w:gridCol w:w="393"/>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Vested or expected to vest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aggregate intrinsic value of the outstanding stock option awards is calculated as the difference between the exercise price and the market price of the Company’s common stock at December 31, 2025. The aggregate intrinsic value of stock options exercised in the year ended December 31, 2025 was $1 thousand and there were no option exercises for the year ended December 31, 2024.</w:t>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total fair value of options vested during the years ended December 31, 2025 and 2024 was $1.3 million and $3.3 million,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December 31, 2025, there was approximately $0.6 million of unrecognized stock-based compensation expense associated with the stock options, which is expected to be recognized over a weighted-average period of 2.26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December 31, 2024, there was approximately $1.5 million of unrecognized stock-based compensation expense associated with the stock options, which is expected to be recognized over a weighted-average period of 1.62 years.</w:t>
      </w:r>
    </w:p>
    <w:p>
      <w:pPr>
        <w:pStyle w:val="TextBody"/>
        <w:bidi w:val="0"/>
        <w:spacing w:before="360" w:after="283"/>
        <w:ind w:left="244" w:right="0" w:hanging="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granted restricted stock units with service-based vesting conditions.</w:t>
      </w:r>
    </w:p>
    <w:p>
      <w:pPr>
        <w:pStyle w:val="TextBody"/>
        <w:bidi w:val="0"/>
        <w:spacing w:before="240" w:after="120"/>
        <w:ind w:left="0" w:right="0" w:firstLine="490"/>
        <w:jc w:val="left"/>
        <w:rPr>
          <w:rFonts w:ascii="Times New Roman" w:hAnsi="Times New Roman"/>
          <w:color w:val="000000"/>
          <w:sz w:val="20"/>
        </w:rPr>
      </w:pPr>
      <w:r>
        <w:rPr>
          <w:rFonts w:ascii="Times New Roman" w:hAnsi="Times New Roman"/>
          <w:color w:val="000000"/>
          <w:sz w:val="20"/>
        </w:rPr>
        <w:t>The following is a summary of the restricted stock unit activity during the year ended December 31, 2025:</w:t>
      </w:r>
    </w:p>
    <w:tbl>
      <w:tblPr>
        <w:tblW w:w="6830" w:type="dxa"/>
        <w:jc w:val="left"/>
        <w:tblInd w:w="0" w:type="dxa"/>
        <w:tblLayout w:type="fixed"/>
        <w:tblCellMar>
          <w:top w:w="28" w:type="dxa"/>
          <w:left w:w="28" w:type="dxa"/>
          <w:bottom w:w="28" w:type="dxa"/>
          <w:right w:w="28" w:type="dxa"/>
        </w:tblCellMar>
      </w:tblPr>
      <w:tblGrid>
        <w:gridCol w:w="2701"/>
        <w:gridCol w:w="146"/>
        <w:gridCol w:w="321"/>
        <w:gridCol w:w="1389"/>
        <w:gridCol w:w="166"/>
        <w:gridCol w:w="146"/>
        <w:gridCol w:w="475"/>
        <w:gridCol w:w="1295"/>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ind w:left="245" w:right="0" w:firstLine="490"/>
        <w:jc w:val="left"/>
        <w:rPr>
          <w:rFonts w:ascii="Times New Roman" w:hAnsi="Times New Roman"/>
          <w:color w:val="000000"/>
          <w:sz w:val="20"/>
        </w:rPr>
      </w:pPr>
      <w:r>
        <w:rPr>
          <w:rFonts w:ascii="Times New Roman" w:hAnsi="Times New Roman"/>
          <w:color w:val="000000"/>
          <w:sz w:val="20"/>
        </w:rPr>
        <w:t xml:space="preserve">Pursuant to the 2021 Plan, the Company granted restricted stock units which vest annually over a period of one, two, three or four years. </w:t>
      </w:r>
    </w:p>
    <w:p>
      <w:pPr>
        <w:pStyle w:val="TextBody"/>
        <w:bidi w:val="0"/>
        <w:spacing w:before="120" w:after="283"/>
        <w:ind w:left="245" w:right="0" w:firstLine="490"/>
        <w:jc w:val="left"/>
        <w:rPr>
          <w:rFonts w:ascii="Times New Roman" w:hAnsi="Times New Roman"/>
          <w:color w:val="000000"/>
          <w:sz w:val="20"/>
        </w:rPr>
      </w:pPr>
      <w:r>
        <w:rPr>
          <w:rFonts w:ascii="Times New Roman" w:hAnsi="Times New Roman"/>
          <w:color w:val="000000"/>
          <w:sz w:val="20"/>
        </w:rPr>
        <w:t>At December 31, 2025, there was approximately $30 thousand of unrecognized stock-based compensation expense associated with the restricted stock units which is expected to be recognized over a weighted-average period of 0.81 years.</w:t>
      </w:r>
    </w:p>
    <w:p>
      <w:pPr>
        <w:pStyle w:val="TextBody"/>
        <w:bidi w:val="0"/>
        <w:spacing w:before="120" w:after="283"/>
        <w:ind w:left="245" w:right="0" w:firstLine="490"/>
        <w:jc w:val="left"/>
        <w:rPr>
          <w:rFonts w:ascii="Times New Roman" w:hAnsi="Times New Roman"/>
          <w:color w:val="000000"/>
          <w:sz w:val="20"/>
        </w:rPr>
      </w:pPr>
      <w:r>
        <w:rPr>
          <w:rFonts w:ascii="Times New Roman" w:hAnsi="Times New Roman"/>
          <w:color w:val="000000"/>
          <w:sz w:val="20"/>
        </w:rPr>
        <w:t>At December 31, 2024, there was approximately $0.1 million of unrecognized stock-based compensation expense associated with the restricted stock units which is expected to be recognized over a weighted-average period of 1.44 years.</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Common Stock Warrants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is a summary of the common stock warrant activity during the years ended December 31, 2025: </w:t>
      </w:r>
    </w:p>
    <w:p>
      <w:pPr>
        <w:pStyle w:val="TextBody"/>
        <w:bidi w:val="0"/>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82" w:type="dxa"/>
        <w:jc w:val="left"/>
        <w:tblInd w:w="0" w:type="dxa"/>
        <w:tblLayout w:type="fixed"/>
        <w:tblCellMar>
          <w:top w:w="28" w:type="dxa"/>
          <w:left w:w="28" w:type="dxa"/>
          <w:bottom w:w="28" w:type="dxa"/>
          <w:right w:w="28" w:type="dxa"/>
        </w:tblCellMar>
      </w:tblPr>
      <w:tblGrid>
        <w:gridCol w:w="4246"/>
        <w:gridCol w:w="146"/>
        <w:gridCol w:w="246"/>
        <w:gridCol w:w="714"/>
        <w:gridCol w:w="146"/>
        <w:gridCol w:w="146"/>
        <w:gridCol w:w="211"/>
        <w:gridCol w:w="676"/>
        <w:gridCol w:w="146"/>
        <w:gridCol w:w="146"/>
        <w:gridCol w:w="236"/>
        <w:gridCol w:w="755"/>
        <w:gridCol w:w="146"/>
        <w:gridCol w:w="146"/>
        <w:gridCol w:w="334"/>
        <w:gridCol w:w="55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Common</w:t>
              <w:br/>
              <w:t>Stock</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and exercisable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and 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As of December 31, 2025, there was no unrecognized stock-based compensation expense associated with the common stock warrants.</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During the years ended December 31, 2025 and 2024, the Company utilized the Black-Scholes option-pricing model for estimating the fair value of the stock options and common stock warrants granted. The following table presents the assumptions and the Company’s methodology for developing each of the assumptions used: </w:t>
      </w:r>
    </w:p>
    <w:tbl>
      <w:tblPr>
        <w:tblW w:w="4647" w:type="dxa"/>
        <w:jc w:val="left"/>
        <w:tblInd w:w="0" w:type="dxa"/>
        <w:tblLayout w:type="fixed"/>
        <w:tblCellMar>
          <w:top w:w="28" w:type="dxa"/>
          <w:left w:w="28" w:type="dxa"/>
          <w:bottom w:w="28" w:type="dxa"/>
          <w:right w:w="28" w:type="dxa"/>
        </w:tblCellMar>
      </w:tblPr>
      <w:tblGrid>
        <w:gridCol w:w="1876"/>
        <w:gridCol w:w="146"/>
        <w:gridCol w:w="1175"/>
        <w:gridCol w:w="170"/>
        <w:gridCol w:w="1280"/>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94%-96%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4.9-6.0</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3.8%–4.6%</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w:t>
            </w:r>
          </w:p>
        </w:tc>
      </w:tr>
    </w:tbl>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Volatility—The Company lacks sufficient Company-specific historical and implied volatility information. Therefore, it estimates its expected stock volatility based on the historical volatility of a publicly traded set of peer companies in addition to its own historical volatility and will continue to do so until it has adequate historical data regarding the volatility of its own traded stock price.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term—The Company calculates the expected term of options using the simplified method, as the Company lacks relevant historical data due to the Company’s limited operating experience.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 rate—The assumed dividend yield is based upon the Company’s expectation of not paying dividends in the foreseeable future.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Stock-based compensation expense was recorded in the following line items in the consolidated statements of operations (in thousands): </w:t>
      </w:r>
    </w:p>
    <w:p>
      <w:pPr>
        <w:pStyle w:val="TextBody"/>
        <w:bidi w:val="0"/>
        <w:jc w:val="left"/>
        <w:rPr/>
      </w:pPr>
      <w:r>
        <w:rPr/>
        <w:t> </w:t>
      </w:r>
    </w:p>
    <w:tbl>
      <w:tblPr>
        <w:tblW w:w="5782" w:type="dxa"/>
        <w:jc w:val="left"/>
        <w:tblInd w:w="0" w:type="dxa"/>
        <w:tblLayout w:type="fixed"/>
        <w:tblCellMar>
          <w:top w:w="28" w:type="dxa"/>
          <w:left w:w="28" w:type="dxa"/>
          <w:bottom w:w="28" w:type="dxa"/>
          <w:right w:w="28" w:type="dxa"/>
        </w:tblCellMar>
      </w:tblPr>
      <w:tblGrid>
        <w:gridCol w:w="3451"/>
        <w:gridCol w:w="146"/>
        <w:gridCol w:w="226"/>
        <w:gridCol w:w="614"/>
        <w:gridCol w:w="157"/>
        <w:gridCol w:w="157"/>
        <w:gridCol w:w="226"/>
        <w:gridCol w:w="61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EMPLOYEE RETIREMENT PLAN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maintains a defined contribution 401(k) plan (the “Plan”) for all employees. Under the Plan, participants may make voluntary contributions up to the maximum amount allowable by law. The Plan is based on employees’ salary deferral, and the Company matches employees’ contributions up to 4% of the employees’ base salary. Employees are 100% vested in the Company’s match contributions. During the years ended December 31, 2025 and 2024, the Company’s matching contributions were $160 thousand and $238 thousand,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11. COMPENSATION AND EMPLOYEE BENEFITS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Compensation and employee benefits consist of the following (in thousands):</w:t>
      </w:r>
    </w:p>
    <w:tbl>
      <w:tblPr>
        <w:tblW w:w="6795" w:type="dxa"/>
        <w:jc w:val="left"/>
        <w:tblInd w:w="0" w:type="dxa"/>
        <w:tblLayout w:type="fixed"/>
        <w:tblCellMar>
          <w:top w:w="28" w:type="dxa"/>
          <w:left w:w="28" w:type="dxa"/>
          <w:bottom w:w="28" w:type="dxa"/>
          <w:right w:w="28" w:type="dxa"/>
        </w:tblCellMar>
      </w:tblPr>
      <w:tblGrid>
        <w:gridCol w:w="3976"/>
        <w:gridCol w:w="146"/>
        <w:gridCol w:w="294"/>
        <w:gridCol w:w="801"/>
        <w:gridCol w:w="146"/>
        <w:gridCol w:w="146"/>
        <w:gridCol w:w="294"/>
        <w:gridCol w:w="801"/>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incentive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 compensation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compensation related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12. </w:t>
      </w:r>
      <w:r>
        <w:rPr>
          <w:rFonts w:ascii="Times New Roman" w:hAnsi="Times New Roman"/>
          <w:b/>
          <w:caps/>
          <w:color w:val="000000"/>
          <w:sz w:val="20"/>
        </w:rPr>
        <w:t>INCOME TAXES</w:t>
      </w:r>
      <w:r>
        <w:rPr>
          <w:rFonts w:ascii="Times New Roman" w:hAnsi="Times New Roman"/>
          <w:caps/>
          <w:color w:val="000000"/>
          <w:sz w:val="20"/>
        </w:rPr>
        <w:t xml:space="preserve">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components of net loss before income tax expense are as follows (in thousands):</w:t>
      </w:r>
    </w:p>
    <w:tbl>
      <w:tblPr>
        <w:tblW w:w="3449" w:type="dxa"/>
        <w:jc w:val="left"/>
        <w:tblInd w:w="0" w:type="dxa"/>
        <w:tblLayout w:type="fixed"/>
        <w:tblCellMar>
          <w:top w:w="28" w:type="dxa"/>
          <w:left w:w="28" w:type="dxa"/>
          <w:bottom w:w="28" w:type="dxa"/>
          <w:right w:w="28" w:type="dxa"/>
        </w:tblCellMar>
      </w:tblPr>
      <w:tblGrid>
        <w:gridCol w:w="886"/>
        <w:gridCol w:w="146"/>
        <w:gridCol w:w="211"/>
        <w:gridCol w:w="736"/>
        <w:gridCol w:w="166"/>
        <w:gridCol w:w="146"/>
        <w:gridCol w:w="211"/>
        <w:gridCol w:w="736"/>
        <w:gridCol w:w="21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ind w:left="0" w:right="0" w:firstLine="490"/>
        <w:jc w:val="left"/>
        <w:rPr/>
      </w:pPr>
      <w:r>
        <w:rPr/>
        <w:t>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Income tax expense consists of the following (in thousands): </w:t>
      </w:r>
    </w:p>
    <w:tbl>
      <w:tblPr>
        <w:tblW w:w="5769" w:type="dxa"/>
        <w:jc w:val="left"/>
        <w:tblInd w:w="0" w:type="dxa"/>
        <w:tblLayout w:type="fixed"/>
        <w:tblCellMar>
          <w:top w:w="28" w:type="dxa"/>
          <w:left w:w="28" w:type="dxa"/>
          <w:bottom w:w="28" w:type="dxa"/>
          <w:right w:w="28" w:type="dxa"/>
        </w:tblCellMar>
      </w:tblPr>
      <w:tblGrid>
        <w:gridCol w:w="3016"/>
        <w:gridCol w:w="146"/>
        <w:gridCol w:w="211"/>
        <w:gridCol w:w="631"/>
        <w:gridCol w:w="166"/>
        <w:gridCol w:w="146"/>
        <w:gridCol w:w="211"/>
        <w:gridCol w:w="631"/>
        <w:gridCol w:w="6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Current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The components of the Company’s loss before income tax expense is comprised solely of domestic sources. The effective income tax rate for the years ended December 31, 2025 and 2024 was different from the federal statutory income tax rate primarily due to the change in valuation allowance against deferred tax assets and permanent differences primarily related to equity based compensation. The reconciliation of the federal statutory income tax rate to the Company’s effective income tax rate is as follows: </w:t>
      </w:r>
    </w:p>
    <w:tbl>
      <w:tblPr>
        <w:tblW w:w="9356" w:type="dxa"/>
        <w:jc w:val="left"/>
        <w:tblInd w:w="0" w:type="dxa"/>
        <w:tblLayout w:type="fixed"/>
        <w:tblCellMar>
          <w:top w:w="28" w:type="dxa"/>
          <w:left w:w="28" w:type="dxa"/>
          <w:bottom w:w="28" w:type="dxa"/>
          <w:right w:w="28" w:type="dxa"/>
        </w:tblCellMar>
      </w:tblPr>
      <w:tblGrid>
        <w:gridCol w:w="4201"/>
        <w:gridCol w:w="146"/>
        <w:gridCol w:w="146"/>
        <w:gridCol w:w="146"/>
        <w:gridCol w:w="218"/>
        <w:gridCol w:w="760"/>
        <w:gridCol w:w="171"/>
        <w:gridCol w:w="150"/>
        <w:gridCol w:w="150"/>
        <w:gridCol w:w="543"/>
        <w:gridCol w:w="271"/>
        <w:gridCol w:w="146"/>
        <w:gridCol w:w="218"/>
        <w:gridCol w:w="760"/>
        <w:gridCol w:w="171"/>
        <w:gridCol w:w="150"/>
        <w:gridCol w:w="150"/>
        <w:gridCol w:w="543"/>
        <w:gridCol w:w="31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operating loss expiration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effective tax rate differs from the statutory rate primarily due to continued losses and the maintenance of a full valuation allowance on deferred tax assets, resulting in zero income tax expense for the period.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Significant components of the Company’s deferred tax assets and liabilities consist of the following (in thousands): </w:t>
      </w:r>
    </w:p>
    <w:p>
      <w:pPr>
        <w:pStyle w:val="TextBody"/>
        <w:bidi w:val="0"/>
        <w:jc w:val="left"/>
        <w:rPr/>
      </w:pPr>
      <w:r>
        <w:rPr/>
        <w:t> </w:t>
      </w:r>
    </w:p>
    <w:tbl>
      <w:tblPr>
        <w:tblW w:w="7004"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11"/>
        <w:gridCol w:w="736"/>
        <w:gridCol w:w="3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R&amp;D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deferred tax assets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the Company has net operating loss carryforwards for federal and state tax reporting purposes of $170.5 million and $98.9 million, respectively, a portion of which expired beginning in 2025. Net operating loss carryforwards generated after December 31, 2017 for federal tax reporting purposes of $137.2 million have an indefinite life. The remaining federal net operating losses are subject to a 20-year carryforward period. As of December 31, 2025, the Company has research and development tax credit carryforwards of approximately $1.4 million, which expire beginning in 2034.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utilization of NOLs and tax credit carryforwards to offset future taxable income may be subject to an annual limitation as a result of ownership changes that have occurred previously or may occur in the future. Under Sections 382 and 383 of the Internal Revenue Code of 1986, as amended, (“IRC”), a corporation that undergoes an ownership change may be subject to limitations on its ability to utilize its pre-change NOLs and other tax attributes otherwise available to offset future taxable income and/or tax liability. An ownership change is defined as a cumulative change of 50% or more in the ownership positions of certain stockholders during a rolling three-year period. The Company has not completed a formal study to determine if any ownership changes within the meaning of IRC Section 382 and 383 have occurred as of December 31, 2025. An ownership change would restrict its ability to use its NOLs or tax credit carryforwards and could require the Company to pay federal or state income taxes earlier than would be required if such limitations were not in effect.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tax years beginning after December 31, 2024, OBBBA (“One Big Beautiful Bill Act”) enacted a new rule under Section 174A allowing companies to immediately expense any domestic research and developmental (“R&amp;D”) expenditures. For domestic R&amp;D, companies may either immediately expense or elect to capitalize and amortize over at least 60 months under Section 174A. However, foreign R&amp;D continues to require capitalization subject to the mandatory 15-year amortization period under Section 174.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elected to continue amortizing the previously capitalized costs over their remaining life. Beginning in tax year 2025, instead of immediately expensing domestic R&amp;D expenditures under Section 174A, the Company elected to capitalize and amortize its domestic R&amp;D expenditures under Section 59(e) over a 10 year period. Any foreign R&amp;D costs will continue to be capitalized and amortized over 15 years in accordance with the requirements of Section 174.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valuation allowance is required to be established when it is more likely than not that all or a portion of a deferred tax asset will not be realized. Realization of deferred tax assets is dependent upon future earnings, the timing and amount of which are uncertain. The Company has reviewed its positive and negative evidence and has concluded that it is more likely than not that the net deferred tax assets will not be realized; therefore, the Company continues to maintain a valuation allowance. The Company’s valuation allowance increased by $2.6 million for the year ended December 31, 2025, primarily due to the generation of net operating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evaluates its uncertain tax positions under ASC 740-10, which requires that realization of an uncertain income tax position be recognized in the financial statements. The benefit to be recorded in the financial statements is the amount most likely to be realized assuming a review by tax authorities having all relevant information and applying current conventions. The Company concluded that there are no uncertain tax positions in any of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2022 for both federal and state. However, to the extent the Company utilizes net operating losses from years prior to 2022, the statute remains open to the extent of the net operating losses or other credits are utilized.</w:t>
      </w:r>
    </w:p>
    <w:p>
      <w:pPr>
        <w:pStyle w:val="TextBody"/>
        <w:bidi w:val="0"/>
        <w:spacing w:before="360" w:after="283"/>
        <w:jc w:val="left"/>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Basic and diluted net loss per share attributable to common stockholders is calculated as follows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7"/>
        <w:gridCol w:w="146"/>
        <w:gridCol w:w="259"/>
        <w:gridCol w:w="1148"/>
        <w:gridCol w:w="204"/>
        <w:gridCol w:w="179"/>
        <w:gridCol w:w="259"/>
        <w:gridCol w:w="1148"/>
        <w:gridCol w:w="215"/>
      </w:tblGrid>
      <w:tr>
        <w:trPr/>
        <w:tc>
          <w:tcPr>
            <w:tcW w:w="6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Twelve Months Ended December 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1,260,772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1,255,776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The following outstanding potentially dilutive securities have been excluded from the calculation of diluted net loss per share, as their effect is anti-dilutive: </w:t>
      </w:r>
    </w:p>
    <w:tbl>
      <w:tblPr>
        <w:tblW w:w="8770" w:type="dxa"/>
        <w:jc w:val="left"/>
        <w:tblInd w:w="0" w:type="dxa"/>
        <w:tblLayout w:type="fixed"/>
        <w:tblCellMar>
          <w:top w:w="28" w:type="dxa"/>
          <w:left w:w="28" w:type="dxa"/>
          <w:bottom w:w="28" w:type="dxa"/>
          <w:right w:w="28" w:type="dxa"/>
        </w:tblCellMar>
      </w:tblPr>
      <w:tblGrid>
        <w:gridCol w:w="6001"/>
        <w:gridCol w:w="175"/>
        <w:gridCol w:w="939"/>
        <w:gridCol w:w="175"/>
        <w:gridCol w:w="175"/>
        <w:gridCol w:w="175"/>
        <w:gridCol w:w="939"/>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272,244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employees and contractor to purchase common stock</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related to convertible notes and other equity agreements</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 RESTRUCTURING AND RELATED CHARGES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In November 2024, the Company announced a restructuring initiative to streamline operations and focus resources on advancing the clinical development of solnerstotug (the “2024 Restructuring”). As part of the 2024 Restructuring, the Company closed its research site in Rockville, Maryland, and reduced its workforce by approximately 46%, with the majority of reductions occurring in the preclinical research and development group. These actions were intended to extend the Company’s cash runway.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October 2025, the Company announced it was exploring strategic alternatives. In November 2025, the Company’s Board of Directors approved a reduction in force of approximately 65% of the Company’s workforce (together with the October 2025 actions, the “2025 Restructuring”) to preserve capital while the Company evaluated potential mergers, asset sales, or other strategic transactions.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2024 Restructuring and 2025 Restructuring costs are primarily related to one-time termination benefits and ongoing benefit arrangements, both of which included severance payments and extended benefits coverage. Aggregate costs also included certain contract termination costs.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following table summarizes the accrued liabilities activity recorded in connection with the 2024 Restructuring and 2025 Restructuring as of December 31, 2025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85" w:type="dxa"/>
        <w:jc w:val="left"/>
        <w:tblInd w:w="0" w:type="dxa"/>
        <w:tblLayout w:type="fixed"/>
        <w:tblCellMar>
          <w:top w:w="28" w:type="dxa"/>
          <w:left w:w="28" w:type="dxa"/>
          <w:bottom w:w="28" w:type="dxa"/>
          <w:right w:w="28" w:type="dxa"/>
        </w:tblCellMar>
      </w:tblPr>
      <w:tblGrid>
        <w:gridCol w:w="3216"/>
        <w:gridCol w:w="146"/>
        <w:gridCol w:w="218"/>
        <w:gridCol w:w="593"/>
        <w:gridCol w:w="166"/>
        <w:gridCol w:w="211"/>
        <w:gridCol w:w="376"/>
        <w:gridCol w:w="166"/>
        <w:gridCol w:w="211"/>
        <w:gridCol w:w="571"/>
        <w:gridCol w:w="41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Personnel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Restructuring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Restructuring and other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Restructuring and other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Restructuring and other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Restructuring and other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360" w:after="283"/>
        <w:ind w:left="245" w:right="0" w:hanging="0"/>
        <w:jc w:val="left"/>
        <w:rPr>
          <w:rFonts w:ascii="Times New Roman" w:hAnsi="Times New Roman"/>
          <w:i/>
          <w:color w:val="000000"/>
          <w:sz w:val="20"/>
        </w:rPr>
      </w:pPr>
      <w:r>
        <w:rPr>
          <w:rFonts w:ascii="Times New Roman" w:hAnsi="Times New Roman"/>
          <w:i/>
          <w:color w:val="000000"/>
          <w:sz w:val="20"/>
        </w:rPr>
        <w:t>Merger Agreement and Private Placement</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On February 17, 2026, the Company acquired Faeth Holdings Therapeutics, Inc. ("Faeth HoldCo") and its wholly owned subsidiary Faeth Therapeutics, LLC ("Faeth Subsidiary" and, together with Faeth HoldCo, “Faeth Therapeutics”) pursuant to an Agreement and Plan of Merger (the “Merger Agreement”), dated as of February 17, 2026, by and among the Company, its merger subsidiaries, Faeth HoldCo and Faeth Subsidiary. The acquisition was structured as a stock-for-stock transaction pursuant to which all of Faeth HoldCo's outstanding shares of capital stock were exchanged based on a fixed exchange ratio for 10,497.0980 shares of Series B Non-Voting Convertible Preferred Stock (representing 10,497,098 shares on an as-converted-to-common basis and without giving effect to any beneficial ownership limitations), (ii) the outstanding warrant to purchase shares of Faeth Subsidiary capital stock was converted into a warrant to purchase an aggregate of 2.1020 shares of Series B Non-Voting Preferred Stock (representing a warrant to purchase 2,102 shares of Common Stock on an as-converted-to-common basis and without giving effect to any beneficial ownership limitations) and (iii) all outstanding options to purchase Faeth Subsidiary common stock were assumed by the Company and converted into options to purchase an aggregate of 252,210 shares of Common Stock. While the Company continues to evaluate the accounting for the transaction, the Company currently expects to account for it as an asset acquisition.</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Concurrently with the acquisition of Faeth Therapeutics, the Company entered into a definitive agreement for a private placement financing with new and returning investors to raise $200 million of gross proceeds in which the investors were issued an aggregate of 14,440.395 shares of Series B Non-Voting Convertible Preferred Stock (or 14,440,395 on an as-converted-to-common basis and without giving effect to any beneficial ownership limitations) at a price of approximately $13,850 per share (or approximately $13.85 per share on an as-converted-to-common basis). The private placement financing closed on February 20, 2026.</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Subject to the receipt of stockholder approval of the Parent Stockholder Matters (as defined in the Merger Agreement), each share of Series B Non-Voting Convertible Preferred Stock will automatically convert into 1,000 shares of Common Stock, subject to certain beneficial ownership limitations established by each holder. As a result of the transactions, equityholders of the Company immediately prior to the acquisition owned approximately 4.9% of the Common Stock, equityholders of Faeth Therapeutics immediately prior to the acquisition owned approximately 40.6% of the Common Stock and investors in the private placement financing owned approximately 54.5% of the Common Stock, in each case, calculated on a fully-diluted, as-converted-to-common basis (and without giving effect to any beneficial ownership limitations) using the treasury stock method and based on the implied equity values of the Company and Faeth Therapeutics.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rPr>
      </w:pPr>
      <w:bookmarkStart w:id="31" w:name="snse-ex4_1.htm"/>
      <w:bookmarkStart w:id="32" w:name="kssnseex4_1"/>
      <w:bookmarkEnd w:id="31"/>
      <w:bookmarkEnd w:id="32"/>
      <w:r>
        <w:rPr>
          <w:rFonts w:ascii="Times New Roman" w:hAnsi="Times New Roman"/>
          <w:b/>
          <w:color w:val="7F7F7F"/>
          <w:sz w:val="20"/>
        </w:rPr>
        <w:t>Exhibit 4.1</w:t>
      </w:r>
      <w:r>
        <w:br w:type="page"/>
      </w:r>
    </w:p>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SENSEI BIOTHERAPEUTICS, INC. CAPITAL STOCK</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The following description of the capital stock of Sensei Biotherapeutics, Inc. (the “Company,” “we,” “us” or “our”) is a summary and does not purport to be complete. This summary is qualified in its entirety by reference to the provisions of the Delaware General Corporation Law (the “DGCL”), and the complete text of our amended and restated certificate of incorporation (our “certificate of incorporation”) and our amended and restated bylaws (our “bylaws”) which, along with amendments to our certificate of incorporation, are incorporated by reference as Exhibits 3.1, 3.2, 3.3, 3.4 and 3.5 of the Company’s Annual Report on Form 10-K to which this description is also an exhibit. The Company encourages you to read that law and those documents carefully.</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200"/>
        <w:ind w:left="0" w:right="0" w:firstLine="816"/>
        <w:jc w:val="left"/>
        <w:rPr>
          <w:rFonts w:ascii="Times New Roman" w:hAnsi="Times New Roman"/>
          <w:color w:val="000000"/>
          <w:sz w:val="20"/>
        </w:rPr>
      </w:pPr>
      <w:r>
        <w:rPr>
          <w:rFonts w:ascii="Times New Roman" w:hAnsi="Times New Roman"/>
          <w:color w:val="000000"/>
          <w:sz w:val="20"/>
        </w:rPr>
        <w:t xml:space="preserve">Under our certificate of incorporation, our authorized capital stock consists of 12,500,000 shares of common stock, $0.0001 par value per share (“common stock”), and 10,000,000 shares of preferred stock, $0.0001 par value per share (“preferred stock”), 15,045 shares of which are undesignated and 25,045 shares of which are designated as Series B Non-Voting Convertible Preferred Stock. Our board of directors may establish the rights and preferences of the undesignated preferred stock from time to time.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 xml:space="preserve">Holders of our common stock are entitled to one vote per share of common stock. Our common stock does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 xml:space="preserve">Subject to preferences that may be applicable to any then outstanding preferred stock, holders of our common stock are entitled to receive ratably those dividends, if any, as may be declared by our board of directors out of legally available funds.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Liquidation</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Rights and Preferences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 xml:space="preserve">Under the terms of our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rPr>
      </w:pPr>
      <w:r>
        <w:rPr>
          <w:rFonts w:ascii="Times New Roman" w:hAnsi="Times New Roman"/>
          <w:b/>
          <w:color w:val="7F7F7F"/>
          <w:sz w:val="20"/>
        </w:rPr>
        <w:t>Exhibit 4.1</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restrictions thereon, and to increase or decrease the number of shares of any such series, but not below the number of shares of such series then outstanding.</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Preferred Stock Purchase Rights</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On March 7, 2023, a special committee of the board of directors adopted a stockholder rights plan and declared a dividend of one right (a “Right”) for each outstanding share of common stock of the Company. Each Right entitled the registered holder thereof under certain circumstances to purchase from the Company one ten-thousandth of a share of Series A Junior Participating Cumulative Preferred Stock. The terms of the Rights were set forth in a Stockholder Rights Agreement, dated as of March 7, 2023, between the Company and American Stock Transfer &amp; Trust Company, LLC, as rights agent (as amended, the “Rights Agreement”).</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The Rights expired pursuant to the terms of the Rights Agreement on March 7, 2025. Accordingly, on March 26, 2025, the Company filed with the Secretary of State of the State of Delaware a Certificate of Elimination eliminating from its Amended and Restated Certificate of Incorporation, as amended, the designation of certain shares of its preferred stock as Series A Junior Participating Cumulative Preferred Stock, which had been designated for potential use in connection with the Rights Agreement. As a result, all shares of preferred stock previously designated as Series A Junior Participating Cumulative Preferred Stock were eliminated and returned to the status of authorized but unissued shares of preferred stock, without designation.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Series B Non-Voting Convertible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February 17, 2026, the Company filed with the Secretary of State of the State of Delaware a Certificate of Designation of Preferences, Rights and Limitations of Series B Non-Voting Convertible Preferred Stock (the “Certificate of Designation”), which designated 25,045 shares of undesignated preferred stock as “Series B Non-Voting Convertible Preferred Stock.” Each share of Series B Non-Voting Convertible Preferred Stock is convertible into 1,000 shares of Common Stock, subject to and in accordance with the terms and conditions of the Certificate of Designation.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Anti-Takeover Effects of Delaware Law and Our Certificate of Incorporation and Bylaws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Some provisions of Delaware law, our certificate of incorporation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Stockholder Meetings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Our bylaws provide that a special meeting of stockholders may be called only by our chairman of the board, chief executive officer or president, or by a resolution adopted by a majority of our board of directors.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rPr>
      </w:pPr>
      <w:r>
        <w:rPr>
          <w:rFonts w:ascii="Times New Roman" w:hAnsi="Times New Roman"/>
          <w:b/>
          <w:color w:val="7F7F7F"/>
          <w:sz w:val="20"/>
        </w:rPr>
        <w:t>Exhibit 4.1</w:t>
      </w:r>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Requirements for Advance Notification of Stockholder Nominations and Proposals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Elimination of Stockholder Action by Written Consent</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Our certificate of incorporation and bylaws eliminate the right of stockholders to act by written consent without a meeting.</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Staggered Board</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Our board of directors is divided into three classes. The directors in each class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Removal of Directors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Stockholders Not Entitled to Cumulative Voting</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convertible preferred stock may be entitled to elect.</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Delaware Anti-Takeover Statute</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Choice of Forum</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 xml:space="preserve">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certificate of incorporation, or our bylaws (as each may be amended from time to time); (iv) any claim or cause of action seeking to interpret, apply, enforce or determine the validity of our certificate of incorporation or our bylaws (as each may be amended from time to time, including any right, obligation, or remedy thereunder); (v)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rPr>
      </w:pPr>
      <w:r>
        <w:rPr>
          <w:rFonts w:ascii="Times New Roman" w:hAnsi="Times New Roman"/>
          <w:b/>
          <w:color w:val="7F7F7F"/>
          <w:sz w:val="20"/>
        </w:rPr>
        <w:t>Exhibit 4.1</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any claim or cause of action as to which the DGCL confers jurisdiction to the Court of Chancery of the State of Delaware; and (vi) 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 This choice of forum provision would not apply to claims or causes of action brought to enforce a duty or liability created by the Securities Act, the Exchange Act or any other claim for which the federal courts have exclusive jurisdiction, or the Securities Act. Our certificate of incorporation provides that the federal district courts of the United States of America will be the exclusive forum for resolving any complaint asserting a cause of action arising under the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Securities Act. Additionally, our certificate of incorporation provides that any person or entity holding, owning or otherwise acquiring any interest in any of our securities shall be deemed to have notice of and consented to these provisions.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Amendment of Certificate of Incorporation Provisions</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The amendment of any of the above provisions, except for the provision making it possible for our board of directors to issue convertible preferred stock, would require approval by holders of at least two thirds of the total voting power of all of our outstanding voting stock.</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The transfer agent and registrar for our common stock is Equiniti Trust Company, LLC. The transfer agent’s address is 28 Liberty Street, Floor 53, New York, NY 10005.</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Exchange Listing</w:t>
      </w:r>
    </w:p>
    <w:p>
      <w:pPr>
        <w:pStyle w:val="TextBody"/>
        <w:bidi w:val="0"/>
        <w:spacing w:before="0" w:after="200"/>
        <w:ind w:left="0" w:right="0" w:firstLine="555"/>
        <w:jc w:val="left"/>
        <w:rPr>
          <w:rFonts w:ascii="Times New Roman" w:hAnsi="Times New Roman"/>
          <w:color w:val="000000"/>
          <w:sz w:val="20"/>
        </w:rPr>
      </w:pPr>
      <w:r>
        <w:rPr>
          <w:rFonts w:ascii="Times New Roman" w:hAnsi="Times New Roman"/>
          <w:color w:val="000000"/>
          <w:sz w:val="20"/>
        </w:rPr>
        <w:t>Our common stock is listed on the Nasdaq Capital Market under the symbol “SNSE”.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bookmarkStart w:id="33" w:name="snse-ex4_2.htm"/>
      <w:bookmarkStart w:id="34" w:name="kssnseex4_2"/>
      <w:bookmarkEnd w:id="33"/>
      <w:bookmarkEnd w:id="34"/>
      <w:r>
        <w:rPr>
          <w:rFonts w:ascii="Times New Roman" w:hAnsi="Times New Roman"/>
          <w:color w:val="000000"/>
          <w:sz w:val="18"/>
        </w:rPr>
        <w:t>Exhibit 4.2</w:t>
      </w:r>
      <w:r>
        <w:br w:type="page"/>
      </w:r>
    </w:p>
    <w:p>
      <w:pPr>
        <w:pStyle w:val="TextBody"/>
        <w:bidi w:val="0"/>
        <w:spacing w:before="0" w:after="240"/>
        <w:jc w:val="both"/>
        <w:rPr>
          <w:rFonts w:ascii="Times New Roman" w:hAnsi="Times New Roman"/>
          <w:b/>
          <w:color w:val="000000"/>
          <w:sz w:val="18"/>
        </w:rPr>
      </w:pPr>
      <w:r>
        <w:rPr>
          <w:rFonts w:ascii="Times New Roman" w:hAnsi="Times New Roman"/>
          <w:b/>
          <w:color w:val="000000"/>
          <w:sz w:val="18"/>
        </w:rPr>
        <w:t>THIS WARRANT AND THE SHARES ISSUABLE HEREUNDER HAVE NOT BEEN REGISTERED UNDER THE SECURITIES ACT OF 1933, AS AMENDED, AND MAY NOT BE SOLD, PLEDGED, OR OTHERWISE TRANSFERRED WITHOUT AN EFFECTIVE REGISTRATION THEREOF UNDER SUCH ACT OR PURSUANT TO RULE 144 OR AN OPINION OF COUNSEL REASONABLY SATISFACTORY TO THE CORPORATION AND ITS COUNSEL, THAT SUCH REGISTRATION IS NOT REQUIRED.</w:t>
      </w:r>
    </w:p>
    <w:p>
      <w:pPr>
        <w:pStyle w:val="TextBody"/>
        <w:bidi w:val="0"/>
        <w:spacing w:before="0" w:after="60"/>
        <w:jc w:val="left"/>
        <w:rPr/>
      </w:pPr>
      <w:r>
        <w:rPr/>
        <w:t> </w:t>
      </w:r>
    </w:p>
    <w:p>
      <w:pPr>
        <w:pStyle w:val="TextBody"/>
        <w:bidi w:val="0"/>
        <w:spacing w:before="60" w:after="120"/>
        <w:jc w:val="center"/>
        <w:rPr>
          <w:rFonts w:ascii="Times New Roman" w:hAnsi="Times New Roman"/>
          <w:b/>
          <w:color w:val="000000"/>
          <w:sz w:val="24"/>
        </w:rPr>
      </w:pPr>
      <w:r>
        <w:rPr>
          <w:rFonts w:ascii="Times New Roman" w:hAnsi="Times New Roman"/>
          <w:b/>
          <w:color w:val="000000"/>
          <w:sz w:val="24"/>
        </w:rPr>
        <w:t>WARRANT TO PURCHASE STOCK</w:t>
      </w:r>
    </w:p>
    <w:p>
      <w:pPr>
        <w:pStyle w:val="TextBody"/>
        <w:bidi w:val="0"/>
        <w:spacing w:before="0" w:after="60"/>
        <w:jc w:val="left"/>
        <w:rPr/>
      </w:pPr>
      <w:r>
        <w:rPr/>
        <w:t> </w:t>
      </w:r>
    </w:p>
    <w:tbl>
      <w:tblPr>
        <w:tblW w:w="6527" w:type="dxa"/>
        <w:jc w:val="left"/>
        <w:tblInd w:w="0" w:type="dxa"/>
        <w:tblLayout w:type="fixed"/>
        <w:tblCellMar>
          <w:top w:w="28" w:type="dxa"/>
          <w:left w:w="28" w:type="dxa"/>
          <w:bottom w:w="28" w:type="dxa"/>
          <w:right w:w="28" w:type="dxa"/>
        </w:tblCellMar>
      </w:tblPr>
      <w:tblGrid>
        <w:gridCol w:w="1696"/>
        <w:gridCol w:w="4831"/>
      </w:tblGrid>
      <w:tr>
        <w:trPr/>
        <w:tc>
          <w:tcPr>
            <w:tcW w:w="169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Issuer:</w:t>
            </w:r>
          </w:p>
        </w:tc>
        <w:tc>
          <w:tcPr>
            <w:tcW w:w="4831" w:type="dxa"/>
            <w:tcBorders>
              <w:bottom w:val="single" w:sz="4" w:space="0" w:color="000000"/>
            </w:tcBorders>
            <w:tcMar>
              <w:top w:w="0" w:type="dxa"/>
              <w:left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Faeth Therapeutics, Inc., a Delaware corporation</w:t>
            </w:r>
          </w:p>
        </w:tc>
      </w:tr>
      <w:tr>
        <w:trPr/>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Number of Shares:</w:t>
            </w:r>
          </w:p>
        </w:tc>
        <w:tc>
          <w:tcPr>
            <w:tcW w:w="4831" w:type="dxa"/>
            <w:tcBorders>
              <w:bottom w:val="single" w:sz="4" w:space="0" w:color="000000"/>
            </w:tcBorders>
            <w:tcMar>
              <w:top w:w="0" w:type="dxa"/>
              <w:left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As set forth in Paragraph A below</w:t>
            </w:r>
          </w:p>
        </w:tc>
      </w:tr>
      <w:tr>
        <w:trPr/>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Class of Stock:</w:t>
            </w:r>
          </w:p>
        </w:tc>
        <w:tc>
          <w:tcPr>
            <w:tcW w:w="4831" w:type="dxa"/>
            <w:tcBorders>
              <w:bottom w:val="single" w:sz="4" w:space="0" w:color="000000"/>
            </w:tcBorders>
            <w:tcMar>
              <w:top w:w="0" w:type="dxa"/>
              <w:left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Series Seed-3 Preferred Stock, $0.0001 par value per share</w:t>
            </w:r>
          </w:p>
        </w:tc>
      </w:tr>
      <w:tr>
        <w:trPr/>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Exercise Price:</w:t>
            </w:r>
          </w:p>
        </w:tc>
        <w:tc>
          <w:tcPr>
            <w:tcW w:w="4831" w:type="dxa"/>
            <w:tcBorders>
              <w:bottom w:val="single" w:sz="4" w:space="0" w:color="000000"/>
            </w:tcBorders>
            <w:tcMar>
              <w:top w:w="0" w:type="dxa"/>
              <w:left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$1.42177 per Share, subject to adjustment</w:t>
            </w:r>
          </w:p>
        </w:tc>
      </w:tr>
      <w:tr>
        <w:trPr/>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Issue Date:</w:t>
            </w:r>
          </w:p>
        </w:tc>
        <w:tc>
          <w:tcPr>
            <w:tcW w:w="4831" w:type="dxa"/>
            <w:tcBorders>
              <w:bottom w:val="single" w:sz="4" w:space="0" w:color="000000"/>
            </w:tcBorders>
            <w:tcMar>
              <w:top w:w="0" w:type="dxa"/>
              <w:left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September 7, 2021</w:t>
            </w:r>
          </w:p>
        </w:tc>
      </w:tr>
      <w:tr>
        <w:trPr/>
        <w:tc>
          <w:tcPr>
            <w:tcW w:w="1696" w:type="dxa"/>
            <w:tcBorders>
              <w:right w:val="single" w:sz="4" w:space="0" w:color="000000"/>
            </w:tcBorders>
            <w:tcMar>
              <w:top w:w="0" w:type="dxa"/>
              <w:left w:w="0" w:type="dxa"/>
              <w:bottom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Expiration Date:</w:t>
            </w:r>
          </w:p>
        </w:tc>
        <w:tc>
          <w:tcPr>
            <w:tcW w:w="483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September 6, 2031</w:t>
            </w:r>
          </w:p>
        </w:tc>
      </w:tr>
    </w:tbl>
    <w:p>
      <w:pPr>
        <w:pStyle w:val="TextBody"/>
        <w:bidi w:val="0"/>
        <w:spacing w:before="6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THIS WARRANT CERTIFIES THAT</w:t>
      </w:r>
      <w:r>
        <w:rPr>
          <w:rFonts w:ascii="Times New Roman" w:hAnsi="Times New Roman"/>
          <w:color w:val="000000"/>
          <w:sz w:val="20"/>
        </w:rPr>
        <w:t xml:space="preserve">, for the agreed upon value of $1.00 and for other good and valuable consideration, </w:t>
      </w:r>
      <w:r>
        <w:rPr>
          <w:rFonts w:ascii="Times New Roman" w:hAnsi="Times New Roman"/>
          <w:b/>
          <w:color w:val="000000"/>
          <w:sz w:val="20"/>
        </w:rPr>
        <w:t>WESTERN ALLIANCE BANK</w:t>
      </w:r>
      <w:r>
        <w:rPr>
          <w:rFonts w:ascii="Times New Roman" w:hAnsi="Times New Roman"/>
          <w:color w:val="000000"/>
          <w:sz w:val="20"/>
        </w:rPr>
        <w:t>, or its assignees (</w:t>
      </w:r>
      <w:r>
        <w:rPr>
          <w:rFonts w:ascii="Times New Roman" w:hAnsi="Times New Roman"/>
          <w:i/>
          <w:color w:val="000000"/>
          <w:sz w:val="20"/>
        </w:rPr>
        <w:t>"</w:t>
      </w:r>
      <w:r>
        <w:rPr>
          <w:rFonts w:ascii="Times New Roman" w:hAnsi="Times New Roman"/>
          <w:b/>
          <w:color w:val="000000"/>
          <w:sz w:val="20"/>
        </w:rPr>
        <w:t>Holder</w:t>
      </w:r>
      <w:r>
        <w:rPr>
          <w:rFonts w:ascii="Times New Roman" w:hAnsi="Times New Roman"/>
          <w:i/>
          <w:color w:val="000000"/>
          <w:sz w:val="20"/>
        </w:rPr>
        <w:t>"</w:t>
      </w:r>
      <w:r>
        <w:rPr>
          <w:rFonts w:ascii="Times New Roman" w:hAnsi="Times New Roman"/>
          <w:color w:val="000000"/>
          <w:sz w:val="20"/>
        </w:rPr>
        <w:t>) is entitled to purchase up to the number of fully paid and non-assessable shares of the above-stated Class of the above-stated Company's capital stock (the "</w:t>
      </w:r>
      <w:r>
        <w:rPr>
          <w:rFonts w:ascii="Times New Roman" w:hAnsi="Times New Roman"/>
          <w:b/>
          <w:color w:val="000000"/>
          <w:sz w:val="20"/>
        </w:rPr>
        <w:t>Class</w:t>
      </w:r>
      <w:r>
        <w:rPr>
          <w:rFonts w:ascii="Times New Roman" w:hAnsi="Times New Roman"/>
          <w:color w:val="000000"/>
          <w:sz w:val="20"/>
        </w:rPr>
        <w:t>") determined pursuant to Paragraph A below, at the exercise price per Share set forth above (the "</w:t>
      </w:r>
      <w:r>
        <w:rPr>
          <w:rFonts w:ascii="Times New Roman" w:hAnsi="Times New Roman"/>
          <w:b/>
          <w:color w:val="000000"/>
          <w:sz w:val="20"/>
        </w:rPr>
        <w:t>Exercise Price</w:t>
      </w:r>
      <w:r>
        <w:rPr>
          <w:rFonts w:ascii="Times New Roman" w:hAnsi="Times New Roman"/>
          <w:color w:val="000000"/>
          <w:sz w:val="20"/>
        </w:rPr>
        <w:t>"), as the same may be from time to time adjusted pursuant to Article 2 hereof and subject to the provisions and upon the terms and conditions set forth in this Warrant.</w:t>
      </w:r>
    </w:p>
    <w:p>
      <w:pPr>
        <w:pStyle w:val="TextBody"/>
        <w:bidi w:val="0"/>
        <w:spacing w:before="0" w:after="60"/>
        <w:jc w:val="left"/>
        <w:rPr/>
      </w:pPr>
      <w:r>
        <w:rPr/>
        <w:t> </w:t>
      </w:r>
    </w:p>
    <w:p>
      <w:pPr>
        <w:pStyle w:val="TextBody"/>
        <w:pBdr/>
        <w:bidi w:val="0"/>
        <w:spacing w:before="60" w:after="120"/>
        <w:ind w:left="0" w:right="0" w:hanging="360"/>
        <w:jc w:val="both"/>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color w:val="000000"/>
          <w:sz w:val="20"/>
          <w:u w:val="single"/>
        </w:rPr>
        <w:t>Number of Shares.</w:t>
      </w:r>
      <w:r>
        <w:rPr>
          <w:rFonts w:ascii="Times New Roman" w:hAnsi="Times New Roman"/>
          <w:color w:val="000000"/>
          <w:sz w:val="20"/>
        </w:rPr>
        <w:t xml:space="preserve"> This Warrant shall be exercisable for the Initial Shares, plus the Additional Shares, if any (collectively, and as may be adjusted from time to time in accordance with the provisions of this Warrant, the "</w:t>
      </w:r>
      <w:r>
        <w:rPr>
          <w:rFonts w:ascii="Times New Roman" w:hAnsi="Times New Roman"/>
          <w:b/>
          <w:color w:val="000000"/>
          <w:sz w:val="20"/>
        </w:rPr>
        <w:t>Shares</w:t>
      </w:r>
      <w:r>
        <w:rPr>
          <w:rFonts w:ascii="Times New Roman" w:hAnsi="Times New Roman"/>
          <w:color w:val="000000"/>
          <w:sz w:val="20"/>
        </w:rPr>
        <w:t>").</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Initial Shares.</w:t>
      </w:r>
      <w:r>
        <w:rPr>
          <w:rFonts w:ascii="Times New Roman" w:hAnsi="Times New Roman"/>
          <w:color w:val="000000"/>
          <w:sz w:val="20"/>
        </w:rPr>
        <w:t xml:space="preserve"> As used herein, "</w:t>
      </w:r>
      <w:r>
        <w:rPr>
          <w:rFonts w:ascii="Times New Roman" w:hAnsi="Times New Roman"/>
          <w:b/>
          <w:color w:val="000000"/>
          <w:sz w:val="20"/>
        </w:rPr>
        <w:t>Initial Shares</w:t>
      </w:r>
      <w:r>
        <w:rPr>
          <w:rFonts w:ascii="Times New Roman" w:hAnsi="Times New Roman"/>
          <w:color w:val="000000"/>
          <w:sz w:val="20"/>
        </w:rPr>
        <w:t>" means 21,100 shares of the Class, subject to adjustment from time to time in accordance with the provisions of this Warrant.</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Additional Shares.</w:t>
      </w:r>
      <w:r>
        <w:rPr>
          <w:rFonts w:ascii="Times New Roman" w:hAnsi="Times New Roman"/>
          <w:color w:val="000000"/>
          <w:sz w:val="20"/>
        </w:rPr>
        <w:t xml:space="preserve"> Upon the making, if any, of each Term Loan Advance (as defined in the Loan Agreement) to the Company, this Warrant automatically shall become exercisable for such number of additional shares of the Class (cumulatively and collectively, and as may be adjusted from time to time in accordance with the provisions of this Warrant, the "</w:t>
      </w:r>
      <w:r>
        <w:rPr>
          <w:rFonts w:ascii="Times New Roman" w:hAnsi="Times New Roman"/>
          <w:b/>
          <w:color w:val="000000"/>
          <w:sz w:val="20"/>
        </w:rPr>
        <w:t>Additional Shares</w:t>
      </w:r>
      <w:r>
        <w:rPr>
          <w:rFonts w:ascii="Times New Roman" w:hAnsi="Times New Roman"/>
          <w:color w:val="000000"/>
          <w:sz w:val="20"/>
        </w:rPr>
        <w:t>") as shall equal (a)(i) 0.01, multiplied by (ii) the amount of such Term Loan Advance, divided by (b) the Exercise Price in effect on and as of the date of such Term Loan Advance, subject to adjustment thereafter from time to time in accordance with the provisions of this Warrant.</w:t>
      </w:r>
    </w:p>
    <w:p>
      <w:pPr>
        <w:pStyle w:val="TextBody"/>
        <w:bidi w:val="0"/>
        <w:spacing w:before="0" w:after="60"/>
        <w:jc w:val="left"/>
        <w:rPr/>
      </w:pPr>
      <w:r>
        <w:rPr/>
        <w:t> </w:t>
      </w:r>
    </w:p>
    <w:p>
      <w:pPr>
        <w:pStyle w:val="TextBody"/>
        <w:bidi w:val="0"/>
        <w:spacing w:before="180" w:after="120"/>
        <w:jc w:val="left"/>
        <w:rPr>
          <w:rFonts w:ascii="Times New Roman" w:hAnsi="Times New Roman"/>
          <w:b/>
          <w:color w:val="000000"/>
          <w:sz w:val="20"/>
        </w:rPr>
      </w:pPr>
      <w:r>
        <w:rPr>
          <w:rFonts w:ascii="Times New Roman" w:hAnsi="Times New Roman"/>
          <w:b/>
          <w:color w:val="000000"/>
          <w:sz w:val="20"/>
        </w:rPr>
        <w:t>ARTICLE 1. EXERCISE.</w:t>
      </w:r>
    </w:p>
    <w:p>
      <w:pPr>
        <w:pStyle w:val="TextBody"/>
        <w:bidi w:val="0"/>
        <w:spacing w:before="0" w:after="120"/>
        <w:jc w:val="both"/>
        <w:rPr>
          <w:rFonts w:ascii="Times New Roman" w:hAnsi="Times New Roman"/>
          <w:sz w:val="20"/>
        </w:rPr>
      </w:pPr>
      <w:r>
        <w:rPr>
          <w:rFonts w:ascii="Times New Roman" w:hAnsi="Times New Roman"/>
          <w:b/>
          <w:color w:val="000000"/>
          <w:sz w:val="20"/>
        </w:rPr>
        <w:t>1.1 Method of Exercise.</w:t>
      </w:r>
      <w:r>
        <w:rPr>
          <w:rFonts w:ascii="Times New Roman" w:hAnsi="Times New Roman"/>
          <w:color w:val="000000"/>
          <w:sz w:val="20"/>
        </w:rPr>
        <w:t xml:space="preserve"> This Warrant is exercisable, in whole or in part, at any time and from time to time on or before the Expiration Date set forth above. Holder may exercise this Warrant by delivering a duly executed Notice of Exercise, in substantially the form attached hereto as Appendix 1, to the principal office of the Company. Unless Holder is exercising by net issuance as set forth in Section 1.2, Holder shall also deliver to the Company an amount equal to the aggregate Exercise Price for Shares being purchased, by check or wire.</w:t>
      </w:r>
    </w:p>
    <w:p>
      <w:pPr>
        <w:pStyle w:val="TextBody"/>
        <w:bidi w:val="0"/>
        <w:spacing w:before="0" w:after="6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120" w:after="120"/>
        <w:jc w:val="both"/>
        <w:rPr>
          <w:rFonts w:ascii="Times New Roman" w:hAnsi="Times New Roman"/>
          <w:sz w:val="20"/>
        </w:rPr>
      </w:pPr>
      <w:r>
        <w:rPr>
          <w:rFonts w:ascii="Times New Roman" w:hAnsi="Times New Roman"/>
          <w:b/>
          <w:color w:val="000000"/>
          <w:sz w:val="20"/>
        </w:rPr>
        <w:t>1.2 Net Issuance.</w:t>
      </w:r>
      <w:r>
        <w:rPr>
          <w:rFonts w:ascii="Times New Roman" w:hAnsi="Times New Roman"/>
          <w:color w:val="000000"/>
          <w:sz w:val="20"/>
        </w:rPr>
        <w:t xml:space="preserve"> The purchase price may be paid at the Holder's election either (i) by cash or check, or (ii) by surrender of all or a portion of the Warrant for shares of the Shares to be exercised under this Warrant and, if applicable, an amended Warrant representing the remaining number of Shares purchasable hereunder, as determined below ("</w:t>
      </w:r>
      <w:r>
        <w:rPr>
          <w:rFonts w:ascii="Times New Roman" w:hAnsi="Times New Roman"/>
          <w:b/>
          <w:color w:val="000000"/>
          <w:sz w:val="20"/>
        </w:rPr>
        <w:t>Net Issuance</w:t>
      </w:r>
      <w:r>
        <w:rPr>
          <w:rFonts w:ascii="Times New Roman" w:hAnsi="Times New Roman"/>
          <w:color w:val="000000"/>
          <w:sz w:val="20"/>
        </w:rPr>
        <w:t>"). If the Holder elects the Net Issuance method, the Company will issue Shares in accordance with the following formula:</w:t>
      </w:r>
    </w:p>
    <w:p>
      <w:pPr>
        <w:pStyle w:val="TextBody"/>
        <w:bidi w:val="0"/>
        <w:spacing w:before="0" w:after="60"/>
        <w:jc w:val="left"/>
        <w:rPr/>
      </w:pPr>
      <w:r>
        <w:rPr/>
        <w:t> </w:t>
      </w:r>
    </w:p>
    <w:p>
      <w:pPr>
        <w:pStyle w:val="TextBody"/>
        <w:bidi w:val="0"/>
        <w:spacing w:before="60" w:after="120"/>
        <w:jc w:val="center"/>
        <w:rPr>
          <w:rFonts w:ascii="Times New Roman" w:hAnsi="Times New Roman"/>
          <w:b/>
          <w:color w:val="000000"/>
          <w:sz w:val="20"/>
        </w:rPr>
      </w:pPr>
      <w:r>
        <w:rPr>
          <w:rFonts w:ascii="Times New Roman" w:hAnsi="Times New Roman"/>
          <w:b/>
          <w:color w:val="000000"/>
          <w:sz w:val="20"/>
        </w:rPr>
        <w:t>X = Y(A-B)</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w:t>
      </w:r>
    </w:p>
    <w:p>
      <w:pPr>
        <w:pStyle w:val="TextBody"/>
        <w:bidi w:val="0"/>
        <w:spacing w:before="0" w:after="60"/>
        <w:jc w:val="left"/>
        <w:rPr/>
      </w:pPr>
      <w:r>
        <w:rPr/>
        <w:t> </w:t>
      </w:r>
    </w:p>
    <w:p>
      <w:pPr>
        <w:pStyle w:val="TextBody"/>
        <w:bidi w:val="0"/>
        <w:spacing w:before="60" w:after="120"/>
        <w:ind w:left="720" w:right="0" w:hanging="0"/>
        <w:jc w:val="left"/>
        <w:rPr>
          <w:rFonts w:ascii="Times New Roman" w:hAnsi="Times New Roman"/>
          <w:color w:val="000000"/>
          <w:sz w:val="20"/>
        </w:rPr>
      </w:pPr>
      <w:r>
        <w:rPr>
          <w:rFonts w:ascii="Times New Roman" w:hAnsi="Times New Roman"/>
          <w:color w:val="000000"/>
          <w:sz w:val="20"/>
        </w:rPr>
        <w:t>Where:</w:t>
      </w:r>
    </w:p>
    <w:tbl>
      <w:tblPr>
        <w:tblW w:w="10205" w:type="dxa"/>
        <w:jc w:val="left"/>
        <w:tblInd w:w="0" w:type="dxa"/>
        <w:tblLayout w:type="fixed"/>
        <w:tblCellMar>
          <w:top w:w="28" w:type="dxa"/>
          <w:left w:w="28" w:type="dxa"/>
          <w:bottom w:w="28" w:type="dxa"/>
          <w:right w:w="28" w:type="dxa"/>
        </w:tblCellMar>
      </w:tblPr>
      <w:tblGrid>
        <w:gridCol w:w="371"/>
        <w:gridCol w:w="146"/>
        <w:gridCol w:w="9688"/>
      </w:tblGrid>
      <w:tr>
        <w:trPr/>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88" w:type="dxa"/>
            <w:tcBorders/>
            <w:vAlign w:val="center"/>
          </w:tcPr>
          <w:p>
            <w:pPr>
              <w:pStyle w:val="TableContents"/>
              <w:bidi w:val="0"/>
              <w:spacing w:before="0" w:after="283"/>
              <w:jc w:val="left"/>
              <w:rPr>
                <w:sz w:val="4"/>
                <w:szCs w:val="4"/>
              </w:rPr>
            </w:pPr>
            <w:r>
              <w:rPr>
                <w:sz w:val="4"/>
                <w:szCs w:val="4"/>
              </w:rPr>
            </w:r>
          </w:p>
        </w:tc>
      </w:tr>
      <w:tr>
        <w:trPr/>
        <w:tc>
          <w:tcPr>
            <w:tcW w:w="37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X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pPr>
            <w:r>
              <w:rPr/>
              <w:t> </w:t>
            </w:r>
          </w:p>
        </w:tc>
        <w:tc>
          <w:tcPr>
            <w:tcW w:w="9688" w:type="dxa"/>
            <w:tcBorders>
              <w:bottom w:val="single" w:sz="4" w:space="0" w:color="000000"/>
            </w:tcBorders>
            <w:tcMar>
              <w:top w:w="0" w:type="dxa"/>
              <w:left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the number of shares of Shares to be issued to the Holder.</w:t>
            </w:r>
          </w:p>
        </w:tc>
      </w:tr>
      <w:tr>
        <w:trPr/>
        <w:tc>
          <w:tcPr>
            <w:tcW w:w="37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Y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pPr>
            <w:r>
              <w:rPr/>
              <w:t> </w:t>
            </w:r>
          </w:p>
        </w:tc>
        <w:tc>
          <w:tcPr>
            <w:tcW w:w="9688" w:type="dxa"/>
            <w:tcBorders>
              <w:bottom w:val="single" w:sz="4" w:space="0" w:color="000000"/>
            </w:tcBorders>
            <w:tcMar>
              <w:top w:w="0" w:type="dxa"/>
              <w:left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the number of shares of Shares requested to be exercised under this Warrant (including Shares surrendered in payment of the aggregate Exercise Price)</w:t>
            </w:r>
          </w:p>
        </w:tc>
      </w:tr>
      <w:tr>
        <w:trPr/>
        <w:tc>
          <w:tcPr>
            <w:tcW w:w="37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A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pPr>
            <w:r>
              <w:rPr/>
              <w:t> </w:t>
            </w:r>
          </w:p>
        </w:tc>
        <w:tc>
          <w:tcPr>
            <w:tcW w:w="9688" w:type="dxa"/>
            <w:tcBorders>
              <w:bottom w:val="single" w:sz="4" w:space="0" w:color="000000"/>
            </w:tcBorders>
            <w:tcMar>
              <w:top w:w="0" w:type="dxa"/>
              <w:left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the fair market value of one (1) Share at the time of exercise. The fair market value of a Share shall be determined pursuant to Section 1.3.</w:t>
            </w:r>
          </w:p>
        </w:tc>
      </w:tr>
      <w:tr>
        <w:trPr/>
        <w:tc>
          <w:tcPr>
            <w:tcW w:w="371" w:type="dxa"/>
            <w:tcBorders>
              <w:right w:val="single" w:sz="4" w:space="0" w:color="000000"/>
            </w:tcBorders>
            <w:tcMar>
              <w:top w:w="0" w:type="dxa"/>
              <w:left w:w="0" w:type="dxa"/>
              <w:bottom w:w="0"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B =</w:t>
            </w:r>
          </w:p>
        </w:tc>
        <w:tc>
          <w:tcPr>
            <w:tcW w:w="146" w:type="dxa"/>
            <w:tcBorders>
              <w:right w:val="single" w:sz="4" w:space="0" w:color="000000"/>
            </w:tcBorders>
            <w:tcMar>
              <w:top w:w="0" w:type="dxa"/>
              <w:left w:w="0" w:type="dxa"/>
              <w:bottom w:w="0" w:type="dxa"/>
            </w:tcMar>
            <w:vAlign w:val="center"/>
          </w:tcPr>
          <w:p>
            <w:pPr>
              <w:pStyle w:val="TableContents"/>
              <w:bidi w:val="0"/>
              <w:spacing w:before="60" w:after="60"/>
              <w:jc w:val="left"/>
              <w:rPr/>
            </w:pPr>
            <w:r>
              <w:rPr/>
              <w:t> </w:t>
            </w:r>
          </w:p>
        </w:tc>
        <w:tc>
          <w:tcPr>
            <w:tcW w:w="9688"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the Exercise Price.</w:t>
            </w:r>
          </w:p>
        </w:tc>
      </w:tr>
    </w:tbl>
    <w:p>
      <w:pPr>
        <w:pStyle w:val="TextBody"/>
        <w:bidi w:val="0"/>
        <w:spacing w:before="60" w:after="60"/>
        <w:jc w:val="left"/>
        <w:rPr/>
      </w:pPr>
      <w:r>
        <w:rPr/>
        <w:t> </w:t>
      </w:r>
    </w:p>
    <w:p>
      <w:pPr>
        <w:pStyle w:val="TextBody"/>
        <w:bidi w:val="0"/>
        <w:spacing w:before="60" w:after="120"/>
        <w:jc w:val="both"/>
        <w:rPr>
          <w:rFonts w:ascii="Times New Roman" w:hAnsi="Times New Roman"/>
          <w:color w:val="000000"/>
          <w:sz w:val="20"/>
        </w:rPr>
      </w:pPr>
      <w:r>
        <w:rPr>
          <w:rFonts w:ascii="Times New Roman" w:hAnsi="Times New Roman"/>
          <w:color w:val="000000"/>
          <w:sz w:val="20"/>
        </w:rPr>
        <w:t>Upon partial exercise by either cash or Net Issuance, the Company shall promptly issue an amended Warrant representing the remaining number of shares purchasable hereunder. All other terms and conditions of such amended Agreement shall be identical to those contained herein, including, but not limited to the Effective Date hereof.</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1.3 Fair Market Value.</w:t>
      </w:r>
      <w:r>
        <w:rPr>
          <w:rFonts w:ascii="Times New Roman" w:hAnsi="Times New Roman"/>
          <w:color w:val="000000"/>
          <w:sz w:val="20"/>
        </w:rPr>
        <w:t xml:space="preserve"> If the Company's common stock is then traded or quoted on a nationally recognized securities exchange, inter-dealer quotation system or over-the-counter market (a "</w:t>
      </w:r>
      <w:r>
        <w:rPr>
          <w:rFonts w:ascii="Times New Roman" w:hAnsi="Times New Roman"/>
          <w:b/>
          <w:color w:val="000000"/>
          <w:sz w:val="20"/>
        </w:rPr>
        <w:t>Trading Market</w:t>
      </w:r>
      <w:r>
        <w:rPr>
          <w:rFonts w:ascii="Times New Roman" w:hAnsi="Times New Roman"/>
          <w:color w:val="000000"/>
          <w:sz w:val="20"/>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1.4 Delivery of Certificate and New Warrant.</w:t>
      </w:r>
      <w:r>
        <w:rPr>
          <w:rFonts w:ascii="Times New Roman" w:hAnsi="Times New Roman"/>
          <w:color w:val="000000"/>
          <w:sz w:val="20"/>
        </w:rPr>
        <w:t xml:space="preserve"> Promptly (and in no event more than 3 business days after exercise) after Holder exercises this Warrant, the Company shall deliver to Holder certificates (or evidence of book entry) for the Shares acquired and, if this Warrant has not been fully exercised and has not expired, a new warrant of like tenor representing the Shares not so acquired (or surrendered in payment of the aggregate Exercise Price).</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1.5 Replacement of Warrant.</w:t>
      </w:r>
      <w:r>
        <w:rPr>
          <w:rFonts w:ascii="Times New Roman" w:hAnsi="Times New Roman"/>
          <w:color w:val="000000"/>
          <w:sz w:val="20"/>
        </w:rPr>
        <w:t xml:space="preserve"> On receipt of evidence reasonably satisfactory to the Company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at its expense shall execute and deliver a replacement Warrant.</w:t>
      </w:r>
    </w:p>
    <w:p>
      <w:pPr>
        <w:pStyle w:val="TextBody"/>
        <w:bidi w:val="0"/>
        <w:spacing w:before="0" w:after="60"/>
        <w:jc w:val="left"/>
        <w:rPr/>
      </w:pPr>
      <w:r>
        <w:rPr/>
        <w:t> </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1.6 Sale, Merger, or Consolidation of Company.</w:t>
      </w:r>
    </w:p>
    <w:p>
      <w:pPr>
        <w:pStyle w:val="TextBody"/>
        <w:bidi w:val="0"/>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6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u w:val="single"/>
        </w:rPr>
        <w:t>Acquisition.</w:t>
      </w:r>
      <w:r>
        <w:rPr>
          <w:rFonts w:ascii="Times New Roman" w:hAnsi="Times New Roman"/>
          <w:color w:val="000000"/>
          <w:sz w:val="20"/>
        </w:rPr>
        <w:t xml:space="preserve"> For the purpose of this Warrant, "</w:t>
      </w:r>
      <w:r>
        <w:rPr>
          <w:rFonts w:ascii="Times New Roman" w:hAnsi="Times New Roman"/>
          <w:b/>
          <w:color w:val="000000"/>
          <w:sz w:val="20"/>
        </w:rPr>
        <w:t>Acquisition</w:t>
      </w:r>
      <w:r>
        <w:rPr>
          <w:rFonts w:ascii="Times New Roman" w:hAnsi="Times New Roman"/>
          <w:color w:val="000000"/>
          <w:sz w:val="20"/>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u w:val="single"/>
        </w:rPr>
        <w:t>Treatment of Warrant at Acquisition.</w:t>
      </w:r>
      <w:r>
        <w:rPr>
          <w:rFonts w:ascii="Times New Roman" w:hAnsi="Times New Roman"/>
          <w:color w:val="000000"/>
          <w:sz w:val="20"/>
        </w:rPr>
        <w:t xml:space="preserve"> In the event of an Acquisition in which the consideration to be received by the Company's stockholders consists solely of cash, solely of Marketable Securities or a combination of cash and Marketable Securities (a "</w:t>
      </w:r>
      <w:r>
        <w:rPr>
          <w:rFonts w:ascii="Times New Roman" w:hAnsi="Times New Roman"/>
          <w:b/>
          <w:color w:val="000000"/>
          <w:sz w:val="20"/>
        </w:rPr>
        <w:t>Cash/Public Acquisition</w:t>
      </w:r>
      <w:r>
        <w:rPr>
          <w:rFonts w:ascii="Times New Roman" w:hAnsi="Times New Roman"/>
          <w:color w:val="000000"/>
          <w:sz w:val="20"/>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Exercise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 xml:space="preserve">(d) </w:t>
      </w:r>
      <w:r>
        <w:rPr>
          <w:rFonts w:ascii="Times New Roman" w:hAnsi="Times New Roman"/>
          <w:color w:val="000000"/>
          <w:sz w:val="20"/>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 xml:space="preserve">(e) </w:t>
      </w:r>
      <w:r>
        <w:rPr>
          <w:rFonts w:ascii="Times New Roman" w:hAnsi="Times New Roman"/>
          <w:color w:val="000000"/>
          <w:sz w:val="20"/>
        </w:rPr>
        <w:t>As used in this Warrant, "</w:t>
      </w:r>
      <w:r>
        <w:rPr>
          <w:rFonts w:ascii="Times New Roman" w:hAnsi="Times New Roman"/>
          <w:b/>
          <w:color w:val="000000"/>
          <w:sz w:val="20"/>
        </w:rPr>
        <w:t>Marketable Securities</w:t>
      </w:r>
      <w:r>
        <w:rPr>
          <w:rFonts w:ascii="Times New Roman" w:hAnsi="Times New Roman"/>
          <w:color w:val="000000"/>
          <w:sz w:val="20"/>
        </w:rPr>
        <w:t>" means securities meeting all of the following requirements: (i) the issuer thereof is then subject to the reporting requirements of Section 13 or Section 15(d) of the Securities Exchange Act of 1934, as amended (the "</w:t>
      </w:r>
      <w:r>
        <w:rPr>
          <w:rFonts w:ascii="Times New Roman" w:hAnsi="Times New Roman"/>
          <w:b/>
          <w:color w:val="000000"/>
          <w:sz w:val="20"/>
        </w:rPr>
        <w:t>Exchange Act</w:t>
      </w:r>
      <w:r>
        <w:rPr>
          <w:rFonts w:ascii="Times New Roman" w:hAnsi="Times New Roman"/>
          <w:color w:val="000000"/>
          <w:sz w:val="20"/>
        </w:rPr>
        <w:t>"), and is then current in its filing of all required reports and other information under the Securities Act of 1933, as amended (the "</w:t>
      </w:r>
      <w:r>
        <w:rPr>
          <w:rFonts w:ascii="Times New Roman" w:hAnsi="Times New Roman"/>
          <w:b/>
          <w:color w:val="000000"/>
          <w:sz w:val="20"/>
        </w:rPr>
        <w:t>Act</w:t>
      </w:r>
      <w:r>
        <w:rPr>
          <w:rFonts w:ascii="Times New Roman" w:hAnsi="Times New Roman"/>
          <w:color w:val="000000"/>
          <w:sz w:val="20"/>
        </w:rPr>
        <w: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w:t>
      </w:r>
    </w:p>
    <w:p>
      <w:pPr>
        <w:pStyle w:val="TextBody"/>
        <w:bidi w:val="0"/>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6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1.7 Automatic Cashless Exercise upon Expiration.</w:t>
      </w:r>
      <w:r>
        <w:rPr>
          <w:rFonts w:ascii="Times New Roman" w:hAnsi="Times New Roman"/>
          <w:color w:val="000000"/>
          <w:sz w:val="20"/>
        </w:rPr>
        <w:t xml:space="preserve"> In the event that, upon the Expiration Date or other termination of this Warrant, the fair market value of one Share (or other security issuable upon the exercise hereof) as determined in accordance with Section 1.3 above is greater than the Exercise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(or evidence of book entry) representing the Shares (or such other securities) issued upon such exercise to Holder.</w:t>
      </w:r>
    </w:p>
    <w:p>
      <w:pPr>
        <w:pStyle w:val="TextBody"/>
        <w:bidi w:val="0"/>
        <w:spacing w:before="0" w:after="60"/>
        <w:jc w:val="left"/>
        <w:rPr/>
      </w:pPr>
      <w:r>
        <w:rPr/>
        <w:t> </w:t>
      </w:r>
    </w:p>
    <w:p>
      <w:pPr>
        <w:pStyle w:val="TextBody"/>
        <w:bidi w:val="0"/>
        <w:spacing w:before="180" w:after="120"/>
        <w:jc w:val="left"/>
        <w:rPr>
          <w:rFonts w:ascii="Times New Roman" w:hAnsi="Times New Roman"/>
          <w:b/>
          <w:color w:val="000000"/>
          <w:sz w:val="20"/>
        </w:rPr>
      </w:pPr>
      <w:r>
        <w:rPr>
          <w:rFonts w:ascii="Times New Roman" w:hAnsi="Times New Roman"/>
          <w:b/>
          <w:color w:val="000000"/>
          <w:sz w:val="20"/>
        </w:rPr>
        <w:t>ARTICLE 2. ADJUSTMENTS.</w:t>
      </w:r>
    </w:p>
    <w:p>
      <w:pPr>
        <w:pStyle w:val="TextBody"/>
        <w:bidi w:val="0"/>
        <w:spacing w:before="0" w:after="120"/>
        <w:jc w:val="both"/>
        <w:rPr>
          <w:rFonts w:ascii="Times New Roman" w:hAnsi="Times New Roman"/>
          <w:sz w:val="20"/>
        </w:rPr>
      </w:pPr>
      <w:r>
        <w:rPr>
          <w:rFonts w:ascii="Times New Roman" w:hAnsi="Times New Roman"/>
          <w:b/>
          <w:color w:val="000000"/>
          <w:sz w:val="20"/>
        </w:rPr>
        <w:t>2.1 Stock Dividends, Splits, Etc.</w:t>
      </w:r>
      <w:r>
        <w:rPr>
          <w:rFonts w:ascii="Times New Roman" w:hAnsi="Times New Roman"/>
          <w:color w:val="000000"/>
          <w:sz w:val="20"/>
        </w:rPr>
        <w:t xml:space="preserve"> If the Company declares or pays a dividend on the outstanding shares of the Class payable in additional shares of the Class or other securities or property (other than cash), or subdivides the outstanding shares of the Class into a greater number of shares, then upon exercise of this Warrant, for each Share acquired, Holder shall receive, without additional cost to Holder, the total number and kind of securities and other property to which Holder would have been entitled had Holder owned the Shares on the record date the dividend or subdivision occurred since the original issue date of this Warrant.</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2.2 Reclassification, Recapitalization, Exchange or Substitution.</w:t>
      </w:r>
      <w:r>
        <w:rPr>
          <w:rFonts w:ascii="Times New Roman" w:hAnsi="Times New Roman"/>
          <w:color w:val="000000"/>
          <w:sz w:val="20"/>
        </w:rPr>
        <w:t xml:space="preserve"> Upon any reclassification, recapitalization,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Shares if this Warrant had been exercised immediately before such reclassification, recapitalization, exchange, substitution, or other event. The Company or its successor shall promptly issue to Holder a new warrant of like tenor for such new securities or other property. The new warrant shall provide for adjustments which shall be as nearly equivalent as may be practicable to the adjustments provided for in this Article 2 including, without limitation, adjustments to the Exercise Price. Class and number of securities or property issuable upon exercise of the new warrant. The provisions of this Section 2.2 shall similarly apply to successive reclassifications, recapitalizations, exchanges, substitutions, or other events.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2.3 Adjustments for Combinations, Etc.</w:t>
      </w:r>
      <w:r>
        <w:rPr>
          <w:rFonts w:ascii="Times New Roman" w:hAnsi="Times New Roman"/>
          <w:color w:val="000000"/>
          <w:sz w:val="20"/>
        </w:rPr>
        <w:t xml:space="preserve"> If the outstanding shares of the Class are combined or consolidated, by reclassification or otherwise, into a lesser number of shares, the Exercise Price shall be proportionately increased and the number of Shares as to which this Warrant is exercisable shall be proportionately decreased.</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2.4 Conversion of Preferred Stock.</w:t>
      </w:r>
      <w:r>
        <w:rPr>
          <w:rFonts w:ascii="Times New Roman" w:hAnsi="Times New Roman"/>
          <w:color w:val="000000"/>
          <w:sz w:val="20"/>
        </w:rPr>
        <w:t xml:space="preserve">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Times New Roman" w:hAnsi="Times New Roman"/>
          <w:b/>
          <w:color w:val="000000"/>
          <w:sz w:val="20"/>
        </w:rPr>
        <w:t>IPO</w:t>
      </w:r>
      <w:r>
        <w:rPr>
          <w:rFonts w:ascii="Times New Roman" w:hAnsi="Times New Roman"/>
          <w:color w:val="000000"/>
          <w:sz w:val="20"/>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Exercise Price shall equal the Exercise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2.5 Adjustments for Diluting Issuances.</w:t>
      </w:r>
      <w:r>
        <w:rPr>
          <w:rFonts w:ascii="Times New Roman" w:hAnsi="Times New Roman"/>
          <w:color w:val="000000"/>
          <w:sz w:val="20"/>
        </w:rPr>
        <w:t xml:space="preserve"> In the event of the issuance (a "</w:t>
      </w:r>
      <w:r>
        <w:rPr>
          <w:rFonts w:ascii="Times New Roman" w:hAnsi="Times New Roman"/>
          <w:b/>
          <w:color w:val="000000"/>
          <w:sz w:val="20"/>
        </w:rPr>
        <w:t>Diluting Issuance</w:t>
      </w:r>
      <w:r>
        <w:rPr>
          <w:rFonts w:ascii="Times New Roman" w:hAnsi="Times New Roman"/>
          <w:color w:val="000000"/>
          <w:sz w:val="20"/>
        </w:rPr>
        <w:t>") by Company, after the Issue Date of the Warrant, of any Additional Shares of Common Stock (as defined in the Company's Certificate of Incorporation) at a price per share less than the then Exercise Price, then the number of shares of common stock issuable upon conversion of the Shares, and the conversion price, shall be adjusted in accordance with those provisions (the "</w:t>
      </w:r>
      <w:r>
        <w:rPr>
          <w:rFonts w:ascii="Times New Roman" w:hAnsi="Times New Roman"/>
          <w:b/>
          <w:color w:val="000000"/>
          <w:sz w:val="20"/>
        </w:rPr>
        <w:t>Provisions</w:t>
      </w:r>
      <w:r>
        <w:rPr>
          <w:rFonts w:ascii="Times New Roman" w:hAnsi="Times New Roman"/>
          <w:color w:val="000000"/>
          <w:sz w:val="20"/>
        </w:rPr>
        <w:t xml:space="preserve">") of Company's Certificate of Incorporation which apply to Diluting Issuances with the same effect as though the shares were outstanding at the time of the diluting issuance. Company agrees that the </w:t>
      </w:r>
    </w:p>
    <w:p>
      <w:pPr>
        <w:pStyle w:val="TextBody"/>
        <w:bidi w:val="0"/>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Provisions, as in effect on the Issue Date, shall be deemed to remain in full force and effect during the term of the Warrant notwithstanding any subsequent amendment, waiver or termination thereof by Company's shareholders. Under no circumstances shall the aggregate Exercise Price payable by Holder upon exercise of the Warrant increase as a result of any adjustment arising from a Diluting Issuance.</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2.6 Adjustment for Pay-to-Play Transactions.</w:t>
      </w:r>
      <w:r>
        <w:rPr>
          <w:rFonts w:ascii="Times New Roman" w:hAnsi="Times New Roman"/>
          <w:color w:val="000000"/>
          <w:sz w:val="20"/>
        </w:rPr>
        <w:t xml:space="preserve"> In the event that the Company's Certificate of Incorporation provides, or is amended to so provide, for the amendment or modification of the rights, preferences or privileges of the Shares, or the reclassification, conversion or exchange of the outstanding Shares in the event that a holder of shares thereof fails to participate in an equity financing transaction (a "</w:t>
      </w:r>
      <w:r>
        <w:rPr>
          <w:rFonts w:ascii="Times New Roman" w:hAnsi="Times New Roman"/>
          <w:b/>
          <w:color w:val="000000"/>
          <w:sz w:val="20"/>
        </w:rPr>
        <w:t>Pay-to-Play Provision</w:t>
      </w:r>
      <w:r>
        <w:rPr>
          <w:rFonts w:ascii="Times New Roman" w:hAnsi="Times New Roman"/>
          <w:color w:val="000000"/>
          <w:sz w:val="20"/>
        </w:rPr>
        <w:t>"), and in the event that such Pay-to-Play Provision becomes operative in a transaction occurring after the date hereof, this Warrant shall automatically and without any action required become exercisable for that number and type of shares of equity securities as would have been issued or exchanged, or would have remained outstanding, in respect of the Shares issuable hereunder had this Warrant been exercised in full prior to such event, and had the Holder participated in the equity financing to the maximum extent permitted.</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2.7 No Impairment.</w:t>
      </w:r>
      <w:r>
        <w:rPr>
          <w:rFonts w:ascii="Times New Roman" w:hAnsi="Times New Roman"/>
          <w:color w:val="000000"/>
          <w:sz w:val="20"/>
        </w:rPr>
        <w:t xml:space="preserve">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Company, but shall at all times in good faith assist in carrying out of all the provisions of this Article 2 and in taking all such action as may be necessary or appropriate to protect Holder's rights under this Article against impairment. If the Company takes any action affecting the Shares or the Class as described above that adversely affects Holder's rights under this Warrant, the Exercise Price shall be adjusted downward and the number of Shares issuable upon exercise of this Warrant shall be adjusted upward in such a manner that such action is offset and the aggregate Exercise Price of this Warrant is unchanged. Notwithstanding the foregoing, the Company shall not be deemed to have impaired Holder's rights hereunder if: (a) it amends its Certificate of Incorporation, and the holders of the Company's preferred stock waive rights thereunder, in a manner that does not affect the Shares differently from the effect that such amendments or waivers have generally on the rights, preferences or restrictions of other shares of the same series of stock, or (b) the Shares are not differently affected than other shares of the same series of stock in connection with any reorganization, transfer of assets, consolidation, merger, dissolution, issue or sale of securities or any other voluntary action.</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2.8 Fractional Shares.</w:t>
      </w:r>
      <w:r>
        <w:rPr>
          <w:rFonts w:ascii="Times New Roman" w:hAnsi="Times New Roman"/>
          <w:color w:val="000000"/>
          <w:sz w:val="20"/>
        </w:rPr>
        <w:t xml:space="preserve"> No fractional Shares shall be issuable upon exercise or conversion of the Warrant and the number of Shares to be issued shall be rounded down to the nearest whole Share. If a fractional share interest arises upon any exercise or conversion of the Warrant, the Company shall eliminate such fractional share interest by paying Holder an amount computed by multiplying the fractional interest by the fair market value of a full Share.</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2.9 Certificate as to Adjustments.</w:t>
      </w:r>
      <w:r>
        <w:rPr>
          <w:rFonts w:ascii="Times New Roman" w:hAnsi="Times New Roman"/>
          <w:color w:val="000000"/>
          <w:sz w:val="20"/>
        </w:rPr>
        <w:t xml:space="preserve"> Upon each adjustment of the Exercise Price, Class and/or number of Shares, the Company at its expense shall promptly compute such adjustment, and furnish Holder with a certificate of its Chief Financial Officer setting forth the Exercise Price, Class and number of Shares in effect upon the date thereof and the series of adjustments leading to such Exercise Price, Class and number of Shares, and the facts upon which such adjustment is based.</w:t>
      </w:r>
    </w:p>
    <w:p>
      <w:pPr>
        <w:pStyle w:val="TextBody"/>
        <w:bidi w:val="0"/>
        <w:spacing w:before="0" w:after="60"/>
        <w:jc w:val="left"/>
        <w:rPr/>
      </w:pPr>
      <w:r>
        <w:rPr/>
        <w:t> </w:t>
      </w:r>
    </w:p>
    <w:p>
      <w:pPr>
        <w:pStyle w:val="TextBody"/>
        <w:bidi w:val="0"/>
        <w:spacing w:before="180" w:after="120"/>
        <w:jc w:val="left"/>
        <w:rPr>
          <w:rFonts w:ascii="Times New Roman" w:hAnsi="Times New Roman"/>
          <w:b/>
          <w:color w:val="000000"/>
          <w:sz w:val="20"/>
        </w:rPr>
      </w:pPr>
      <w:r>
        <w:rPr>
          <w:rFonts w:ascii="Times New Roman" w:hAnsi="Times New Roman"/>
          <w:b/>
          <w:color w:val="000000"/>
          <w:sz w:val="20"/>
        </w:rPr>
        <w:t>ARTICLE 3. REPRESENTATIONS, WARRANTIES AND COVENANTS OF COMPANY.</w:t>
      </w:r>
    </w:p>
    <w:p>
      <w:pPr>
        <w:pStyle w:val="TextBody"/>
        <w:bidi w:val="0"/>
        <w:spacing w:before="0" w:after="120"/>
        <w:jc w:val="both"/>
        <w:rPr>
          <w:rFonts w:ascii="Times New Roman" w:hAnsi="Times New Roman"/>
          <w:sz w:val="20"/>
        </w:rPr>
      </w:pPr>
      <w:r>
        <w:rPr>
          <w:rFonts w:ascii="Times New Roman" w:hAnsi="Times New Roman"/>
          <w:b/>
          <w:color w:val="000000"/>
          <w:sz w:val="20"/>
        </w:rPr>
        <w:t>3.1 Representations and Warranties.</w:t>
      </w:r>
      <w:r>
        <w:rPr>
          <w:rFonts w:ascii="Times New Roman" w:hAnsi="Times New Roman"/>
          <w:color w:val="000000"/>
          <w:sz w:val="20"/>
        </w:rPr>
        <w:t xml:space="preserve"> The Company hereby represents and warrants to, and agrees with, the Holder as follows:</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The initial Exercise Price referenced on the first page of this Warrant is not greater than the price per share for which shares of the Class were last sold and issued by the Company prior to the Issue Date hereof in an arms-length transaction in which at least $500,000 of such shares were sold.</w:t>
      </w:r>
    </w:p>
    <w:p>
      <w:pPr>
        <w:pStyle w:val="TextBody"/>
        <w:bidi w:val="0"/>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6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As of the date hereof, the Company has sufficient authorized shares of capital stock reserved for the issuance of all Shares which may be issued upon the exercise of this Warrant and upon the conversion of all such Shares.</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The Company's capitalization table attached to this Warrant as Appendix 2 is true and complete as of the Issue Date.</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3.2 Valid Issuance.</w:t>
      </w:r>
      <w:r>
        <w:rPr>
          <w:rFonts w:ascii="Times New Roman" w:hAnsi="Times New Roman"/>
          <w:color w:val="000000"/>
          <w:sz w:val="20"/>
        </w:rPr>
        <w:t xml:space="preserve"> The Company shall take all steps necessary to insure that all Shares which may be issued upon the exercise of this Warrant, and all securities which may be issued on conversion of such Shares, shall, upon issuance, be duly authorized, validly issued, fully paid and non-assessable, and free of any liens and encumbrances except for restrictions on transfer provided for herein or under applicable federal and state securities laws.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3.3 Notice of Certain Events.</w:t>
      </w:r>
      <w:r>
        <w:rPr>
          <w:rFonts w:ascii="Times New Roman" w:hAnsi="Times New Roman"/>
          <w:color w:val="000000"/>
          <w:sz w:val="20"/>
        </w:rPr>
        <w:t xml:space="preserve"> If the Company proposes at any time (a) to declare any dividend or distribution upon the outstanding shares of the Class, whether in cash, property, stock, or other securities and whether or not a regular cash dividend; (b) to offer for subscription pro rata to all holders of the outstanding shares of the Class any additional shares of stock of any class or series or other rights; (c) to effect any reclassification or recapitalization of the outstanding shares of the Class; (d) to merge or consolidate with or into any other corporation, or sell, lease, license, or convey all or substantially all of its assets, or to liquidate, dissolve or wind up; or (e) offer holders of registration rights the opportunity to participate in an underwritten public offering of the Company's securities for cash, then, in connection with each such event, the Company shall give Holder (1) in the case of the matters referred to in (a) and (b) above at least 20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(c) and (d) above; (2) in the case of the matters referred to in (c) and (d) above at least 20 days prior written notice of the date when the same will take place (and specifying the date on which the holders of common stock will be entitled to exchange their common stock for securities or other property deliverable upon the occurrence of such event); and (3) in the case of the matter referred to in (e) above, the same notice as is given to the holders of such registration rights.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3.4 (a) Information.</w:t>
      </w:r>
      <w:r>
        <w:rPr>
          <w:rFonts w:ascii="Times New Roman" w:hAnsi="Times New Roman"/>
          <w:color w:val="000000"/>
          <w:sz w:val="20"/>
        </w:rPr>
        <w:t xml:space="preserve"> So long as Holder holds this Warrant and/or any of the Shares, the Company shall deliver to Holder (a) promptly, copies of all notices or other written communications to which Holder would be entitled if it held Shares as to which this Warrant was then exercisable, and (b) such other financial statements required under and in accordance with any loan documents between Holder and the Company, or if there are no such requirements or if the subject loan(s) are no longer are outstanding, then within 45 days after the end of each of the first three quarters of each fiscal year, the Company's quarterly, unaudited financial statements and within 90 days after the end of each fiscal year, the Company's annual, audited financial statements. The Company shall also supply documentation to Holder reasonably necessary for Holder to evaluate whether to exercise (in cash or on a net issuance basis) this Warrant, including without limitation, (i) any merger/purchase/asset sale agreement and related documents and estimated payout allocations to each of the respective equityholders, warrant and option holders in connection with an Acquisition, (ii) the most recent capitalization tables, 409A valuations (if any), and board/member determination of share value (including any waterfall or per share allocations provided to the equityholders), and (iii) most recent certificate of incorporation/organization.</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sz w:val="20"/>
        </w:rPr>
      </w:pPr>
      <w:r>
        <w:rPr>
          <w:rFonts w:ascii="Times New Roman" w:hAnsi="Times New Roman"/>
          <w:b/>
          <w:color w:val="000000"/>
          <w:sz w:val="20"/>
        </w:rPr>
        <w:t>(b) Exempt Transaction.</w:t>
      </w:r>
      <w:r>
        <w:rPr>
          <w:rFonts w:ascii="Times New Roman" w:hAnsi="Times New Roman"/>
          <w:color w:val="000000"/>
          <w:sz w:val="20"/>
        </w:rPr>
        <w:t xml:space="preserve"> The issuance of this Warrant and of the Shares on exercise hereof will each constitute a transaction exempt from (i) the registration requirements of Section 5 of the Act, in reliance upon Section 4(a)(2) thereof and/or Regulation D thereunder, and (ii) the qualification requirements of applicable state securities laws.</w:t>
      </w:r>
    </w:p>
    <w:p>
      <w:pPr>
        <w:pStyle w:val="TextBody"/>
        <w:bidi w:val="0"/>
        <w:spacing w:before="0" w:after="6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120" w:after="120"/>
        <w:ind w:left="720" w:right="0" w:hanging="0"/>
        <w:jc w:val="both"/>
        <w:rPr>
          <w:rFonts w:ascii="Times New Roman" w:hAnsi="Times New Roman"/>
          <w:sz w:val="20"/>
        </w:rPr>
      </w:pPr>
      <w:r>
        <w:rPr>
          <w:rFonts w:ascii="Times New Roman" w:hAnsi="Times New Roman"/>
          <w:b/>
          <w:color w:val="000000"/>
          <w:sz w:val="20"/>
        </w:rPr>
        <w:t>(c) Compliance with Rule 144.</w:t>
      </w:r>
      <w:r>
        <w:rPr>
          <w:rFonts w:ascii="Times New Roman" w:hAnsi="Times New Roman"/>
          <w:color w:val="000000"/>
          <w:sz w:val="20"/>
        </w:rPr>
        <w:t xml:space="preserve"> If Holder proposes to sell the Shares issuable upon the exercise of this Warrant in compliance with Rule 144 promulgated by the SEC, then, upon Holder's written request to the Company, the Company shall furnish to Holder, within ten days after receipt of such request, a written statement confirming the Company's compliance with the filing requirements of the SEC as set forth in such rule (as may be amended from time to time).</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3.5 Registration Rights.</w:t>
      </w:r>
      <w:r>
        <w:rPr>
          <w:rFonts w:ascii="Times New Roman" w:hAnsi="Times New Roman"/>
          <w:color w:val="000000"/>
          <w:sz w:val="20"/>
        </w:rPr>
        <w:t xml:space="preserve"> The shares of common stock issuable on conversion of the Shares shall have the same "piggyback" registration rights as are set forth in the Company's Second Amended and Restated Investors' Rights Agreement dated November 13, 2020, as amended and in effect from time to time (the "</w:t>
      </w:r>
      <w:r>
        <w:rPr>
          <w:rFonts w:ascii="Times New Roman" w:hAnsi="Times New Roman"/>
          <w:b/>
          <w:color w:val="000000"/>
          <w:sz w:val="20"/>
        </w:rPr>
        <w:t>Investor Rights Agreement</w:t>
      </w:r>
      <w:r>
        <w:rPr>
          <w:rFonts w:ascii="Times New Roman" w:hAnsi="Times New Roman"/>
          <w:color w:val="000000"/>
          <w:sz w:val="20"/>
        </w:rPr>
        <w:t>"). The Company has provided Holder with a true and correct copy of the Investor Rights Agreement, which is in full force and effect on the date hereof. The Company agrees that no amendments will be made to the Investor Rights Agreement, which would have an adverse and disproportionate impact on Holder's registration rights thereunder.</w:t>
      </w:r>
    </w:p>
    <w:p>
      <w:pPr>
        <w:pStyle w:val="TextBody"/>
        <w:bidi w:val="0"/>
        <w:spacing w:before="0" w:after="60"/>
        <w:jc w:val="left"/>
        <w:rPr/>
      </w:pPr>
      <w:r>
        <w:rPr/>
        <w:t> </w:t>
      </w:r>
    </w:p>
    <w:p>
      <w:pPr>
        <w:pStyle w:val="TextBody"/>
        <w:bidi w:val="0"/>
        <w:spacing w:before="180" w:after="120"/>
        <w:jc w:val="left"/>
        <w:rPr>
          <w:rFonts w:ascii="Times New Roman" w:hAnsi="Times New Roman"/>
          <w:b/>
          <w:color w:val="000000"/>
          <w:sz w:val="20"/>
        </w:rPr>
      </w:pPr>
      <w:r>
        <w:rPr>
          <w:rFonts w:ascii="Times New Roman" w:hAnsi="Times New Roman"/>
          <w:b/>
          <w:color w:val="000000"/>
          <w:sz w:val="20"/>
        </w:rPr>
        <w:t>ARTICLE 4. REPRESENTATIONS, WARRANTIES AND COVENANTS OF HOLDER.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Holder represents and warrants to, and agrees with, the Company as follows: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4.1 Purchase for Own Account.</w:t>
      </w:r>
      <w:r>
        <w:rPr>
          <w:rFonts w:ascii="Times New Roman" w:hAnsi="Times New Roman"/>
          <w:color w:val="000000"/>
          <w:sz w:val="20"/>
        </w:rPr>
        <w:t xml:space="preserve">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4.2 Disclosure of Information.</w:t>
      </w:r>
      <w:r>
        <w:rPr>
          <w:rFonts w:ascii="Times New Roman" w:hAnsi="Times New Roman"/>
          <w:color w:val="000000"/>
          <w:sz w:val="20"/>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4.3 Investment Experience.</w:t>
      </w:r>
      <w:r>
        <w:rPr>
          <w:rFonts w:ascii="Times New Roman" w:hAnsi="Times New Roman"/>
          <w:color w:val="000000"/>
          <w:sz w:val="20"/>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4.4 Accredited Investor Status.</w:t>
      </w:r>
      <w:r>
        <w:rPr>
          <w:rFonts w:ascii="Times New Roman" w:hAnsi="Times New Roman"/>
          <w:color w:val="000000"/>
          <w:sz w:val="20"/>
        </w:rPr>
        <w:t xml:space="preserve"> Holder is an "accredited investor" within the meaning of Regulation D promulgated under the Act.</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4.5 The Act.</w:t>
      </w:r>
      <w:r>
        <w:rPr>
          <w:rFonts w:ascii="Times New Roman" w:hAnsi="Times New Roman"/>
          <w:color w:val="000000"/>
          <w:sz w:val="20"/>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pStyle w:val="TextBody"/>
        <w:bidi w:val="0"/>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6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4.6 Market Stand-off Agreement.</w:t>
      </w:r>
      <w:r>
        <w:rPr>
          <w:rFonts w:ascii="Times New Roman" w:hAnsi="Times New Roman"/>
          <w:color w:val="000000"/>
          <w:sz w:val="20"/>
        </w:rPr>
        <w:t xml:space="preserve"> Holder agrees that the Shares shall be subject to the Market Standoff provisions in Section 2.11 of the Investor Rights Agreement.</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4.7 No Voting Rights.</w:t>
      </w:r>
      <w:r>
        <w:rPr>
          <w:rFonts w:ascii="Times New Roman" w:hAnsi="Times New Roman"/>
          <w:color w:val="000000"/>
          <w:sz w:val="20"/>
        </w:rPr>
        <w:t xml:space="preserve"> Holder, as a Holder of this Warrant, will not have any voting rights until the exercise of this Warrant.</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4.8 Restrictions on Resales.</w:t>
      </w:r>
      <w:r>
        <w:rPr>
          <w:rFonts w:ascii="Times New Roman" w:hAnsi="Times New Roman"/>
          <w:color w:val="000000"/>
          <w:sz w:val="20"/>
        </w:rPr>
        <w:t xml:space="preserve"> Holder acknowledges that this Warrant and the Shares issued upon any exercise hereof must be held indefinitely unless subsequently registered under the Securities Act or an exemption from such registration is available. Holder is aware of the provisions of Rule 144 promulgated under the Securities Act, which permit resale of shares purchased in a private placement subject to the satisfaction of certain conditions, which may include, among other things, the availability of certain current public information about the Company; the resale occurring not less than a specified period after a party has purchased and paid for the security to be sold; the number of shares being sold during any three-month period not exceeding specified limitations; the sale being effected through a "broker's transaction," a transaction directly with a "market maker" or a "riskless principal transaction" (as those terms are defined in the Securities Act or the Securities Exchange Act of 1934, as amended, and the rules and regulations promulgated thereunder); and the filing of a Form 144 notice, if applicable. Holder acknowledges and understands that the Company may not be satisfying the current public information requirement of Rule 144 at the time Holder wishes to sell this Warrant and the Shares issued upon any exercise hereof and that, in such event, Holder may be precluded from selling this Warrant and the Shares issued upon any exercise hereof under Rule 144 even if the other applicable requirements of Rule 144 have been satisfied. Holder acknowledges that, in the event the applicable requirements of Rule 144 are not met, registration under the Securities Act or an exemption from registration will be required for any disposition of this Warrant and the Shares issued upon any exercise hereof. Holder understands that, although Rule 144 is not exclusive, the Securities and Exchange Commission has expressed its opinion that persons proposing to sell restricted securities received in a private offering other than in a registered offering or pursuant to Rule 144 will have a substantial burden of proof in establishing that an exemption from registration is available for such offers or sales and that such persons and the brokers who participate in the transactions do so at their own risk.</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4.9 No Public Market.</w:t>
      </w:r>
      <w:r>
        <w:rPr>
          <w:rFonts w:ascii="Times New Roman" w:hAnsi="Times New Roman"/>
          <w:color w:val="000000"/>
          <w:sz w:val="20"/>
        </w:rPr>
        <w:t xml:space="preserve"> Holder understands and acknowledges that no public market now exists for any of the securities issued by the Company and that the Company has made no assurances that a public market will ever exist for the Company's securities.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4.10 Brokers and Finders.</w:t>
      </w:r>
      <w:r>
        <w:rPr>
          <w:rFonts w:ascii="Times New Roman" w:hAnsi="Times New Roman"/>
          <w:color w:val="000000"/>
          <w:sz w:val="20"/>
        </w:rPr>
        <w:t xml:space="preserve"> Holder has not engaged any brokers, finders or agents in connection with this Warrant and the Shares issued upon any exercise hereof, and the Company has not incurred nor will incur, directly or indirectly, as a result of any action taken by Holder, any liability for brokerage or finders' fees or agents' commissions or any similar charges in connection with this Warrant and the Shares issued upon any exercise hereof.</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4.11 Advisors.</w:t>
      </w:r>
      <w:r>
        <w:rPr>
          <w:rFonts w:ascii="Times New Roman" w:hAnsi="Times New Roman"/>
          <w:color w:val="000000"/>
          <w:sz w:val="20"/>
        </w:rPr>
        <w:t xml:space="preserve"> Holder has had the opportunity to review this Warrant and the transactions contemplated by this Warrant with its own legal counsel. Holder is not relying on any statements or representations of the Company or its agents for legal advice with respect to this investment or the transactions contemplated by this Warrant. Holder has reviewed with its own tax advisors the U.S. federal, state and local and non-U.S. tax consequences of this investment and the transactions contemplated by this Warrant. With respect to such matters, Holder relies solely on any such advisors and not on any statements or representations of the Company or any of its agents, written or oral. Holder understands that it (and not the Company) shall be responsible for its own tax liability that may arise as a result of this investment and the transactions contemplated by this Warrant.</w:t>
      </w:r>
    </w:p>
    <w:p>
      <w:pPr>
        <w:pStyle w:val="TextBody"/>
        <w:bidi w:val="0"/>
        <w:spacing w:before="0" w:after="60"/>
        <w:jc w:val="left"/>
        <w:rPr/>
      </w:pPr>
      <w:r>
        <w:rPr/>
        <w:t> </w:t>
      </w:r>
    </w:p>
    <w:p>
      <w:pPr>
        <w:pStyle w:val="TextBody"/>
        <w:bidi w:val="0"/>
        <w:spacing w:before="180" w:after="120"/>
        <w:jc w:val="left"/>
        <w:rPr>
          <w:rFonts w:ascii="Times New Roman" w:hAnsi="Times New Roman"/>
          <w:b/>
          <w:color w:val="000000"/>
          <w:sz w:val="20"/>
        </w:rPr>
      </w:pPr>
      <w:r>
        <w:rPr>
          <w:rFonts w:ascii="Times New Roman" w:hAnsi="Times New Roman"/>
          <w:b/>
          <w:color w:val="000000"/>
          <w:sz w:val="20"/>
        </w:rPr>
        <w:t>ARTICLE 5. MISCELLANEOUS.</w:t>
      </w:r>
    </w:p>
    <w:p>
      <w:pPr>
        <w:pStyle w:val="TextBody"/>
        <w:bidi w:val="0"/>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120" w:after="120"/>
        <w:jc w:val="both"/>
        <w:rPr>
          <w:rFonts w:ascii="Times New Roman" w:hAnsi="Times New Roman"/>
          <w:sz w:val="20"/>
        </w:rPr>
      </w:pPr>
      <w:r>
        <w:rPr>
          <w:rFonts w:ascii="Times New Roman" w:hAnsi="Times New Roman"/>
          <w:b/>
          <w:color w:val="000000"/>
          <w:sz w:val="20"/>
        </w:rPr>
        <w:t>5.1 Legends.</w:t>
      </w:r>
      <w:r>
        <w:rPr>
          <w:rFonts w:ascii="Times New Roman" w:hAnsi="Times New Roman"/>
          <w:color w:val="000000"/>
          <w:sz w:val="20"/>
        </w:rPr>
        <w:t xml:space="preserve"> This Warrant and the Shares shall be imprinted with a legend in substantially the following form:</w:t>
      </w:r>
    </w:p>
    <w:p>
      <w:pPr>
        <w:pStyle w:val="TextBody"/>
        <w:bidi w:val="0"/>
        <w:spacing w:before="0" w:after="60"/>
        <w:jc w:val="left"/>
        <w:rPr/>
      </w:pPr>
      <w:r>
        <w:rPr/>
        <w:t> </w:t>
      </w:r>
    </w:p>
    <w:p>
      <w:pPr>
        <w:pStyle w:val="TextBody"/>
        <w:bidi w:val="0"/>
        <w:spacing w:before="60" w:after="120"/>
        <w:ind w:left="720" w:right="0" w:hanging="0"/>
        <w:jc w:val="both"/>
        <w:rPr>
          <w:rFonts w:ascii="Times New Roman" w:hAnsi="Times New Roman"/>
          <w:b/>
          <w:color w:val="000000"/>
          <w:sz w:val="20"/>
        </w:rPr>
      </w:pPr>
      <w:r>
        <w:rPr>
          <w:rFonts w:ascii="Times New Roman" w:hAnsi="Times New Roman"/>
          <w:b/>
          <w:color w:val="000000"/>
          <w:sz w:val="20"/>
        </w:rPr>
        <w:t>THIS SECURITY HAS NOT BEEN REGISTERED UNDER THE SECURITIES ACT OF 1933, AS AMENDED, AND MAY NOT BE SOLD, PLEDGED OR OTHERWISE TRANSFERRED WITHOUT AN EFFECTIVE REGISTRATION THEREOF UNDER SUCH ACT OR PURSUANT TO RULE 144 OR AN OPINION OF COUNSEL REASONABLY SATISFACTORY TO COMPANY AND ITS COUNSEL THAT SUCH REGISTRATION IS NOT REQUIRED.</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5.2 Compliance with Securities Laws on Transfer.</w:t>
      </w:r>
      <w:r>
        <w:rPr>
          <w:rFonts w:ascii="Times New Roman" w:hAnsi="Times New Roman"/>
          <w:color w:val="000000"/>
          <w:sz w:val="20"/>
        </w:rPr>
        <w:t xml:space="preserve"> This Warrant and the Shares issuable upon exercise of this Warrant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 Company shall not require Holder to provide an opinion of counsel if (i) the transfer is to Holder's parent company, Western Alliance Bancorporation, or any other affiliate of Holder provided that such affiliate is an "accredited investor" within the meaning of Regulation D promulgated under the Act, or (ii) there is no material question as to the availability of current information as referenced in Rule 144(c), Holder represents that it has complied with Rule 144(d) and (e) in reasonable detail, the selling broker represents that it has complied with Rule 144(f), and the Company is provided with a copy of Holder's notice of proposed sale.</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5.3 Transfer Procedure.</w:t>
      </w:r>
      <w:r>
        <w:rPr>
          <w:rFonts w:ascii="Times New Roman" w:hAnsi="Times New Roman"/>
          <w:color w:val="000000"/>
          <w:sz w:val="20"/>
        </w:rPr>
        <w:t xml:space="preserve"> After receipt by Holder of the executed Warrant, Holder may transfer all of this Warrant to Holder's parent company, Western Alliance Bancorporation, or an affiliate thereof or successor thereto (the "</w:t>
      </w:r>
      <w:r>
        <w:rPr>
          <w:rFonts w:ascii="Times New Roman" w:hAnsi="Times New Roman"/>
          <w:b/>
          <w:color w:val="000000"/>
          <w:sz w:val="20"/>
        </w:rPr>
        <w:t>Subsequent Holder</w:t>
      </w:r>
      <w:r>
        <w:rPr>
          <w:rFonts w:ascii="Times New Roman" w:hAnsi="Times New Roman"/>
          <w:color w:val="000000"/>
          <w:sz w:val="20"/>
        </w:rPr>
        <w:t>"), by execution of an Assignment substantially in the form of Appendix 3. Subject to the provisions of Article 5.2 and upon providing Company with written notice (except that such notice shall not be required of Holder or a Subsequent Holder in connection with a transaction described in clause (ii) of this Section 5.3), the Subsequent Holder may transfer all or part of this Warrant or the Shares issuable upon exercise of this Warrant (or the Shares issuable directly or indirectly, upon conversion of the Shares, if any) to any transferee, provided, however,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(i) an Acquisition of the Company by such a direct competitor, or (ii) any sale, transfer, negotiation, or grant of participation in all or any part of, or any interest in, Bank's (as defined in the Loan Agreement) obligations, rights and benefits under the Loan Agreement.</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5.4 Notices.</w:t>
      </w:r>
      <w:r>
        <w:rPr>
          <w:rFonts w:ascii="Times New Roman" w:hAnsi="Times New Roman"/>
          <w:color w:val="000000"/>
          <w:sz w:val="20"/>
        </w:rPr>
        <w:t xml:space="preserve"> All notices and other communications from the Company to Holder, or vice versa, shall be in writing and shall be deemed delivered and effective when given personally or mailed by first-class registered or certified mail, postage prepaid, or by overnight courier, at such address as may have been furnished to the Company or Holder, as the case may be, in writing by the Company or such Holder from time to time.</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5.5 Attorneys' Fees.</w:t>
      </w:r>
      <w:r>
        <w:rPr>
          <w:rFonts w:ascii="Times New Roman" w:hAnsi="Times New Roman"/>
          <w:color w:val="000000"/>
          <w:sz w:val="20"/>
        </w:rPr>
        <w:t xml:space="preserve"> In the event of any dispute between the parties concerning the terms and provisions of this Warrant, the party prevailing in such dispute shall be entitled to collect from the other party all costs incurred in such dispute, including reasonable attorneys' fees.</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5.6 Governing Law.</w:t>
      </w:r>
      <w:r>
        <w:rPr>
          <w:rFonts w:ascii="Times New Roman" w:hAnsi="Times New Roman"/>
          <w:color w:val="000000"/>
          <w:sz w:val="20"/>
        </w:rPr>
        <w:t xml:space="preserve"> This Warrant shall be governed by and construed in accordance with the laws of the State of Delaware, without giving effect to its principles regarding conflicts of law.</w:t>
      </w:r>
    </w:p>
    <w:p>
      <w:pPr>
        <w:pStyle w:val="TextBody"/>
        <w:bidi w:val="0"/>
        <w:spacing w:before="0" w:after="6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120" w:after="120"/>
        <w:jc w:val="both"/>
        <w:rPr>
          <w:rFonts w:ascii="Times New Roman" w:hAnsi="Times New Roman"/>
          <w:sz w:val="20"/>
        </w:rPr>
      </w:pPr>
      <w:r>
        <w:rPr>
          <w:rFonts w:ascii="Times New Roman" w:hAnsi="Times New Roman"/>
          <w:b/>
          <w:color w:val="000000"/>
          <w:sz w:val="20"/>
        </w:rPr>
        <w:t>5.7 Counterparts.</w:t>
      </w:r>
      <w:r>
        <w:rPr>
          <w:rFonts w:ascii="Times New Roman" w:hAnsi="Times New Roman"/>
          <w:color w:val="000000"/>
          <w:sz w:val="20"/>
        </w:rPr>
        <w:t xml:space="preserve"> This Warrant may be executed by one or more of the parties hereto in any number of separate counterparts, all of which together shall constitute one and the same instrument.</w:t>
      </w:r>
    </w:p>
    <w:p>
      <w:pPr>
        <w:pStyle w:val="TextBody"/>
        <w:bidi w:val="0"/>
        <w:spacing w:before="0" w:after="60"/>
        <w:jc w:val="left"/>
        <w:rPr/>
      </w:pPr>
      <w:r>
        <w:rPr/>
        <w:t> </w:t>
      </w:r>
    </w:p>
    <w:p>
      <w:pPr>
        <w:pStyle w:val="TextBody"/>
        <w:bidi w:val="0"/>
        <w:spacing w:before="60" w:after="120"/>
        <w:jc w:val="both"/>
        <w:rPr>
          <w:rFonts w:ascii="Times New Roman" w:hAnsi="Times New Roman"/>
          <w:sz w:val="20"/>
        </w:rPr>
      </w:pPr>
      <w:r>
        <w:rPr>
          <w:rFonts w:ascii="Times New Roman" w:hAnsi="Times New Roman"/>
          <w:b/>
          <w:color w:val="000000"/>
          <w:sz w:val="20"/>
        </w:rPr>
        <w:t>5.8 Taxes.</w:t>
      </w:r>
      <w:r>
        <w:rPr>
          <w:rFonts w:ascii="Times New Roman" w:hAnsi="Times New Roman"/>
          <w:color w:val="000000"/>
          <w:sz w:val="20"/>
        </w:rPr>
        <w:t xml:space="preserve"> In no event shall the Company be required to pay any tax which may be payable in respect of any transfer involved in the issue and delivery of any certificate in a name other than that of Holder, and the Company shall not be required to issue or deliver any such certificate unless and until the person or persons requesting the issue thereof shall have paid to the Company the amount of such tax or shall have established to the satisfaction of the Company that such tax has been paid or is not payable.</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60" w:after="120"/>
        <w:jc w:val="center"/>
        <w:rPr>
          <w:rFonts w:ascii="Times New Roman" w:hAnsi="Times New Roman"/>
          <w:color w:val="000000"/>
          <w:sz w:val="20"/>
        </w:rPr>
      </w:pPr>
      <w:r>
        <w:rPr>
          <w:rFonts w:ascii="Times New Roman" w:hAnsi="Times New Roman"/>
          <w:color w:val="000000"/>
          <w:sz w:val="20"/>
        </w:rPr>
        <w:t>[BALANCE OF PAGE INTENTIONALLY LEFT BLANK]</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18"/>
        </w:rPr>
      </w:pPr>
      <w:r>
        <w:rPr>
          <w:rFonts w:ascii="Times New Roman" w:hAnsi="Times New Roman"/>
          <w:color w:val="000000"/>
          <w:sz w:val="18"/>
        </w:rPr>
        <w:t>Exhibit 4.2</w:t>
      </w:r>
    </w:p>
    <w:p>
      <w:pPr>
        <w:pStyle w:val="TextBody"/>
        <w:bidi w:val="0"/>
        <w:spacing w:before="120" w:after="12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has executed this Warrant to Purchase Stock as of the day and year first above written.</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60" w:after="120"/>
        <w:jc w:val="left"/>
        <w:rPr>
          <w:rFonts w:ascii="Times New Roman" w:hAnsi="Times New Roman"/>
          <w:b/>
          <w:color w:val="000000"/>
          <w:sz w:val="20"/>
        </w:rPr>
      </w:pPr>
      <w:r>
        <w:rPr>
          <w:rFonts w:ascii="Times New Roman" w:hAnsi="Times New Roman"/>
          <w:b/>
          <w:color w:val="000000"/>
          <w:sz w:val="20"/>
        </w:rPr>
        <w:t>COMPANY:</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60" w:after="120"/>
        <w:jc w:val="left"/>
        <w:rPr>
          <w:rFonts w:ascii="Times New Roman" w:hAnsi="Times New Roman"/>
          <w:b/>
          <w:color w:val="000000"/>
          <w:sz w:val="20"/>
        </w:rPr>
      </w:pPr>
      <w:r>
        <w:rPr>
          <w:rFonts w:ascii="Times New Roman" w:hAnsi="Times New Roman"/>
          <w:b/>
          <w:color w:val="000000"/>
          <w:sz w:val="20"/>
        </w:rPr>
        <w:t>FAETH THERAPEUTICS, INC.</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60" w:after="6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Anand Parikh</w:t>
      </w:r>
      <w:r>
        <w:rPr>
          <w:rFonts w:ascii="Times New Roman" w:hAnsi="Times New Roman"/>
          <w:color w:val="000000"/>
          <w:sz w:val="20"/>
        </w:rPr>
        <w:t>____________________________</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Name: Anand Parikh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Title: CEO</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6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rFonts w:ascii="Times New Roman" w:hAnsi="Times New Roman"/>
          <w:i/>
          <w:color w:val="000000"/>
          <w:sz w:val="20"/>
        </w:rPr>
      </w:pPr>
      <w:r>
        <w:rPr>
          <w:rFonts w:ascii="Times New Roman" w:hAnsi="Times New Roman"/>
          <w:i/>
          <w:color w:val="000000"/>
          <w:sz w:val="20"/>
        </w:rPr>
        <w:t>[Signature Page to Warrant to Purchase Stock]</w:t>
      </w:r>
    </w:p>
    <w:p>
      <w:pPr>
        <w:pStyle w:val="TextBody"/>
        <w:bidi w:val="0"/>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bookmarkStart w:id="35" w:name="snse-ex10_6.htm"/>
      <w:bookmarkStart w:id="36" w:name="kssnseex10_6"/>
      <w:bookmarkEnd w:id="35"/>
      <w:bookmarkEnd w:id="36"/>
      <w:r>
        <w:rPr>
          <w:rFonts w:ascii="Times New Roman" w:hAnsi="Times New Roman"/>
          <w:color w:val="7F7F7F"/>
          <w:sz w:val="20"/>
        </w:rPr>
        <w:t>Exhibit 10-6</w:t>
      </w:r>
      <w:r>
        <w:br w:type="page"/>
      </w:r>
    </w:p>
    <w:p>
      <w:pPr>
        <w:pStyle w:val="TextBody"/>
        <w:bidi w:val="0"/>
        <w:spacing w:before="0" w:after="480"/>
        <w:jc w:val="center"/>
        <w:rPr>
          <w:rFonts w:ascii="Times New Roman" w:hAnsi="Times New Roman"/>
          <w:b/>
          <w:smallCaps/>
          <w:color w:val="000000"/>
          <w:sz w:val="22"/>
        </w:rPr>
      </w:pPr>
      <w:r>
        <w:rPr>
          <w:rFonts w:ascii="Times New Roman" w:hAnsi="Times New Roman"/>
          <w:b/>
          <w:smallCaps/>
          <w:color w:val="000000"/>
          <w:sz w:val="22"/>
        </w:rPr>
        <w:t>2019 Stock Incentive Plan</w:t>
      </w:r>
    </w:p>
    <w:p>
      <w:pPr>
        <w:pStyle w:val="TextBody"/>
        <w:bidi w:val="0"/>
        <w:spacing w:before="0" w:after="480"/>
        <w:jc w:val="center"/>
        <w:rPr>
          <w:rFonts w:ascii="Times New Roman" w:hAnsi="Times New Roman"/>
          <w:b/>
          <w:smallCaps/>
          <w:color w:val="000000"/>
          <w:sz w:val="22"/>
        </w:rPr>
      </w:pPr>
      <w:r>
        <w:rPr>
          <w:rFonts w:ascii="Times New Roman" w:hAnsi="Times New Roman"/>
          <w:b/>
          <w:smallCaps/>
          <w:color w:val="000000"/>
          <w:sz w:val="22"/>
        </w:rPr>
        <w:t>of</w:t>
      </w:r>
    </w:p>
    <w:p>
      <w:pPr>
        <w:pStyle w:val="TextBody"/>
        <w:bidi w:val="0"/>
        <w:spacing w:before="0" w:after="480"/>
        <w:jc w:val="center"/>
        <w:rPr>
          <w:rFonts w:ascii="Times New Roman" w:hAnsi="Times New Roman"/>
          <w:b/>
          <w:smallCaps/>
          <w:color w:val="000000"/>
          <w:sz w:val="22"/>
        </w:rPr>
      </w:pPr>
      <w:r>
        <w:rPr>
          <w:rFonts w:ascii="Times New Roman" w:hAnsi="Times New Roman"/>
          <w:b/>
          <w:smallCaps/>
          <w:color w:val="000000"/>
          <w:sz w:val="22"/>
        </w:rPr>
        <w:t>Faeth Therapeutics,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t> </w:t>
      </w:r>
    </w:p>
    <w:p>
      <w:pPr>
        <w:pStyle w:val="TextBody"/>
        <w:pBdr/>
        <w:bidi w:val="0"/>
        <w:ind w:left="0" w:right="720" w:hanging="720"/>
        <w:jc w:val="center"/>
        <w:rPr>
          <w:rFonts w:ascii="Times New Roman" w:hAnsi="Times New Roman"/>
          <w:caps/>
          <w:color w:val="000000"/>
          <w:sz w:val="20"/>
        </w:rPr>
      </w:pPr>
      <w:bookmarkStart w:id="37" w:name="mptableofcontents"/>
      <w:bookmarkEnd w:id="37"/>
      <w:r>
        <w:rPr>
          <w:rFonts w:ascii="Times New Roman" w:hAnsi="Times New Roman"/>
          <w:caps/>
          <w:color w:val="000000"/>
          <w:sz w:val="20"/>
        </w:rPr>
        <w:t>table of contents</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Page</w:t>
      </w:r>
    </w:p>
    <w:tbl>
      <w:tblPr>
        <w:tblW w:w="9422" w:type="dxa"/>
        <w:jc w:val="left"/>
        <w:tblInd w:w="0" w:type="dxa"/>
        <w:tblLayout w:type="fixed"/>
        <w:tblCellMar>
          <w:top w:w="28" w:type="dxa"/>
          <w:left w:w="28" w:type="dxa"/>
          <w:bottom w:w="28" w:type="dxa"/>
          <w:right w:w="28" w:type="dxa"/>
        </w:tblCellMar>
      </w:tblPr>
      <w:tblGrid>
        <w:gridCol w:w="7711"/>
        <w:gridCol w:w="1711"/>
      </w:tblGrid>
      <w:tr>
        <w:trPr/>
        <w:tc>
          <w:tcPr>
            <w:tcW w:w="771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1. Purpose</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aps/>
                <w:color w:val="000000"/>
                <w:sz w:val="20"/>
              </w:rPr>
            </w:pPr>
            <w:r>
              <w:rPr>
                <w:rFonts w:ascii="Times New Roman" w:hAnsi="Times New Roman"/>
                <w:caps/>
                <w:color w:val="000000"/>
                <w:sz w:val="20"/>
              </w:rPr>
              <w:t>3</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2. Eligibility</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aps/>
                <w:color w:val="000000"/>
                <w:sz w:val="20"/>
              </w:rPr>
            </w:pPr>
            <w:r>
              <w:rPr>
                <w:rFonts w:ascii="Times New Roman" w:hAnsi="Times New Roman"/>
                <w:caps/>
                <w:color w:val="000000"/>
                <w:sz w:val="20"/>
              </w:rPr>
              <w:t>3</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3. Administration and Delegation</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3</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Administration by the Board</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Appointment of Committees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4. Stock Available for Awards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3</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Number of Shares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Substitute Awards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5. Stock Options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4</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General</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Incentive Stock Options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(c) Exercise Price</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(d) Duration of Options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(e) Exercise of Options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(f) Payment Upon Exercise</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6. Stock Appreciation Rights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6</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General</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Measurement Price</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(c) Duration of SARs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(d) Exercise of SARs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7. Restricted Stock; Restricted Stock Units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6</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General</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Terms and Conditions for All Restricted Stock Awards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(c) Additional Provisions Relating to Restricted Stock.</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(d) Additional Provisions Relating to Restricted Stock Units.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8. Other Stock-Based Awards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7</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General</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Terms and Conditions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9. Adjustments for Changes in Common Stock and Certain Other Events</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aps/>
                <w:color w:val="000000"/>
                <w:sz w:val="20"/>
              </w:rPr>
            </w:pPr>
            <w:r>
              <w:rPr>
                <w:rFonts w:ascii="Times New Roman" w:hAnsi="Times New Roman"/>
                <w:caps/>
                <w:color w:val="000000"/>
                <w:sz w:val="20"/>
              </w:rPr>
              <w:t>8</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Changes in Capitalization</w:t>
            </w:r>
          </w:p>
        </w:tc>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8</w:t>
            </w:r>
          </w:p>
        </w:tc>
      </w:tr>
      <w:tr>
        <w:trPr/>
        <w:tc>
          <w:tcPr>
            <w:tcW w:w="771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Reorganization Events.</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r>
    </w:tbl>
    <w:p>
      <w:pPr>
        <w:pStyle w:val="HorizontalLine"/>
        <w:pBdr>
          <w:bottom w:val="double" w:sz="2" w:space="0" w:color="808080"/>
        </w:pBdr>
        <w:bidi w:val="0"/>
        <w:spacing w:before="0" w:after="283"/>
        <w:jc w:val="left"/>
        <w:rPr/>
      </w:pPr>
      <w:r>
        <w:rPr/>
      </w:r>
    </w:p>
    <w:p>
      <w:pPr>
        <w:pStyle w:val="TextBody"/>
        <w:bidi w:val="0"/>
        <w:jc w:val="left"/>
        <w:rPr/>
      </w:pPr>
      <w:r>
        <w:rPr/>
        <w:t> </w:t>
      </w:r>
    </w:p>
    <w:tbl>
      <w:tblPr>
        <w:tblW w:w="9617" w:type="dxa"/>
        <w:jc w:val="left"/>
        <w:tblInd w:w="0" w:type="dxa"/>
        <w:tblLayout w:type="fixed"/>
        <w:tblCellMar>
          <w:top w:w="28" w:type="dxa"/>
          <w:left w:w="28" w:type="dxa"/>
          <w:bottom w:w="28" w:type="dxa"/>
          <w:right w:w="28" w:type="dxa"/>
        </w:tblCellMar>
      </w:tblPr>
      <w:tblGrid>
        <w:gridCol w:w="7786"/>
        <w:gridCol w:w="1831"/>
      </w:tblGrid>
      <w:tr>
        <w:trPr/>
        <w:tc>
          <w:tcPr>
            <w:tcW w:w="778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10. General Provisions Applicable to Awards.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aps/>
                <w:color w:val="000000"/>
                <w:sz w:val="20"/>
              </w:rPr>
            </w:pPr>
            <w:r>
              <w:rPr>
                <w:rFonts w:ascii="Times New Roman" w:hAnsi="Times New Roman"/>
                <w:caps/>
                <w:color w:val="000000"/>
                <w:sz w:val="20"/>
              </w:rPr>
              <w:t>10</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Transferability of Awards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10</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Documentation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10</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(c) Board Discretion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10</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(d) Termination of Status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10</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(e) Withholding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10</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(f) Amendment of Award.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11</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(g) Conditions on Delivery of Stock</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11</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(h) Acceleration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11</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11. Miscellaneous.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aps/>
                <w:color w:val="000000"/>
                <w:sz w:val="20"/>
              </w:rPr>
            </w:pPr>
            <w:r>
              <w:rPr>
                <w:rFonts w:ascii="Times New Roman" w:hAnsi="Times New Roman"/>
                <w:caps/>
                <w:color w:val="000000"/>
                <w:sz w:val="20"/>
              </w:rPr>
              <w:t>11</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No Right To Employment or Other Status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11</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No Rights As Stockholder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12</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(c) Effective Date and Term of Plan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12</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(d) Amendment of Plan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12</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(e) Authorization of Sub-Plans (including Grants to non-U.S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12</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(f) Compliance with Section 409A of the Code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12</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(g) Limitations on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12</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(h) Governing Law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13</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1. Additional Limitations on Options.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aps/>
                <w:color w:val="000000"/>
                <w:sz w:val="20"/>
              </w:rPr>
            </w:pPr>
            <w:r>
              <w:rPr>
                <w:rFonts w:ascii="Times New Roman" w:hAnsi="Times New Roman"/>
                <w:caps/>
                <w:color w:val="000000"/>
                <w:sz w:val="20"/>
              </w:rPr>
              <w:t>14</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(a) Maximum Duration of Options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2"/>
              </w:rPr>
            </w:pPr>
            <w:r>
              <w:rPr>
                <w:rFonts w:ascii="Times New Roman" w:hAnsi="Times New Roman"/>
                <w:color w:val="000000"/>
                <w:sz w:val="22"/>
              </w:rPr>
              <w:t>14</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color w:val="000000"/>
                <w:sz w:val="22"/>
              </w:rPr>
            </w:pPr>
            <w:r>
              <w:rPr>
                <w:rFonts w:ascii="Times New Roman" w:hAnsi="Times New Roman"/>
                <w:color w:val="000000"/>
                <w:sz w:val="22"/>
              </w:rPr>
              <w:t>(b) Minimum Exercise Period Following Termination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14</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2. Additional Limitations for Other Stock-Based Awards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aps/>
                <w:color w:val="000000"/>
                <w:sz w:val="20"/>
              </w:rPr>
            </w:pPr>
            <w:r>
              <w:rPr>
                <w:rFonts w:ascii="Times New Roman" w:hAnsi="Times New Roman"/>
                <w:caps/>
                <w:color w:val="000000"/>
                <w:sz w:val="20"/>
              </w:rPr>
              <w:t>14</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3. Additional Limitations on Timing of Awards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aps/>
                <w:color w:val="000000"/>
                <w:sz w:val="20"/>
              </w:rPr>
            </w:pPr>
            <w:r>
              <w:rPr>
                <w:rFonts w:ascii="Times New Roman" w:hAnsi="Times New Roman"/>
                <w:caps/>
                <w:color w:val="000000"/>
                <w:sz w:val="20"/>
              </w:rPr>
              <w:t>14</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4. Additional Restriction Regarding Recapitalizations, Stock Splits, Etc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aps/>
                <w:color w:val="000000"/>
                <w:sz w:val="20"/>
              </w:rPr>
            </w:pPr>
            <w:r>
              <w:rPr>
                <w:rFonts w:ascii="Times New Roman" w:hAnsi="Times New Roman"/>
                <w:caps/>
                <w:color w:val="000000"/>
                <w:sz w:val="20"/>
              </w:rPr>
              <w:t>14</w:t>
            </w:r>
          </w:p>
        </w:tc>
      </w:tr>
      <w:tr>
        <w:trPr/>
        <w:tc>
          <w:tcPr>
            <w:tcW w:w="7786" w:type="dxa"/>
            <w:tcBorders/>
            <w:shd w:fill="FFFFFF" w:val="clear"/>
            <w:tcMar>
              <w:top w:w="0" w:type="dxa"/>
              <w:left w:w="0" w:type="dxa"/>
              <w:bottom w:w="0" w:type="dxa"/>
              <w:right w:w="0" w:type="dxa"/>
            </w:tcMar>
            <w:vAlign w:val="center"/>
          </w:tcPr>
          <w:p>
            <w:pPr>
              <w:pStyle w:val="TableContents"/>
              <w:pBdr/>
              <w:bidi w:val="0"/>
              <w:spacing w:before="0" w:after="283"/>
              <w:ind w:left="0" w:right="0" w:hanging="720"/>
              <w:jc w:val="left"/>
              <w:rPr>
                <w:rFonts w:ascii="Times New Roman" w:hAnsi="Times New Roman"/>
                <w:caps/>
                <w:color w:val="000000"/>
                <w:sz w:val="20"/>
              </w:rPr>
            </w:pPr>
            <w:r>
              <w:rPr>
                <w:rFonts w:ascii="Times New Roman" w:hAnsi="Times New Roman"/>
                <w:caps/>
                <w:color w:val="000000"/>
                <w:sz w:val="20"/>
              </w:rPr>
              <w:t>5. Additional Limitations on Transferability of Awards</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14</w:t>
            </w:r>
          </w:p>
        </w:tc>
      </w:tr>
      <w:tr>
        <w:trPr/>
        <w:tc>
          <w:tcPr>
            <w:tcW w:w="9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2019 Stock Incentive Plan</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of</w:t>
      </w:r>
    </w:p>
    <w:p>
      <w:pPr>
        <w:pStyle w:val="TextBody"/>
        <w:bidi w:val="0"/>
        <w:spacing w:before="0" w:after="480"/>
        <w:jc w:val="center"/>
        <w:rPr>
          <w:rFonts w:ascii="Times New Roman" w:hAnsi="Times New Roman"/>
          <w:b/>
          <w:smallCaps/>
          <w:color w:val="000000"/>
          <w:sz w:val="22"/>
        </w:rPr>
      </w:pPr>
      <w:r>
        <w:rPr>
          <w:rFonts w:ascii="Times New Roman" w:hAnsi="Times New Roman"/>
          <w:b/>
          <w:smallCaps/>
          <w:color w:val="000000"/>
          <w:sz w:val="22"/>
        </w:rPr>
        <w:t>Faeth Therapeutics, Inc.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Purpose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purpose of this 2019 Stock Incentive Plan (the “</w:t>
      </w:r>
      <w:r>
        <w:rPr>
          <w:rFonts w:ascii="Times New Roman" w:hAnsi="Times New Roman"/>
          <w:b/>
          <w:color w:val="000000"/>
          <w:sz w:val="22"/>
        </w:rPr>
        <w:t>Plan</w:t>
      </w:r>
      <w:r>
        <w:rPr>
          <w:rFonts w:ascii="Times New Roman" w:hAnsi="Times New Roman"/>
          <w:color w:val="000000"/>
          <w:sz w:val="20"/>
        </w:rPr>
        <w:t>”</w:t>
      </w:r>
      <w:r>
        <w:rPr>
          <w:rFonts w:ascii="Times New Roman" w:hAnsi="Times New Roman"/>
          <w:color w:val="000000"/>
          <w:sz w:val="22"/>
        </w:rPr>
        <w:t>) of Faeth Therapeutics,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hAnsi="Times New Roman"/>
          <w:b/>
          <w:color w:val="000000"/>
          <w:sz w:val="22"/>
        </w:rPr>
        <w:t>Company</w:t>
      </w:r>
      <w:r>
        <w:rPr>
          <w:rFonts w:ascii="Times New Roman" w:hAnsi="Times New Roman"/>
          <w:color w:val="000000"/>
          <w:sz w:val="20"/>
        </w:rPr>
        <w:t xml:space="preserve">” </w:t>
      </w:r>
      <w:r>
        <w:rPr>
          <w:rFonts w:ascii="Times New Roman" w:hAnsi="Times New Roman"/>
          <w:color w:val="000000"/>
          <w:sz w:val="22"/>
        </w:rPr>
        <w:t>shall include any of the Company’s present and future parent or subsidiary corporations as defined in Sections 424(e) or (f) of the Internal Revenue Code of 1986, as amended, and any regulations thereunder (the “</w:t>
      </w:r>
      <w:r>
        <w:rPr>
          <w:rFonts w:ascii="Times New Roman" w:hAnsi="Times New Roman"/>
          <w:b/>
          <w:color w:val="000000"/>
          <w:sz w:val="22"/>
        </w:rPr>
        <w:t>Code</w:t>
      </w:r>
      <w:r>
        <w:rPr>
          <w:rFonts w:ascii="Times New Roman" w:hAnsi="Times New Roman"/>
          <w:color w:val="000000"/>
          <w:sz w:val="20"/>
        </w:rPr>
        <w:t>”</w:t>
      </w:r>
      <w:r>
        <w:rPr>
          <w:rFonts w:ascii="Times New Roman" w:hAnsi="Times New Roman"/>
          <w:color w:val="000000"/>
          <w:sz w:val="22"/>
        </w:rPr>
        <w:t>) and any other business venture (including, without limitation, joint venture or limited liability company) in which the Company has a controlling interest, as determined by the Board of Directors of the Company (the “</w:t>
      </w:r>
      <w:r>
        <w:rPr>
          <w:rFonts w:ascii="Times New Roman" w:hAnsi="Times New Roman"/>
          <w:b/>
          <w:color w:val="000000"/>
          <w:sz w:val="22"/>
        </w:rPr>
        <w:t>Board</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other business ventures shall be limited to entities that, where required by Section 409A of the Code, are eligible issuers of service recipient stock (as defined in Treas. Reg. Section 1.409A-1(b)(5)(iii)(E), or applicable successor regulation).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Eligibility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All of the Company’s employees, officers and directors, as well as consultants and advisors to the Company (as such terms consultants and advisors are defined and interpreted for purposes of Rule 701 under the Securities Act of 1933, as amended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(or any successor rule)) are eligible to be granted Awards under the Plan. Each person who is granted an Award under the Plan is deemed a “</w:t>
      </w:r>
      <w:r>
        <w:rPr>
          <w:rFonts w:ascii="Times New Roman" w:hAnsi="Times New Roman"/>
          <w:b/>
          <w:color w:val="000000"/>
          <w:sz w:val="22"/>
        </w:rPr>
        <w:t>Participant.</w:t>
      </w:r>
      <w:r>
        <w:rPr>
          <w:rFonts w:ascii="Times New Roman" w:hAnsi="Times New Roman"/>
          <w:color w:val="000000"/>
          <w:sz w:val="20"/>
        </w:rPr>
        <w:t>” “</w:t>
      </w:r>
      <w:r>
        <w:rPr>
          <w:rFonts w:ascii="Times New Roman" w:hAnsi="Times New Roman"/>
          <w:b/>
          <w:color w:val="000000"/>
          <w:sz w:val="22"/>
        </w:rPr>
        <w:t>Award</w:t>
      </w:r>
      <w:r>
        <w:rPr>
          <w:rFonts w:ascii="Times New Roman" w:hAnsi="Times New Roman"/>
          <w:color w:val="000000"/>
          <w:sz w:val="20"/>
        </w:rPr>
        <w:t xml:space="preserve">” </w:t>
      </w:r>
      <w:r>
        <w:rPr>
          <w:rFonts w:ascii="Times New Roman" w:hAnsi="Times New Roman"/>
          <w:color w:val="000000"/>
          <w:sz w:val="22"/>
        </w:rPr>
        <w:t>means Options (as defined in Section 5), SARs (as defined in Section 6), Restricted Stock (as defined in Section 7), Restricted Stock Units (as defined in Section 7) and Other Stock-Based Awards (as defined in Section 8).</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Administration and Delegation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Administration by the Board</w:t>
      </w:r>
      <w:r>
        <w:rPr>
          <w:rFonts w:ascii="Times New Roman" w:hAnsi="Times New Roman"/>
          <w:color w:val="000000"/>
          <w:sz w:val="22"/>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actions and decisions by the Board with respect to the Plan and any Awards shall be made in the Board’s discretion and shall be final and binding on all Participants and any other persons having or claiming any interest in the Plan or in any Award.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Appointment of Committees</w:t>
      </w:r>
      <w:r>
        <w:rPr>
          <w:rFonts w:ascii="Times New Roman" w:hAnsi="Times New Roman"/>
          <w:color w:val="000000"/>
          <w:sz w:val="22"/>
        </w:rPr>
        <w:t>. To the extent permitted by applicable law, the Board may delegate any or all of its powers under the Plan to one or more committees or subcommittees of the Board (each, a “</w:t>
      </w:r>
      <w:r>
        <w:rPr>
          <w:rFonts w:ascii="Times New Roman" w:hAnsi="Times New Roman"/>
          <w:b/>
          <w:color w:val="000000"/>
          <w:sz w:val="22"/>
        </w:rPr>
        <w:t>Committee</w:t>
      </w:r>
      <w:r>
        <w:rPr>
          <w:rFonts w:ascii="Times New Roman" w:hAnsi="Times New Roman"/>
          <w:color w:val="000000"/>
          <w:sz w:val="20"/>
        </w:rPr>
        <w:t>”</w:t>
      </w:r>
      <w:r>
        <w:rPr>
          <w:rFonts w:ascii="Times New Roman" w:hAnsi="Times New Roman"/>
          <w:color w:val="000000"/>
          <w:sz w:val="22"/>
        </w:rPr>
        <w:t>). All references in the Plan to the “</w:t>
      </w:r>
      <w:r>
        <w:rPr>
          <w:rFonts w:ascii="Times New Roman" w:hAnsi="Times New Roman"/>
          <w:b/>
          <w:color w:val="000000"/>
          <w:sz w:val="22"/>
        </w:rPr>
        <w:t>Board</w:t>
      </w:r>
      <w:r>
        <w:rPr>
          <w:rFonts w:ascii="Times New Roman" w:hAnsi="Times New Roman"/>
          <w:color w:val="000000"/>
          <w:sz w:val="20"/>
        </w:rPr>
        <w:t xml:space="preserve">” </w:t>
      </w:r>
      <w:r>
        <w:rPr>
          <w:rFonts w:ascii="Times New Roman" w:hAnsi="Times New Roman"/>
          <w:color w:val="000000"/>
          <w:sz w:val="22"/>
        </w:rPr>
        <w:t>shall mean the Board or a Committee to the extent that the Board’s powers or authority under the Plan have been delegated to such Committee.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Stock Available for Awards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 Number of Shares. Subject to adjustment under Section 9, Awards may be made under the Plan for up to 3,636,410 shares of common stock, $0.0001 par value per share, of the Company (the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any or all of which Awards may be in the form of Incentive Stock Options (as defined in Section 5(b)).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subject to such Award shall again be available for the grant of Awards under the Plan. Further, shares of Common Stock tendered to the Company by a Participant to exercise an Award or to satisfy tax withholding obligations arising with respect to an Award shall be added to the number of shares of Common Stock available for the grant of Awards under the Plan. However, in the case of Incentive Stock Options, the two immediately preceding sentences shall be subject to any limitations under the Code. Shares issued under the Plan may consist in whole or in part of authorized but unissued shares or treasury shares.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Substitute Awards</w:t>
      </w:r>
      <w:r>
        <w:rPr>
          <w:rFonts w:ascii="Times New Roman" w:hAnsi="Times New Roman"/>
          <w:color w:val="000000"/>
          <w:sz w:val="22"/>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Stock Options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w:t>
      </w:r>
      <w:r>
        <w:rPr>
          <w:rFonts w:ascii="Times New Roman" w:hAnsi="Times New Roman"/>
          <w:color w:val="000000"/>
          <w:sz w:val="22"/>
        </w:rPr>
        <w:t>. The Board may grant options to purchase Common Stock (each, an “</w:t>
      </w:r>
      <w:r>
        <w:rPr>
          <w:rFonts w:ascii="Times New Roman" w:hAnsi="Times New Roman"/>
          <w:b/>
          <w:color w:val="000000"/>
          <w:sz w:val="22"/>
        </w:rPr>
        <w:t>Option</w:t>
      </w:r>
      <w:r>
        <w:rPr>
          <w:rFonts w:ascii="Times New Roman" w:hAnsi="Times New Roman"/>
          <w:color w:val="000000"/>
          <w:sz w:val="20"/>
        </w:rPr>
        <w:t>”</w:t>
      </w:r>
      <w:r>
        <w:rPr>
          <w:rFonts w:ascii="Times New Roman" w:hAnsi="Times New Roman"/>
          <w:color w:val="000000"/>
          <w:sz w:val="22"/>
        </w:rPr>
        <w:t>) and determine the number of shares of Common Stock to be subject to each Option, the exercise price of each Option and the conditions and limitations applicable to the exercise of each Option, including conditions relating to applicable federal or state securities laws, as it considers necessary or advisable.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Incentive Stock Options</w:t>
      </w:r>
      <w:r>
        <w:rPr>
          <w:rFonts w:ascii="Times New Roman" w:hAnsi="Times New Roman"/>
          <w:color w:val="000000"/>
          <w:sz w:val="22"/>
        </w:rPr>
        <w:t>. An Option that the Board intends to be an “</w:t>
      </w:r>
      <w:r>
        <w:rPr>
          <w:rFonts w:ascii="Times New Roman" w:hAnsi="Times New Roman"/>
          <w:b/>
          <w:color w:val="000000"/>
          <w:sz w:val="22"/>
        </w:rPr>
        <w:t>incentive stock option</w:t>
      </w:r>
      <w:r>
        <w:rPr>
          <w:rFonts w:ascii="Times New Roman" w:hAnsi="Times New Roman"/>
          <w:color w:val="000000"/>
          <w:sz w:val="20"/>
        </w:rPr>
        <w:t xml:space="preserve">” </w:t>
      </w:r>
      <w:r>
        <w:rPr>
          <w:rFonts w:ascii="Times New Roman" w:hAnsi="Times New Roman"/>
          <w:color w:val="000000"/>
          <w:sz w:val="22"/>
        </w:rPr>
        <w:t>as defined in Section 422 of the Code (an “</w:t>
      </w:r>
      <w:r>
        <w:rPr>
          <w:rFonts w:ascii="Times New Roman" w:hAnsi="Times New Roman"/>
          <w:b/>
          <w:color w:val="000000"/>
          <w:sz w:val="22"/>
        </w:rPr>
        <w:t>Incentive Stock Option</w:t>
      </w:r>
      <w:r>
        <w:rPr>
          <w:rFonts w:ascii="Times New Roman" w:hAnsi="Times New Roman"/>
          <w:color w:val="000000"/>
          <w:sz w:val="20"/>
        </w:rPr>
        <w:t>”</w:t>
      </w:r>
      <w:r>
        <w:rPr>
          <w:rFonts w:ascii="Times New Roman" w:hAnsi="Times New Roman"/>
          <w:color w:val="000000"/>
          <w:sz w:val="22"/>
        </w:rPr>
        <w:t>) shall only be granted to employees of Faeth Therapeutics, Inc., any of Faeth Therapeutics, Inc.’s present and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non-statutory stock option (a “</w:t>
      </w:r>
      <w:r>
        <w:rPr>
          <w:rFonts w:ascii="Times New Roman" w:hAnsi="Times New Roman"/>
          <w:b/>
          <w:color w:val="000000"/>
          <w:sz w:val="22"/>
        </w:rPr>
        <w:t>Nonstatutory Stock Option).</w:t>
      </w:r>
      <w:r>
        <w:rPr>
          <w:rFonts w:ascii="Times New Roman" w:hAnsi="Times New Roman"/>
          <w:color w:val="000000"/>
          <w:sz w:val="20"/>
        </w:rPr>
        <w:t xml:space="preserve">” </w:t>
      </w:r>
      <w:r>
        <w:rPr>
          <w:rFonts w:ascii="Times New Roman" w:hAnsi="Times New Roman"/>
          <w:color w:val="000000"/>
          <w:sz w:val="22"/>
        </w:rPr>
        <w:t>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Exercise Price</w:t>
      </w:r>
      <w:r>
        <w:rPr>
          <w:rFonts w:ascii="Times New Roman" w:hAnsi="Times New Roman"/>
          <w:color w:val="000000"/>
          <w:sz w:val="22"/>
        </w:rPr>
        <w:t>. The Board shall establish the exercise price of each Option and specify the exercise price in the applicable Option agreement. The exercise price shall be not less than 100% of the Grant Date Fair Market Value (as defined below) of the Common Stock on the date the Option is granted; provided that if the Board approves the grant of an Option with an exercise price to be determined on a future date, the exercise price shall not be less than 100% of the Grant Date Fair Market Value on such future date. The “</w:t>
      </w:r>
      <w:r>
        <w:rPr>
          <w:rFonts w:ascii="Times New Roman" w:hAnsi="Times New Roman"/>
          <w:b/>
          <w:color w:val="000000"/>
          <w:sz w:val="22"/>
        </w:rPr>
        <w:t>Grant Date Fair Market Value</w:t>
      </w:r>
      <w:r>
        <w:rPr>
          <w:rFonts w:ascii="Times New Roman" w:hAnsi="Times New Roman"/>
          <w:color w:val="000000"/>
          <w:sz w:val="20"/>
        </w:rPr>
        <w:t xml:space="preserve">” </w:t>
      </w:r>
      <w:r>
        <w:rPr>
          <w:rFonts w:ascii="Times New Roman" w:hAnsi="Times New Roman"/>
          <w:color w:val="000000"/>
          <w:sz w:val="22"/>
        </w:rPr>
        <w:t>of a share of Common Stock for purposes of the Plan will be determined as follows: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(1) if the Common Stock is not publicly traded, the Board will determine the Fair Market Value for purposes of the Plan using any measure of value it determines to be appropriate (including,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it considers appropriate, relying on appraisals) in a manner consistent with the valuation principles under Code Section 409A, except as the Board may expressly determine otherwise;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 if the Common Stock is listed on a national securities exchange, the closing sale price (for the primary trading session) on the date of grant; or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(3) if the Common Stock is not listed on any such exchange, the average of the closing bid and asked prices as reported by an authorized OTCBB market data vendor as listed on the OTCBB website (otcbb.com) on the date of grant.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w:t>
      </w:r>
      <w:r>
        <w:rPr>
          <w:rFonts w:ascii="Times New Roman" w:hAnsi="Times New Roman"/>
          <w:b/>
          <w:color w:val="000000"/>
          <w:sz w:val="22"/>
        </w:rPr>
        <w:t>closing sale price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bid and asked prices</w:t>
      </w:r>
      <w:r>
        <w:rPr>
          <w:rFonts w:ascii="Times New Roman" w:hAnsi="Times New Roman"/>
          <w:color w:val="000000"/>
          <w:sz w:val="20"/>
        </w:rPr>
        <w:t xml:space="preserve">” </w:t>
      </w:r>
      <w:r>
        <w:rPr>
          <w:rFonts w:ascii="Times New Roman" w:hAnsi="Times New Roman"/>
          <w:color w:val="000000"/>
          <w:sz w:val="22"/>
        </w:rPr>
        <w:t>if appropriate because of exchange or market procedures or can, in its discretion, use weighted averages either on a daily basis or such longer period as complies with Code Section 409A.</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Board has discretion to determine the Grant Date Fair Market Value for purposes of the Plan, and all Awards are conditioned on the applicable Participant’s agreement that the Board’s determination is conclusive and binding even though others might make a different determination.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Duration of Options</w:t>
      </w:r>
      <w:r>
        <w:rPr>
          <w:rFonts w:ascii="Times New Roman" w:hAnsi="Times New Roman"/>
          <w:color w:val="000000"/>
          <w:sz w:val="22"/>
        </w:rPr>
        <w:t>. Each Option shall be exercisable at such times and subject to such terms and conditions as the Board may specify in the applicable option agreement; provided, however, that no Option will be granted with a term in excess of 10 years.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Exercise of Options</w:t>
      </w:r>
      <w:r>
        <w:rPr>
          <w:rFonts w:ascii="Times New Roman" w:hAnsi="Times New Roman"/>
          <w:color w:val="000000"/>
          <w:sz w:val="22"/>
        </w:rPr>
        <w:t>. Options may be exercised by delivery to the Company of a notice of exercise in a form of notice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Payment Upon Exercise</w:t>
      </w:r>
      <w:r>
        <w:rPr>
          <w:rFonts w:ascii="Times New Roman" w:hAnsi="Times New Roman"/>
          <w:color w:val="000000"/>
          <w:sz w:val="22"/>
        </w:rPr>
        <w:t>. Common Stock purchased upon the exercise of an Option granted under the Plan shall be paid for as follows: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 in cash or by check, payable to the order of the Company;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(2) when the Common Stock is registered under the Securities Exchange Act of 1934, as amended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except as may otherwise be provided in the applicable Option agreement or approved by the Board, in its discretion,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(3) when the Common Stock is registered under the Exchange Act and to the extent provided for in the applicable Option agreement or approved by the Board, in its discretion, by delivery (either by actual delivery or attestation) of shares of Common Stock owned by the Participant valued at their fair market value (valued in the manner determined by (or in a manner approved by) the Board),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(i) such method of payment is then permitted under applicable law, (ii) such Common Stock, if acquired directly from the Company, was owned by the Participant for such minimum period of time, if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as may be established by the Board in its discretion and such Common Stock is not subject to any repurchase, forfeiture, unfulfilled vesting or other similar requirements;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(4) to the extent provided for in the applicable Nonstatutory Stock Option agreement or approved by the Board in its discretion, by delivery of a notice of “</w:t>
      </w:r>
      <w:r>
        <w:rPr>
          <w:rFonts w:ascii="Times New Roman" w:hAnsi="Times New Roman"/>
          <w:b/>
          <w:color w:val="000000"/>
          <w:sz w:val="22"/>
        </w:rPr>
        <w:t>net exercise</w:t>
      </w:r>
      <w:r>
        <w:rPr>
          <w:rFonts w:ascii="Times New Roman" w:hAnsi="Times New Roman"/>
          <w:color w:val="000000"/>
          <w:sz w:val="20"/>
        </w:rPr>
        <w:t xml:space="preserve">” </w:t>
      </w:r>
      <w:r>
        <w:rPr>
          <w:rFonts w:ascii="Times New Roman" w:hAnsi="Times New Roman"/>
          <w:color w:val="000000"/>
          <w:sz w:val="22"/>
        </w:rPr>
        <w:t>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 to the extent permitted by applicable law and provided for in the applicable Option agreement or approved by the Board, in its discretion, by (i) delivery of a promissory note of the Participant to the Company on terms determined by the Board, or (ii) payment of such other lawful consideration as the Board may determine; or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 by any combination of the above permitted forms of payment.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Stock Appreciation Rights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w:t>
      </w:r>
      <w:r>
        <w:rPr>
          <w:rFonts w:ascii="Times New Roman" w:hAnsi="Times New Roman"/>
          <w:color w:val="000000"/>
          <w:sz w:val="22"/>
        </w:rPr>
        <w:t>. The Board may grant Awards consisting of stock appreciation rights (“</w:t>
      </w:r>
      <w:r>
        <w:rPr>
          <w:rFonts w:ascii="Times New Roman" w:hAnsi="Times New Roman"/>
          <w:b/>
          <w:color w:val="000000"/>
          <w:sz w:val="22"/>
        </w:rPr>
        <w:t>SARs</w:t>
      </w:r>
      <w:r>
        <w:rPr>
          <w:rFonts w:ascii="Times New Roman" w:hAnsi="Times New Roman"/>
          <w:color w:val="000000"/>
          <w:sz w:val="20"/>
        </w:rPr>
        <w:t>”</w:t>
      </w:r>
      <w:r>
        <w:rPr>
          <w:rFonts w:ascii="Times New Roman" w:hAnsi="Times New Roman"/>
          <w:color w:val="000000"/>
          <w:sz w:val="22"/>
        </w:rPr>
        <w:t>) entitling the Participant,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Measurement Price</w:t>
      </w:r>
      <w:r>
        <w:rPr>
          <w:rFonts w:ascii="Times New Roman" w:hAnsi="Times New Roman"/>
          <w:color w:val="000000"/>
          <w:sz w:val="22"/>
        </w:rPr>
        <w:t xml:space="preserve">. The Board shall establish the measurement price of each SAR and specify it in the applicable SAR agreement. The measurement price shall not be less than 100% of the Grant Date Fair Market Value of a share of Common Stock on the date the SAR is granted; </w:t>
      </w:r>
      <w:r>
        <w:rPr>
          <w:rFonts w:ascii="Times New Roman" w:hAnsi="Times New Roman"/>
          <w:i/>
          <w:color w:val="000000"/>
          <w:sz w:val="22"/>
        </w:rPr>
        <w:t>provided</w:t>
      </w:r>
      <w:r>
        <w:rPr>
          <w:rFonts w:ascii="Times New Roman" w:hAnsi="Times New Roman"/>
          <w:color w:val="000000"/>
          <w:sz w:val="22"/>
        </w:rPr>
        <w:t>, that if the Board approves the grant of an SAR effective as of a future date, the measurement price shall not be less than 100% of the Grant Date Fair Market Value on such future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Duration of SARs</w:t>
      </w:r>
      <w:r>
        <w:rPr>
          <w:rFonts w:ascii="Times New Roman" w:hAnsi="Times New Roman"/>
          <w:color w:val="000000"/>
          <w:sz w:val="22"/>
        </w:rPr>
        <w:t>. Each SAR shall be exercisable at such times and subject to such terms and conditions as the Board may specify in the applicable SAR agreement; provided, however, that no SAR will be granted with a term in excess of 10 years.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Exercise of SARs</w:t>
      </w:r>
      <w:r>
        <w:rPr>
          <w:rFonts w:ascii="Times New Roman" w:hAnsi="Times New Roman"/>
          <w:color w:val="000000"/>
          <w:sz w:val="22"/>
        </w:rPr>
        <w:t>. SARs may be exercised by delivery to the Company of a notice of exercise in a form (which may be electronic) approved by the Company, together with any other documents required by the Board.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Restricted Stock; Restricted Stock Units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w:t>
      </w:r>
      <w:r>
        <w:rPr>
          <w:rFonts w:ascii="Times New Roman" w:hAnsi="Times New Roman"/>
          <w:color w:val="000000"/>
          <w:sz w:val="22"/>
        </w:rPr>
        <w:t>. The Board may grant Awards entitling Participants to acquire shares of Common Stock (“</w:t>
      </w:r>
      <w:r>
        <w:rPr>
          <w:rFonts w:ascii="Times New Roman" w:hAnsi="Times New Roman"/>
          <w:b/>
          <w:color w:val="000000"/>
          <w:sz w:val="22"/>
        </w:rPr>
        <w:t>Restricted Stock</w:t>
      </w:r>
      <w:r>
        <w:rPr>
          <w:rFonts w:ascii="Times New Roman" w:hAnsi="Times New Roman"/>
          <w:color w:val="000000"/>
          <w:sz w:val="20"/>
        </w:rPr>
        <w:t>”</w:t>
      </w:r>
      <w:r>
        <w:rPr>
          <w:rFonts w:ascii="Times New Roman" w:hAnsi="Times New Roman"/>
          <w:color w:val="000000"/>
          <w:sz w:val="22"/>
        </w:rPr>
        <w:t>), subject to the right of the Company to repurchase all or part of such shares at their issue price or other stated or formula price (or to require forfeiture of such shares if issued at no cost) from the Participant in the event that conditions specified by the Board in the applicable Award are not satisfied prior to the end of the applicable restriction period or periods established by the Board for such Award. The Board may also grant Awards entitling the Participant to receive shares of Common Stock or cash to be delivered at the time such Award vests (“</w:t>
      </w:r>
      <w:r>
        <w:rPr>
          <w:rFonts w:ascii="Times New Roman" w:hAnsi="Times New Roman"/>
          <w:b/>
          <w:color w:val="000000"/>
          <w:sz w:val="22"/>
        </w:rPr>
        <w:t>Restricted Stock Units</w:t>
      </w:r>
      <w:r>
        <w:rPr>
          <w:rFonts w:ascii="Times New Roman" w:hAnsi="Times New Roman"/>
          <w:color w:val="000000"/>
          <w:sz w:val="20"/>
        </w:rPr>
        <w:t>”</w:t>
      </w:r>
      <w:r>
        <w:rPr>
          <w:rFonts w:ascii="Times New Roman" w:hAnsi="Times New Roman"/>
          <w:color w:val="000000"/>
          <w:sz w:val="22"/>
        </w:rPr>
        <w:t>) (Restricted Stock and Restricted Stock Units are each referred to herein as a “</w:t>
      </w:r>
      <w:r>
        <w:rPr>
          <w:rFonts w:ascii="Times New Roman" w:hAnsi="Times New Roman"/>
          <w:b/>
          <w:color w:val="000000"/>
          <w:sz w:val="22"/>
        </w:rPr>
        <w:t>Restricted Stock Award</w:t>
      </w:r>
      <w:r>
        <w:rPr>
          <w:rFonts w:ascii="Times New Roman" w:hAnsi="Times New Roman"/>
          <w:color w:val="000000"/>
          <w:sz w:val="20"/>
        </w:rPr>
        <w: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Terms and Conditions for All Restricted Stock Awards</w:t>
      </w:r>
      <w:r>
        <w:rPr>
          <w:rFonts w:ascii="Times New Roman" w:hAnsi="Times New Roman"/>
          <w:color w:val="000000"/>
          <w:sz w:val="22"/>
        </w:rPr>
        <w:t>. The Board shall determine the terms and conditions of a Restricted Stock Award, including the conditions for vesting and repurchase (or forfeiture) and the issue price, if any.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Additional Provisions Relating to Restricted Stock</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Dividends</w:t>
      </w:r>
      <w:r>
        <w:rPr>
          <w:rFonts w:ascii="Times New Roman" w:hAnsi="Times New Roman"/>
          <w:color w:val="000000"/>
          <w:sz w:val="22"/>
        </w:rPr>
        <w:t>. Unless otherwise provided in the applicable Award agreement, any dividends (whether paid in cash, stock or property) declared and paid by the Company with respect to shares of Restricted Stock (“</w:t>
      </w:r>
      <w:r>
        <w:rPr>
          <w:rFonts w:ascii="Times New Roman" w:hAnsi="Times New Roman"/>
          <w:b/>
          <w:color w:val="000000"/>
          <w:sz w:val="22"/>
        </w:rPr>
        <w:t>Accrued Dividends</w:t>
      </w:r>
      <w:r>
        <w:rPr>
          <w:rFonts w:ascii="Times New Roman" w:hAnsi="Times New Roman"/>
          <w:color w:val="000000"/>
          <w:sz w:val="20"/>
        </w:rPr>
        <w:t>”</w:t>
      </w:r>
      <w:r>
        <w:rPr>
          <w:rFonts w:ascii="Times New Roman" w:hAnsi="Times New Roman"/>
          <w:color w:val="000000"/>
          <w:sz w:val="22"/>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Stock Certificates</w:t>
      </w:r>
      <w:r>
        <w:rPr>
          <w:rFonts w:ascii="Times New Roman" w:hAnsi="Times New Roman"/>
          <w:color w:val="000000"/>
          <w:sz w:val="22"/>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Participant’s Designated Beneficiary. “</w:t>
      </w:r>
      <w:r>
        <w:rPr>
          <w:rFonts w:ascii="Times New Roman" w:hAnsi="Times New Roman"/>
          <w:b/>
          <w:color w:val="000000"/>
          <w:sz w:val="22"/>
        </w:rPr>
        <w:t>Designated Beneficiary</w:t>
      </w:r>
      <w:r>
        <w:rPr>
          <w:rFonts w:ascii="Times New Roman" w:hAnsi="Times New Roman"/>
          <w:color w:val="000000"/>
          <w:sz w:val="20"/>
        </w:rPr>
        <w:t xml:space="preserve">” </w:t>
      </w:r>
      <w:r>
        <w:rPr>
          <w:rFonts w:ascii="Times New Roman" w:hAnsi="Times New Roman"/>
          <w:color w:val="000000"/>
          <w:sz w:val="22"/>
        </w:rPr>
        <w:t>means (i) the beneficiary designated, in a manner determined by the Board, by a Participant to receive amounts due or exercise rights of the Participant in the event of the Participant’s death or (ii) in the absence of an effective designation by a Participant, “</w:t>
      </w:r>
      <w:r>
        <w:rPr>
          <w:rFonts w:ascii="Times New Roman" w:hAnsi="Times New Roman"/>
          <w:b/>
          <w:color w:val="000000"/>
          <w:sz w:val="22"/>
        </w:rPr>
        <w:t>Designated Beneficiary</w:t>
      </w:r>
      <w:r>
        <w:rPr>
          <w:rFonts w:ascii="Times New Roman" w:hAnsi="Times New Roman"/>
          <w:color w:val="000000"/>
          <w:sz w:val="20"/>
        </w:rPr>
        <w:t xml:space="preserve">” </w:t>
      </w:r>
      <w:r>
        <w:rPr>
          <w:rFonts w:ascii="Times New Roman" w:hAnsi="Times New Roman"/>
          <w:color w:val="000000"/>
          <w:sz w:val="22"/>
        </w:rPr>
        <w:t>means the Participant’s estate.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Additional Provisions Relating to Restricted Stock Units</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Settlement</w:t>
      </w:r>
      <w:r>
        <w:rPr>
          <w:rFonts w:ascii="Times New Roman" w:hAnsi="Times New Roman"/>
          <w:color w:val="000000"/>
          <w:sz w:val="22"/>
        </w:rPr>
        <w:t>. Upon the vesting of and/or lapsing of any other restrictions (i.e., settlement) with respect to each Restricted Stock Unit,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of Common Stock or a combination thereof. The Board may, in its discretion, provide that settlement of Restricted Stock Units shall be deferred, on a mandatory basis or at the election of the Participant in a manner that complies with Section 409A of the Code.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Voting Rights</w:t>
      </w:r>
      <w:r>
        <w:rPr>
          <w:rFonts w:ascii="Times New Roman" w:hAnsi="Times New Roman"/>
          <w:color w:val="000000"/>
          <w:sz w:val="22"/>
        </w:rPr>
        <w:t>. A Participant shall have no voting rights with respect to any Restricted Stock Units.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Dividend Equivalents</w:t>
      </w:r>
      <w:r>
        <w:rPr>
          <w:rFonts w:ascii="Times New Roman" w:hAnsi="Times New Roman"/>
          <w:color w:val="000000"/>
          <w:sz w:val="22"/>
        </w:rPr>
        <w:t>. The Award agreement for Restricted Stock Units may provide Participants with the right to receive an amount equal to any dividends or other distributions declared and paid on an equal number of outstanding shares of Common Stock (“</w:t>
      </w:r>
      <w:r>
        <w:rPr>
          <w:rFonts w:ascii="Times New Roman" w:hAnsi="Times New Roman"/>
          <w:b/>
          <w:color w:val="000000"/>
          <w:sz w:val="22"/>
        </w:rPr>
        <w:t>Dividend Equivalents</w:t>
      </w:r>
      <w:r>
        <w:rPr>
          <w:rFonts w:ascii="Times New Roman" w:hAnsi="Times New Roman"/>
          <w:color w:val="000000"/>
          <w:sz w:val="20"/>
        </w:rPr>
        <w:t>”</w:t>
      </w:r>
      <w:r>
        <w:rPr>
          <w:rFonts w:ascii="Times New Roman" w:hAnsi="Times New Roman"/>
          <w:color w:val="000000"/>
          <w:sz w:val="22"/>
        </w:rPr>
        <w:t>). Dividend Equivalents may be paid currently or credited to an account for the Participants, may be settled in cash and/or shares of Common Stock and may be subject to the same restrictions on transfer and forfeitability as the Restricted Stock Units with respect to which paid, in each case to the extent provided in the applicable Award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Other Stock-Based Awards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w:t>
      </w:r>
      <w:r>
        <w:rPr>
          <w:rFonts w:ascii="Times New Roman" w:hAnsi="Times New Roman"/>
          <w:color w:val="000000"/>
          <w:sz w:val="22"/>
        </w:rPr>
        <w:t>. The Board may grant other Awards of shares of Common Stock, and other Awards that are valued in whole or in part by reference to, or are otherwise based on, shares of Common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Stock or other property (“</w:t>
      </w:r>
      <w:r>
        <w:rPr>
          <w:rFonts w:ascii="Times New Roman" w:hAnsi="Times New Roman"/>
          <w:b/>
          <w:color w:val="000000"/>
          <w:sz w:val="22"/>
        </w:rPr>
        <w:t>Other Stock-Based Awards</w:t>
      </w:r>
      <w:r>
        <w:rPr>
          <w:rFonts w:ascii="Times New Roman" w:hAnsi="Times New Roman"/>
          <w:color w:val="000000"/>
          <w:sz w:val="20"/>
        </w:rPr>
        <w:t>”</w:t>
      </w:r>
      <w:r>
        <w:rPr>
          <w:rFonts w:ascii="Times New Roman" w:hAnsi="Times New Roman"/>
          <w:color w:val="000000"/>
          <w:sz w:val="22"/>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Terms and Conditions</w:t>
      </w:r>
      <w:r>
        <w:rPr>
          <w:rFonts w:ascii="Times New Roman" w:hAnsi="Times New Roman"/>
          <w:color w:val="000000"/>
          <w:sz w:val="22"/>
        </w:rPr>
        <w:t>. Subject to the provisions of the Plan, the Board shall determine the terms and conditions of each Other Stock-Based Award, including any purchase price applicable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Adjustments for Changes in Common Stock and Certain Other Events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Changes in Capitalization</w:t>
      </w:r>
      <w:r>
        <w:rPr>
          <w:rFonts w:ascii="Times New Roman" w:hAnsi="Times New Roman"/>
          <w:color w:val="000000"/>
          <w:sz w:val="22"/>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number and class of securities and exercise price per share of each outstanding Option, (iii) the share and per-share provisions and the measurement price of each outstanding SAR, (iv) the number of shares subject to and the repurchase price per share subject to each outstanding Award of Restricted Stock and (v) the share and per-share-related provisions and the purchase price, if any, of each outstanding Award of Restricted Stock Unit and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Reorganization Events</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Definition</w:t>
      </w:r>
      <w:r>
        <w:rPr>
          <w:rFonts w:ascii="Times New Roman" w:hAnsi="Times New Roman"/>
          <w:color w:val="000000"/>
          <w:sz w:val="22"/>
        </w:rPr>
        <w:t>. A “</w:t>
      </w:r>
      <w:r>
        <w:rPr>
          <w:rFonts w:ascii="Times New Roman" w:hAnsi="Times New Roman"/>
          <w:b/>
          <w:color w:val="000000"/>
          <w:sz w:val="22"/>
        </w:rPr>
        <w:t>Reorganization Event</w:t>
      </w:r>
      <w:r>
        <w:rPr>
          <w:rFonts w:ascii="Times New Roman" w:hAnsi="Times New Roman"/>
          <w:color w:val="000000"/>
          <w:sz w:val="20"/>
        </w:rPr>
        <w:t xml:space="preserve">” </w:t>
      </w:r>
      <w:r>
        <w:rPr>
          <w:rFonts w:ascii="Times New Roman" w:hAnsi="Times New Roman"/>
          <w:color w:val="000000"/>
          <w:sz w:val="22"/>
        </w:rPr>
        <w:t>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Consequences of a Reorganization Event on Awards Other than Restricted Stock</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2"/>
        </w:rPr>
        <w:t>(i) 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unexercised and/or unvested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payment for each share surrendered in the Reorganization Event (the “</w:t>
      </w:r>
      <w:r>
        <w:rPr>
          <w:rFonts w:ascii="Times New Roman" w:hAnsi="Times New Roman"/>
          <w:b/>
          <w:color w:val="000000"/>
          <w:sz w:val="22"/>
        </w:rPr>
        <w:t>Acquisition Price</w:t>
      </w:r>
      <w:r>
        <w:rPr>
          <w:rFonts w:ascii="Times New Roman" w:hAnsi="Times New Roman"/>
          <w:color w:val="000000"/>
          <w:sz w:val="20"/>
        </w:rPr>
        <w:t>”</w:t>
      </w:r>
      <w:r>
        <w:rPr>
          <w:rFonts w:ascii="Times New Roman" w:hAnsi="Times New Roman"/>
          <w:color w:val="000000"/>
          <w:sz w:val="22"/>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2"/>
        </w:rPr>
        <w:t>(ii) Notwithstanding the terms of Section 9(b)(2)(i), in the case of outstanding Restricted Stock Units that are subject to Section 409A of the Code: (i) if the applicable Restricted Stock Unit agreement provides that the Restricted Stock Units shall be settled upon a “</w:t>
      </w:r>
      <w:r>
        <w:rPr>
          <w:rFonts w:ascii="Times New Roman" w:hAnsi="Times New Roman"/>
          <w:b/>
          <w:color w:val="000000"/>
          <w:sz w:val="22"/>
        </w:rPr>
        <w:t>change in control event</w:t>
      </w:r>
      <w:r>
        <w:rPr>
          <w:rFonts w:ascii="Times New Roman" w:hAnsi="Times New Roman"/>
          <w:color w:val="000000"/>
          <w:sz w:val="20"/>
        </w:rPr>
        <w:t xml:space="preserve">” </w:t>
      </w:r>
      <w:r>
        <w:rPr>
          <w:rFonts w:ascii="Times New Roman" w:hAnsi="Times New Roman"/>
          <w:color w:val="000000"/>
          <w:sz w:val="22"/>
        </w:rPr>
        <w:t>within the meaning of Treasury Regulation Section 1.409A- 3(i)(5)(i), and the Reorganization Event constitutes such a “</w:t>
      </w:r>
      <w:r>
        <w:rPr>
          <w:rFonts w:ascii="Times New Roman" w:hAnsi="Times New Roman"/>
          <w:b/>
          <w:color w:val="000000"/>
          <w:sz w:val="22"/>
        </w:rPr>
        <w:t>change in control event</w:t>
      </w:r>
      <w:r>
        <w:rPr>
          <w:rFonts w:ascii="Times New Roman" w:hAnsi="Times New Roman"/>
          <w:color w:val="000000"/>
          <w:sz w:val="20"/>
        </w:rPr>
        <w:t>”</w:t>
      </w:r>
      <w:r>
        <w:rPr>
          <w:rFonts w:ascii="Times New Roman" w:hAnsi="Times New Roman"/>
          <w:color w:val="000000"/>
          <w:sz w:val="22"/>
        </w:rPr>
        <w:t>, then no assumption or substitution shall be permitted pursuant to Section 9(b)(2)(i) and the Restricted Stock Units shall instead be settled in accordance with the terms of the applicable Restricted Stock Unit agreement; and (ii) the Board may only undertake the actions set forth in clauses (iii), (iv) or (v) of Section 9(b)(2)(i) if the Reorganization Event constitutes a “</w:t>
      </w:r>
      <w:r>
        <w:rPr>
          <w:rFonts w:ascii="Times New Roman" w:hAnsi="Times New Roman"/>
          <w:b/>
          <w:color w:val="000000"/>
          <w:sz w:val="22"/>
        </w:rPr>
        <w:t>change in control event</w:t>
      </w:r>
      <w:r>
        <w:rPr>
          <w:rFonts w:ascii="Times New Roman" w:hAnsi="Times New Roman"/>
          <w:color w:val="000000"/>
          <w:sz w:val="20"/>
        </w:rPr>
        <w:t xml:space="preserve">” </w:t>
      </w:r>
      <w:r>
        <w:rPr>
          <w:rFonts w:ascii="Times New Roman" w:hAnsi="Times New Roman"/>
          <w:color w:val="000000"/>
          <w:sz w:val="22"/>
        </w:rPr>
        <w:t>as defined under Treasury Regulation Section 1.409A-3(i)(5)(i) and such action is permitted or required by Section 409A of the Code; if the Reorganization Event is not a “</w:t>
      </w:r>
      <w:r>
        <w:rPr>
          <w:rFonts w:ascii="Times New Roman" w:hAnsi="Times New Roman"/>
          <w:b/>
          <w:color w:val="000000"/>
          <w:sz w:val="22"/>
        </w:rPr>
        <w:t>change in control event</w:t>
      </w:r>
      <w:r>
        <w:rPr>
          <w:rFonts w:ascii="Times New Roman" w:hAnsi="Times New Roman"/>
          <w:color w:val="000000"/>
          <w:sz w:val="20"/>
        </w:rPr>
        <w:t xml:space="preserve">” </w:t>
      </w:r>
      <w:r>
        <w:rPr>
          <w:rFonts w:ascii="Times New Roman" w:hAnsi="Times New Roman"/>
          <w:color w:val="000000"/>
          <w:sz w:val="22"/>
        </w:rPr>
        <w:t>as so defined or such action is not permitted or required by Section 409A of the Code, and the acquiring or succeeding corporation does not assume or substitute the Restricted Stock Units pursuant to clause (i) of Section 9(b)(2)(i), then the unvested Restricted Stock Units shall terminate immediately prior to the consummation of the Reorganization Event without any payment in exchange therefor.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(iii) For purposes of Section 9(b)(2)(i),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Consequences of a Reorganization Event on Restricted Stock</w:t>
      </w:r>
      <w:r>
        <w:rPr>
          <w:rFonts w:ascii="Times New Roman" w:hAnsi="Times New Roman"/>
          <w:color w:val="000000"/>
          <w:sz w:val="22"/>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Board may provide for termination or deemed satisfaction of such repurchase or other rights under the instrument evidencing any Restricted Stock or any other agreement between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General Provisions Applicable to Awards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Transferability of Awards</w:t>
      </w:r>
      <w:r>
        <w:rPr>
          <w:rFonts w:ascii="Times New Roman" w:hAnsi="Times New Roman"/>
          <w:color w:val="000000"/>
          <w:sz w:val="22"/>
        </w:rPr>
        <w:t>. Awards (or any interest in an Award, including, prior to exercise, any interest in shares of Common Stock issuable upon exercise of an Option or SAR) shall not be sold, assigned, transferred (including by establishing any short position, put equivalent position (as defined in Rule 16a-1 issued under the Exchange Act) or call equivalent position (as defined in Rule 16a-1 issued under the Exchange Act)), pledged, hypothecated or otherwise encumbered by the person to whom they are granted, either voluntarily or by operation of law, and, during the life of the Participant, shall be exercisable only by the Participant; except that Awards, other than Awards subject to Section 409A of the Code, may be transferred to family members (as defined in Rule 701(c)(3) under the Securities Act) through gifts or (other than Incentive Stock Options) domestic relations orders or to an executor or guardian upon the death or disability of the Participant. The Company shall not be required to recognize any such permitted transfer until such time as such permitted transferee shall deliver to the Company a written instrument, as a condition to such transfer,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Documentation</w:t>
      </w:r>
      <w:r>
        <w:rPr>
          <w:rFonts w:ascii="Times New Roman" w:hAnsi="Times New Roman"/>
          <w:color w:val="000000"/>
          <w:sz w:val="22"/>
        </w:rPr>
        <w:t>. Each Award shall be evidenced in such form (written, electronic or otherwise) as the Board shall determine. Each Award may contain terms and conditions in addition to those set forth in the Plan.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Board Discretion</w:t>
      </w:r>
      <w:r>
        <w:rPr>
          <w:rFonts w:ascii="Times New Roman" w:hAnsi="Times New Roman"/>
          <w:color w:val="000000"/>
          <w:sz w:val="22"/>
        </w:rPr>
        <w:t>. Except as otherwise provided by the Plan, each Award may be made alone or in addition or in relation to any other Award. The terms of each Award need not be identical, and the Board need not treat Participants uniformly.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Termination of Status</w:t>
      </w:r>
      <w:r>
        <w:rPr>
          <w:rFonts w:ascii="Times New Roman" w:hAnsi="Times New Roman"/>
          <w:color w:val="000000"/>
          <w:sz w:val="22"/>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Withholding</w:t>
      </w:r>
      <w:r>
        <w:rPr>
          <w:rFonts w:ascii="Times New Roman" w:hAnsi="Times New Roman"/>
          <w:color w:val="000000"/>
          <w:sz w:val="22"/>
        </w:rPr>
        <w:t>.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discretion, a Participant may satisfy such tax obligations in whole or in part by delivery (either by actual delivery or attestation) of shares of Common Stock, including shares retained from the Award creating the tax obligation, valued at their fair market value (valued in the manner determined by (or in a manner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approved by) the Company);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w:t>
      </w:r>
      <w:r>
        <w:rPr>
          <w:rFonts w:ascii="Times New Roman" w:hAnsi="Times New Roman"/>
          <w:i/>
          <w:color w:val="000000"/>
          <w:sz w:val="22"/>
        </w:rPr>
        <w:t>except</w:t>
      </w:r>
      <w:r>
        <w:rPr>
          <w:rFonts w:ascii="Times New Roman" w:hAnsi="Times New Roman"/>
          <w:color w:val="000000"/>
          <w:sz w:val="20"/>
        </w:rPr>
        <w:t xml:space="preserve"> </w:t>
      </w:r>
      <w:r>
        <w:rPr>
          <w:rFonts w:ascii="Times New Roman" w:hAnsi="Times New Roman"/>
          <w:i/>
          <w:color w:val="000000"/>
          <w:sz w:val="22"/>
        </w:rPr>
        <w:t>that</w:t>
      </w:r>
      <w:r>
        <w:rPr>
          <w:rFonts w:ascii="Times New Roman" w:hAnsi="Times New Roman"/>
          <w:color w:val="000000"/>
          <w:sz w:val="22"/>
        </w:rPr>
        <w:t>, to the extent that the Company is able to retain shares of Common Stock having a fair market value (valued in the manner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(valued in the manner determined by (or in a manner approved by) the Company) equal to the maximum individual statutory rate of tax) as the Company shall determine in its discretion to satisfy the tax liability associated with any Award. Shares used to satisfy tax withholding requirements cannot be subject to any repurchase, forfeiture, unfulfilled vesting or other similar requirements.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Amendment of Award</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 The Board may, without stockholder approval, amend any outstanding Award granted under the Plan to provide an exercise price per share that is lower than the then- 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Conditions on Delivery of Stock</w:t>
      </w:r>
      <w:r>
        <w:rPr>
          <w:rFonts w:ascii="Times New Roman" w:hAnsi="Times New Roman"/>
          <w:color w:val="000000"/>
          <w:sz w:val="22"/>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Acceleration</w:t>
      </w:r>
      <w:r>
        <w:rPr>
          <w:rFonts w:ascii="Times New Roman" w:hAnsi="Times New Roman"/>
          <w:color w:val="000000"/>
          <w:sz w:val="22"/>
        </w:rPr>
        <w:t>. The Board may at any time provide that any Award shall become immediately exercisable in whole or in part, free of some or all restrictions or conditions, or otherwise realizable in whole or in part, as the case may be.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 Right To Employment or Other Status</w:t>
      </w:r>
      <w:r>
        <w:rPr>
          <w:rFonts w:ascii="Times New Roman" w:hAnsi="Times New Roman"/>
          <w:color w:val="000000"/>
          <w:sz w:val="22"/>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 Rights As Stockholder</w:t>
      </w:r>
      <w:r>
        <w:rPr>
          <w:rFonts w:ascii="Times New Roman" w:hAnsi="Times New Roman"/>
          <w:color w:val="000000"/>
          <w:sz w:val="22"/>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Effective Date and Term of Plan</w:t>
      </w:r>
      <w:r>
        <w:rPr>
          <w:rFonts w:ascii="Times New Roman" w:hAnsi="Times New Roman"/>
          <w:color w:val="000000"/>
          <w:sz w:val="22"/>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Amendment of Plan</w:t>
      </w:r>
      <w:r>
        <w:rPr>
          <w:rFonts w:ascii="Times New Roman" w:hAnsi="Times New Roman"/>
          <w:color w:val="000000"/>
          <w:sz w:val="22"/>
        </w:rPr>
        <w:t>. The Board may amend, suspend or terminate the Plan or any portion thereof at any time; provided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Authorization of Sub-Plans (including Grants to non-U.S. Employees)</w:t>
      </w:r>
      <w:r>
        <w:rPr>
          <w:rFonts w:ascii="Times New Roman" w:hAnsi="Times New Roman"/>
          <w:color w:val="000000"/>
          <w:sz w:val="22"/>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Compliance with Section 409A of the Code</w:t>
      </w:r>
      <w:r>
        <w:rPr>
          <w:rFonts w:ascii="Times New Roman" w:hAnsi="Times New Roman"/>
          <w:color w:val="000000"/>
          <w:sz w:val="22"/>
        </w:rPr>
        <w:t>. If and to the extent (i) any portion of any payment, compensation or other benefit provided to a Participant pursuant to the Plan in connection with Participant’s employment termination constitutes “</w:t>
      </w:r>
      <w:r>
        <w:rPr>
          <w:rFonts w:ascii="Times New Roman" w:hAnsi="Times New Roman"/>
          <w:b/>
          <w:color w:val="000000"/>
          <w:sz w:val="22"/>
        </w:rPr>
        <w:t>nonqualified deferred compensation</w:t>
      </w:r>
      <w:r>
        <w:rPr>
          <w:rFonts w:ascii="Times New Roman" w:hAnsi="Times New Roman"/>
          <w:color w:val="000000"/>
          <w:sz w:val="20"/>
        </w:rPr>
        <w:t xml:space="preserve">” </w:t>
      </w:r>
      <w:r>
        <w:rPr>
          <w:rFonts w:ascii="Times New Roman" w:hAnsi="Times New Roman"/>
          <w:color w:val="000000"/>
          <w:sz w:val="22"/>
        </w:rPr>
        <w:t>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the Participant is bound, such portion of the payment, compensation or other benefit shall not be paid before the day that is six months plus one day after the date of “</w:t>
      </w:r>
      <w:r>
        <w:rPr>
          <w:rFonts w:ascii="Times New Roman" w:hAnsi="Times New Roman"/>
          <w:b/>
          <w:color w:val="000000"/>
          <w:sz w:val="22"/>
        </w:rPr>
        <w:t>separation from service</w:t>
      </w:r>
      <w:r>
        <w:rPr>
          <w:rFonts w:ascii="Times New Roman" w:hAnsi="Times New Roman"/>
          <w:color w:val="000000"/>
          <w:sz w:val="20"/>
        </w:rPr>
        <w:t xml:space="preserve">” </w:t>
      </w:r>
      <w:r>
        <w:rPr>
          <w:rFonts w:ascii="Times New Roman" w:hAnsi="Times New Roman"/>
          <w:color w:val="000000"/>
          <w:sz w:val="22"/>
        </w:rPr>
        <w:t>(as determined under Section 409A of the Code) (the “</w:t>
      </w:r>
      <w:r>
        <w:rPr>
          <w:rFonts w:ascii="Times New Roman" w:hAnsi="Times New Roman"/>
          <w:b/>
          <w:color w:val="000000"/>
          <w:sz w:val="22"/>
        </w:rPr>
        <w:t>New Payment Date</w:t>
      </w:r>
      <w:r>
        <w:rPr>
          <w:rFonts w:ascii="Times New Roman" w:hAnsi="Times New Roman"/>
          <w:color w:val="000000"/>
          <w:sz w:val="20"/>
        </w:rPr>
        <w:t>”</w:t>
      </w:r>
      <w:r>
        <w:rPr>
          <w:rFonts w:ascii="Times New Roman" w:hAnsi="Times New Roman"/>
          <w:color w:val="000000"/>
          <w:sz w:val="22"/>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Limitations on Liability</w:t>
      </w:r>
      <w:r>
        <w:rPr>
          <w:rFonts w:ascii="Times New Roman" w:hAnsi="Times New Roman"/>
          <w:color w:val="000000"/>
          <w:sz w:val="22"/>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the Plan, nor will such individual be personally liable with respect to the Plan because of any contract or other instrument such individual executes in such individual’s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Governing Law</w:t>
      </w:r>
      <w:r>
        <w:rPr>
          <w:rFonts w:ascii="Times New Roman" w:hAnsi="Times New Roman"/>
          <w:color w:val="000000"/>
          <w:sz w:val="22"/>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FAETH THERAPEUTICS,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2019 STOCK INCENTIVE PLAN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CALIFORNIA SUPPLEMENT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Pursuant to Section 11(e) of the Plan, the Board has adopted this supplement for purposes of satisfying the requirements of Section 25102(o) of the California Law:</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Any Awards granted under the Plan to a Participant who is a resident of the State of California on the date of grant (a “California Participant”) shall be subject to the following additional limitations, terms and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Additional Limitations on Options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Maximum Duration of Options</w:t>
      </w:r>
      <w:r>
        <w:rPr>
          <w:rFonts w:ascii="Times New Roman" w:hAnsi="Times New Roman"/>
          <w:color w:val="000000"/>
          <w:sz w:val="22"/>
        </w:rPr>
        <w:t>. No Options granted to California Participants shall have a term in excess of 10 years measured from the Option grant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Minimum Exercise Period Following Termination</w:t>
      </w:r>
      <w:r>
        <w:rPr>
          <w:rFonts w:ascii="Times New Roman" w:hAnsi="Times New Roman"/>
          <w:color w:val="000000"/>
          <w:sz w:val="22"/>
        </w:rPr>
        <w:t>. Unless a California Participant’s employment is terminated for cause (as defined by applicable law, the terms of the Plan or option grant or a contract of employment), in the event of termination of employment of such Participant, such Participant shall have the right to exercise an Option, to the extent that such Participant is entitled to exercise such Option on the date employment terminated, until the earlier of: (i) at least six months from the date of termination, if termination was caused by such Participant’s death or disability, (ii) at least 30 days from the date of termination, if termination was caused other than by such Participant’s death or disability and (iii) the Option expiration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Additional Limitations for Other Stock-Based Awards</w:t>
      </w:r>
      <w:r>
        <w:rPr>
          <w:rFonts w:ascii="Times New Roman" w:hAnsi="Times New Roman"/>
          <w:color w:val="000000"/>
          <w:sz w:val="22"/>
        </w:rPr>
        <w:t>. The terms of all Awards granted to a California Participant under Section 8 of the Plan shall comply, to the extent applicable, with Section 260.140.46 of the California Code of Regulations.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Additional Limitations on Timing of Awards</w:t>
      </w:r>
      <w:r>
        <w:rPr>
          <w:rFonts w:ascii="Times New Roman" w:hAnsi="Times New Roman"/>
          <w:color w:val="000000"/>
          <w:sz w:val="22"/>
        </w:rPr>
        <w:t>. No Award granted to a California Participant shall become exercisable, vested or realizable, as applicable to such Award, unless the Plan has been approved by the holders of a majority of the Company’s outstanding voting securities by the later of (i) within 12 months before or after the date the Plan was adopted by the Board, or (ii) prior to or within 12 months of the granting of any Award to a California Participant.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Additional Restriction Regarding Recapitalizations, Stock Splits, Etc.</w:t>
      </w:r>
      <w:r>
        <w:rPr>
          <w:rFonts w:ascii="Times New Roman" w:hAnsi="Times New Roman"/>
          <w:color w:val="000000"/>
          <w:sz w:val="20"/>
        </w:rPr>
        <w:t xml:space="preserve"> </w:t>
      </w:r>
      <w:r>
        <w:rPr>
          <w:rFonts w:ascii="Times New Roman" w:hAnsi="Times New Roman"/>
          <w:color w:val="000000"/>
          <w:sz w:val="22"/>
        </w:rPr>
        <w:t>For purposes of Section 9 of the Plan, in the event of a stock split, reverse stock split, stock dividend, recapitalization, combination, reclassification or other distribution of the Company's securities underlying the Award without the receipt of consideration by the Company, the number of securities purchasable, and in the case of Options, the exercise price of such Options, shall be proportionately adjusted.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Additional Limitations on Transferability of Awards</w:t>
      </w:r>
      <w:r>
        <w:rPr>
          <w:rFonts w:ascii="Times New Roman" w:hAnsi="Times New Roman"/>
          <w:color w:val="000000"/>
          <w:sz w:val="22"/>
        </w:rPr>
        <w:t>. Notwithstanding the provisions of Section 10(a) of the Plan, an Award granted to a California Participant may not be transferred to an executor or guardian upon the disability of the Participant.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Faeth Therapeutics, Inc.</w:t>
        <w:br/>
        <w:br/>
        <w:t>Stock Option Agreement</w:t>
        <w:br/>
        <w:t>Granted Under 2019 Stock Incentive Plan</w:t>
      </w:r>
    </w:p>
    <w:p>
      <w:pPr>
        <w:pStyle w:val="TextBody"/>
        <w:bidi w:val="0"/>
        <w:spacing w:before="0" w:after="240"/>
        <w:jc w:val="left"/>
        <w:rPr>
          <w:rFonts w:ascii="Times New Roman" w:hAnsi="Times New Roman"/>
          <w:sz w:val="20"/>
        </w:rPr>
      </w:pPr>
      <w:r>
        <w:rPr>
          <w:rFonts w:ascii="Times New Roman" w:hAnsi="Times New Roman"/>
          <w:color w:val="000000"/>
          <w:sz w:val="24"/>
        </w:rPr>
        <w:t>This Stock Option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between Faeth Therapeutics,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the Participant pursuant to the 2019 Stock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Notice of Grant</w:t>
      </w:r>
    </w:p>
    <w:p>
      <w:pPr>
        <w:pStyle w:val="TextBody"/>
        <w:bidi w:val="0"/>
        <w:jc w:val="left"/>
        <w:rPr>
          <w:rFonts w:ascii="Times New Roman" w:hAnsi="Times New Roman"/>
          <w:b/>
          <w:color w:val="000000"/>
          <w:sz w:val="24"/>
        </w:rPr>
      </w:pPr>
      <w:r>
        <w:rPr>
          <w:rFonts w:ascii="Times New Roman" w:hAnsi="Times New Roman"/>
          <w:b/>
          <w:color w:val="000000"/>
          <w:sz w:val="24"/>
        </w:rPr>
        <w:t>I. Participant Information</w:t>
      </w:r>
    </w:p>
    <w:tbl>
      <w:tblPr>
        <w:tblW w:w="2217" w:type="dxa"/>
        <w:jc w:val="left"/>
        <w:tblInd w:w="0" w:type="dxa"/>
        <w:tblLayout w:type="fixed"/>
        <w:tblCellMar>
          <w:top w:w="28" w:type="dxa"/>
          <w:left w:w="28" w:type="dxa"/>
          <w:bottom w:w="28" w:type="dxa"/>
          <w:right w:w="28" w:type="dxa"/>
        </w:tblCellMar>
      </w:tblPr>
      <w:tblGrid>
        <w:gridCol w:w="202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Participant:</w:t>
            </w:r>
          </w:p>
        </w:tc>
        <w:tc>
          <w:tcPr>
            <w:tcW w:w="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2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Participant Address:</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II. Grant Information</w:t>
      </w:r>
    </w:p>
    <w:tbl>
      <w:tblPr>
        <w:tblW w:w="8222" w:type="dxa"/>
        <w:jc w:val="left"/>
        <w:tblInd w:w="0" w:type="dxa"/>
        <w:tblLayout w:type="fixed"/>
        <w:tblCellMar>
          <w:top w:w="28" w:type="dxa"/>
          <w:left w:w="28" w:type="dxa"/>
          <w:bottom w:w="28" w:type="dxa"/>
          <w:right w:w="28" w:type="dxa"/>
        </w:tblCellMar>
      </w:tblPr>
      <w:tblGrid>
        <w:gridCol w:w="3031"/>
        <w:gridCol w:w="5191"/>
      </w:tblGrid>
      <w:tr>
        <w:trPr/>
        <w:tc>
          <w:tcPr>
            <w:tcW w:w="3031"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30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Date:</w:t>
            </w:r>
          </w:p>
        </w:tc>
        <w:tc>
          <w:tcPr>
            <w:tcW w:w="5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30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Shares:</w:t>
            </w:r>
          </w:p>
        </w:tc>
        <w:tc>
          <w:tcPr>
            <w:tcW w:w="5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0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Exercise Price Per Share:</w:t>
            </w:r>
          </w:p>
        </w:tc>
        <w:tc>
          <w:tcPr>
            <w:tcW w:w="5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0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Vesting Commencement Date:</w:t>
            </w:r>
          </w:p>
        </w:tc>
        <w:tc>
          <w:tcPr>
            <w:tcW w:w="5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0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Type of Option:</w:t>
            </w:r>
          </w:p>
        </w:tc>
        <w:tc>
          <w:tcPr>
            <w:tcW w:w="5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[Incentive Stock Option][Nonstatutory Stock Option]</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III. Vesting Table</w:t>
      </w:r>
    </w:p>
    <w:tbl>
      <w:tblPr>
        <w:tblW w:w="10205" w:type="dxa"/>
        <w:jc w:val="left"/>
        <w:tblInd w:w="0" w:type="dxa"/>
        <w:tblLayout w:type="fixed"/>
        <w:tblCellMar>
          <w:top w:w="28" w:type="dxa"/>
          <w:left w:w="28" w:type="dxa"/>
          <w:bottom w:w="28" w:type="dxa"/>
          <w:right w:w="28" w:type="dxa"/>
        </w:tblCellMar>
      </w:tblPr>
      <w:tblGrid>
        <w:gridCol w:w="8867"/>
        <w:gridCol w:w="1338"/>
      </w:tblGrid>
      <w:tr>
        <w:trPr/>
        <w:tc>
          <w:tcPr>
            <w:tcW w:w="886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886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Vesting Date</w:t>
            </w:r>
            <w:r>
              <w:rPr>
                <w:rFonts w:ascii="Times New Roman" w:hAnsi="Times New Roman"/>
                <w:color w:val="000000"/>
                <w:sz w:val="16"/>
              </w:rPr>
              <w:t>1</w:t>
            </w:r>
          </w:p>
        </w:tc>
        <w:tc>
          <w:tcPr>
            <w:tcW w:w="133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Shares that Vest</w:t>
            </w:r>
            <w:r>
              <w:rPr>
                <w:rFonts w:ascii="Times New Roman" w:hAnsi="Times New Roman"/>
                <w:color w:val="000000"/>
                <w:sz w:val="16"/>
              </w:rPr>
              <w:t>(1)</w:t>
            </w:r>
          </w:p>
        </w:tc>
      </w:tr>
      <w:tr>
        <w:trPr/>
        <w:tc>
          <w:tcPr>
            <w:tcW w:w="88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[First] anniversary of the Vesting Commencement Date</w:t>
            </w:r>
          </w:p>
        </w:tc>
        <w:tc>
          <w:tcPr>
            <w:tcW w:w="13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of Shares]</w:t>
            </w:r>
            <w:r>
              <w:rPr>
                <w:rFonts w:ascii="Times New Roman" w:hAnsi="Times New Roman"/>
                <w:color w:val="000000"/>
                <w:sz w:val="16"/>
              </w:rPr>
              <w:t>2</w:t>
            </w:r>
          </w:p>
        </w:tc>
      </w:tr>
      <w:tr>
        <w:trPr/>
        <w:tc>
          <w:tcPr>
            <w:tcW w:w="88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End of each successive [one] month period following the [First] anniversary of the Vesting Commencement Date until the [Fourth] anniversary of the Vesting Commencement Date</w:t>
            </w:r>
          </w:p>
        </w:tc>
        <w:tc>
          <w:tcPr>
            <w:tcW w:w="13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of Shares]</w:t>
            </w:r>
            <w:r>
              <w:rPr>
                <w:rFonts w:ascii="Times New Roman" w:hAnsi="Times New Roman"/>
                <w:color w:val="000000"/>
                <w:sz w:val="16"/>
              </w:rPr>
              <w:t>3</w:t>
            </w:r>
          </w:p>
        </w:tc>
      </w:tr>
    </w:tbl>
    <w:p>
      <w:pPr>
        <w:pStyle w:val="TextBody"/>
        <w:bidi w:val="0"/>
        <w:spacing w:before="0" w:after="240"/>
        <w:ind w:left="720" w:right="0" w:hanging="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number of shares is subject to adjustment for any changes in the Company’s capitalization as set forth in Section 9 of the Plan.</w:t>
      </w:r>
    </w:p>
    <w:p>
      <w:pPr>
        <w:pStyle w:val="TextBody"/>
        <w:bidi w:val="0"/>
        <w:jc w:val="left"/>
        <w:rPr>
          <w:rFonts w:ascii="Times New Roman" w:hAnsi="Times New Roman"/>
          <w:b/>
          <w:color w:val="000000"/>
          <w:sz w:val="24"/>
        </w:rPr>
      </w:pPr>
      <w:r>
        <w:rPr>
          <w:rFonts w:ascii="Times New Roman" w:hAnsi="Times New Roman"/>
          <w:b/>
          <w:color w:val="000000"/>
          <w:sz w:val="24"/>
        </w:rPr>
        <w:t>IV. Final Exercise Date</w:t>
      </w:r>
    </w:p>
    <w:tbl>
      <w:tblPr>
        <w:tblW w:w="7922" w:type="dxa"/>
        <w:jc w:val="left"/>
        <w:tblInd w:w="0" w:type="dxa"/>
        <w:tblLayout w:type="fixed"/>
        <w:tblCellMar>
          <w:top w:w="28" w:type="dxa"/>
          <w:left w:w="28" w:type="dxa"/>
          <w:bottom w:w="28" w:type="dxa"/>
          <w:right w:w="28" w:type="dxa"/>
        </w:tblCellMar>
      </w:tblPr>
      <w:tblGrid>
        <w:gridCol w:w="3001"/>
        <w:gridCol w:w="4921"/>
      </w:tblGrid>
      <w:tr>
        <w:trPr/>
        <w:tc>
          <w:tcPr>
            <w:tcW w:w="300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30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5:00 pm Eastern time on Date:</w:t>
            </w:r>
          </w:p>
        </w:tc>
        <w:tc>
          <w:tcPr>
            <w:tcW w:w="49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is ten years minus one day from Grant Date]</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includes this Notice of Grant and the following Exhibits, which are expressly incorporated by reference in their entirety herein:</w:t>
      </w:r>
    </w:p>
    <w:p>
      <w:pPr>
        <w:pStyle w:val="TextBody"/>
        <w:bidi w:val="0"/>
        <w:jc w:val="left"/>
        <w:rPr>
          <w:rFonts w:ascii="Times New Roman" w:hAnsi="Times New Roman"/>
          <w:color w:val="000000"/>
          <w:sz w:val="24"/>
        </w:rPr>
      </w:pPr>
      <w:r>
        <w:rPr>
          <w:rFonts w:ascii="Times New Roman" w:hAnsi="Times New Roman"/>
          <w:color w:val="000000"/>
          <w:sz w:val="24"/>
        </w:rPr>
        <w:t>Exhibit A – General Terms and Conditions</w:t>
      </w:r>
    </w:p>
    <w:p>
      <w:pPr>
        <w:pStyle w:val="TextBody"/>
        <w:bidi w:val="0"/>
        <w:jc w:val="left"/>
        <w:rPr>
          <w:rFonts w:ascii="Times New Roman" w:hAnsi="Times New Roman"/>
          <w:color w:val="000000"/>
          <w:sz w:val="24"/>
        </w:rPr>
      </w:pPr>
      <w:r>
        <w:rPr>
          <w:rFonts w:ascii="Times New Roman" w:hAnsi="Times New Roman"/>
          <w:color w:val="000000"/>
          <w:sz w:val="24"/>
        </w:rPr>
        <w:t>Exhibit B – Notice of Stock Option Exercise</w:t>
      </w:r>
    </w:p>
    <w:p>
      <w:pPr>
        <w:pStyle w:val="TextBody"/>
        <w:bidi w:val="0"/>
        <w:jc w:val="left"/>
        <w:rPr>
          <w:rFonts w:ascii="Times New Roman" w:hAnsi="Times New Roman"/>
          <w:color w:val="000000"/>
          <w:sz w:val="24"/>
        </w:rPr>
      </w:pPr>
      <w:r>
        <w:rPr>
          <w:rFonts w:ascii="Times New Roman" w:hAnsi="Times New Roman"/>
          <w:color w:val="000000"/>
          <w:sz w:val="24"/>
        </w:rPr>
        <w:t>Exhibit C – Faeth Therapeutics, Inc. 2019 Stock Incentive Plan</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Note: This is drafted assuming a four-year vesting schedule with a one-year cliff. If a different schedule is used, this table will need to be adjusted accordingly.</w:t>
      </w:r>
    </w:p>
    <w:p>
      <w:pPr>
        <w:pStyle w:val="TextBody"/>
        <w:bidi w:val="0"/>
        <w:spacing w:before="0" w:after="12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Arial" w:hAnsi="Arial"/>
          <w:color w:val="000000"/>
          <w:sz w:val="20"/>
        </w:rPr>
        <w:t>Note: Number of Shares to equal 25% of total grant.</w:t>
      </w:r>
    </w:p>
    <w:p>
      <w:pPr>
        <w:pStyle w:val="TextBody"/>
        <w:bidi w:val="0"/>
        <w:spacing w:before="0" w:after="120"/>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Arial" w:hAnsi="Arial"/>
          <w:color w:val="000000"/>
          <w:sz w:val="20"/>
        </w:rPr>
        <w:t>Note: Number of Shares to equal 2.0833% of total grant.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hereto have executed this Agreement.</w:t>
      </w:r>
    </w:p>
    <w:tbl>
      <w:tblPr>
        <w:tblW w:w="7818" w:type="dxa"/>
        <w:jc w:val="left"/>
        <w:tblInd w:w="0" w:type="dxa"/>
        <w:tblLayout w:type="fixed"/>
        <w:tblCellMar>
          <w:top w:w="28" w:type="dxa"/>
          <w:left w:w="28" w:type="dxa"/>
          <w:bottom w:w="28" w:type="dxa"/>
          <w:right w:w="28" w:type="dxa"/>
        </w:tblCellMar>
      </w:tblPr>
      <w:tblGrid>
        <w:gridCol w:w="3586"/>
        <w:gridCol w:w="1696"/>
        <w:gridCol w:w="2536"/>
      </w:tblGrid>
      <w:tr>
        <w:trPr/>
        <w:tc>
          <w:tcPr>
            <w:tcW w:w="358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FAETH THERAPEUTICS, INC.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Name:</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6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PARTICIPANT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Name:</w:t>
            </w:r>
          </w:p>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SPOUSAL CONSENT</w:t>
            </w:r>
            <w:r>
              <w:rPr>
                <w:rFonts w:ascii="Times New Roman" w:hAnsi="Times New Roman"/>
                <w:color w:val="000000"/>
                <w:sz w:val="16"/>
              </w:rPr>
              <w:t>1</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Name:</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If the Participant resides in a community property state, it is desirable to have the Participant’s spouse also accept the option. The following are community property states: Arizona, California, Idaho, Louisiana, Nevada, New Mexico, Texas, and Washington. Although Wisconsin is not formally a community property state, it has laws governing the division of marital property similar to community property states and it may be desirable to have a Wisconsin Participant’s spouse accept the option.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Stock Option Agreement</w:t>
        <w:br/>
        <w:t>2019 Stock Incentive Plan</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A</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General terms and Conditions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For valuable consideration, receipt of which is acknowledged, the parties hereto agree as follows:</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Grant of Option</w:t>
      </w:r>
      <w:r>
        <w:rPr>
          <w:rFonts w:ascii="Times New Roman" w:hAnsi="Times New Roman"/>
          <w:color w:val="000000"/>
          <w:sz w:val="24"/>
        </w:rPr>
        <w:t>. This Agreement evidences the grant by the Company, on the grant date (the “</w:t>
      </w:r>
      <w:r>
        <w:rPr>
          <w:rFonts w:ascii="Times New Roman" w:hAnsi="Times New Roman"/>
          <w:b/>
          <w:color w:val="000000"/>
          <w:sz w:val="24"/>
        </w:rPr>
        <w:t>Grant Date</w:t>
      </w:r>
      <w:r>
        <w:rPr>
          <w:rFonts w:ascii="Times New Roman" w:hAnsi="Times New Roman"/>
          <w:color w:val="000000"/>
          <w:sz w:val="20"/>
        </w:rPr>
        <w:t>”</w:t>
      </w:r>
      <w:r>
        <w:rPr>
          <w:rFonts w:ascii="Times New Roman" w:hAnsi="Times New Roman"/>
          <w:color w:val="000000"/>
          <w:sz w:val="24"/>
        </w:rPr>
        <w:t>) set forth in the Notice of Grant that forms part of this Agreement (the “</w:t>
      </w:r>
      <w:r>
        <w:rPr>
          <w:rFonts w:ascii="Times New Roman" w:hAnsi="Times New Roman"/>
          <w:b/>
          <w:color w:val="000000"/>
          <w:sz w:val="24"/>
        </w:rPr>
        <w:t>Notice of Grant</w:t>
      </w:r>
      <w:r>
        <w:rPr>
          <w:rFonts w:ascii="Times New Roman" w:hAnsi="Times New Roman"/>
          <w:color w:val="000000"/>
          <w:sz w:val="20"/>
        </w:rPr>
        <w:t>”</w:t>
      </w:r>
      <w:r>
        <w:rPr>
          <w:rFonts w:ascii="Times New Roman" w:hAnsi="Times New Roman"/>
          <w:color w:val="000000"/>
          <w:sz w:val="24"/>
        </w:rPr>
        <w:t>), to the Participant of an option to purchase, in whole or in part, on the terms provided herein and in the Company’s 2019 Stock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the number of shares set forth in the Notice of Grant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of common stock, $0.0001 par value per share, of the Company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at the exercise price per Share set forth in the Notice of Grant (the “</w:t>
      </w:r>
      <w:r>
        <w:rPr>
          <w:rFonts w:ascii="Times New Roman" w:hAnsi="Times New Roman"/>
          <w:b/>
          <w:color w:val="000000"/>
          <w:sz w:val="24"/>
        </w:rPr>
        <w:t>Exercise Price</w:t>
      </w:r>
      <w:r>
        <w:rPr>
          <w:rFonts w:ascii="Times New Roman" w:hAnsi="Times New Roman"/>
          <w:color w:val="000000"/>
          <w:sz w:val="20"/>
        </w:rPr>
        <w:t>”</w:t>
      </w:r>
      <w:r>
        <w:rPr>
          <w:rFonts w:ascii="Times New Roman" w:hAnsi="Times New Roman"/>
          <w:color w:val="000000"/>
          <w:sz w:val="24"/>
        </w:rPr>
        <w:t>). Unless earlier terminated, this option shall expire at the time and on the date set forth in the Notice of Grant (the “</w:t>
      </w:r>
      <w:r>
        <w:rPr>
          <w:rFonts w:ascii="Times New Roman" w:hAnsi="Times New Roman"/>
          <w:b/>
          <w:color w:val="000000"/>
          <w:sz w:val="24"/>
        </w:rPr>
        <w:t>Final Exercise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It is intended that the option evidenced by this Agreement shall be an incentive stock option as defined in Section 422 of the Internal Revenue Code of 1986, as amended, and any regulations promulgated thereunder (the “</w:t>
      </w:r>
      <w:r>
        <w:rPr>
          <w:rFonts w:ascii="Times New Roman" w:hAnsi="Times New Roman"/>
          <w:b/>
          <w:color w:val="000000"/>
          <w:sz w:val="24"/>
        </w:rPr>
        <w:t>Code</w:t>
      </w:r>
      <w:r>
        <w:rPr>
          <w:rFonts w:ascii="Times New Roman" w:hAnsi="Times New Roman"/>
          <w:color w:val="000000"/>
          <w:sz w:val="20"/>
        </w:rPr>
        <w:t>”</w:t>
      </w:r>
      <w:r>
        <w:rPr>
          <w:rFonts w:ascii="Times New Roman" w:hAnsi="Times New Roman"/>
          <w:color w:val="000000"/>
          <w:sz w:val="24"/>
        </w:rPr>
        <w:t>) solely to the extent set forth in the Notice of Grant. To the extent not designated as an incentive stock option, or to the extent that the option does not qualify as an incentive stock option, the option shall be a nonstatutory stock option. Except as otherwise indicated by the context, the term “Participant”, as used in this option, shall be deemed to include any person who acquires the right to exercise this option validly under its terms.</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This option will become exercisable (“</w:t>
      </w:r>
      <w:r>
        <w:rPr>
          <w:rFonts w:ascii="Times New Roman" w:hAnsi="Times New Roman"/>
          <w:b/>
          <w:color w:val="000000"/>
          <w:sz w:val="24"/>
        </w:rPr>
        <w:t>vest</w:t>
      </w:r>
      <w:r>
        <w:rPr>
          <w:rFonts w:ascii="Times New Roman" w:hAnsi="Times New Roman"/>
          <w:color w:val="000000"/>
          <w:sz w:val="20"/>
        </w:rPr>
        <w:t>”</w:t>
      </w:r>
      <w:r>
        <w:rPr>
          <w:rFonts w:ascii="Times New Roman" w:hAnsi="Times New Roman"/>
          <w:color w:val="000000"/>
          <w:sz w:val="24"/>
        </w:rPr>
        <w:t>) in accordance with the Vesting Table set forth in the Notice of Grant.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Exercise of Option</w:t>
      </w:r>
      <w:r>
        <w:rPr>
          <w:rFonts w:ascii="Times New Roman" w:hAnsi="Times New Roman"/>
          <w:color w:val="000000"/>
          <w:sz w:val="24"/>
        </w:rPr>
        <w:t>.</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Form of Exercise</w:t>
      </w:r>
      <w:r>
        <w:rPr>
          <w:rFonts w:ascii="Times New Roman" w:hAnsi="Times New Roman"/>
          <w:color w:val="000000"/>
          <w:sz w:val="24"/>
        </w:rPr>
        <w:t xml:space="preserve">. Each election to exercise this option shall be accompanied by a completed Notice of Stock Option Exercise in the form attached hereto as </w:t>
      </w:r>
      <w:r>
        <w:rPr>
          <w:rFonts w:ascii="Times New Roman" w:hAnsi="Times New Roman"/>
          <w:color w:val="000000"/>
          <w:sz w:val="24"/>
          <w:u w:val="single"/>
        </w:rPr>
        <w:t>Exhibit B</w:t>
      </w:r>
      <w:r>
        <w:rPr>
          <w:rFonts w:ascii="Times New Roman" w:hAnsi="Times New Roman"/>
          <w:color w:val="000000"/>
          <w:sz w:val="24"/>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 (unless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360" w:right="0" w:hanging="0"/>
        <w:jc w:val="left"/>
        <w:rPr>
          <w:rFonts w:ascii="Times New Roman" w:hAnsi="Times New Roman"/>
          <w:color w:val="000000"/>
          <w:sz w:val="24"/>
        </w:rPr>
      </w:pPr>
      <w:r>
        <w:rPr>
          <w:rFonts w:ascii="Times New Roman" w:hAnsi="Times New Roman"/>
          <w:color w:val="000000"/>
          <w:sz w:val="24"/>
        </w:rPr>
        <w:t>number of Shares that remain subject to this option at the time of exercise is less than ten whole shares, in which case the Participant may purchase the total number of whole shares that remain subject to this option).</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Continuous Relationship with the Company Required</w:t>
      </w:r>
      <w:r>
        <w:rPr>
          <w:rFonts w:ascii="Times New Roman" w:hAnsi="Times New Roman"/>
          <w:color w:val="000000"/>
          <w:sz w:val="24"/>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parent or subsidiary of the Company as defined in Section 424(e) or (f) of the Code or any other entity the employees, officers, directors, consultants, or advisors of which are eligible to receive option grants under the Plan (an “</w:t>
      </w:r>
      <w:r>
        <w:rPr>
          <w:rFonts w:ascii="Times New Roman" w:hAnsi="Times New Roman"/>
          <w:b/>
          <w:color w:val="000000"/>
          <w:sz w:val="24"/>
        </w:rPr>
        <w:t>Eligible Participant</w:t>
      </w:r>
      <w:r>
        <w:rPr>
          <w:rFonts w:ascii="Times New Roman" w:hAnsi="Times New Roman"/>
          <w:color w:val="000000"/>
          <w:sz w:val="20"/>
        </w:rPr>
        <w:t>”</w:t>
      </w:r>
      <w:r>
        <w:rPr>
          <w:rFonts w:ascii="Times New Roman" w:hAnsi="Times New Roman"/>
          <w:color w:val="000000"/>
          <w:sz w:val="24"/>
        </w:rPr>
        <w:t>).</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Termination of Relationship with the Company</w:t>
      </w:r>
      <w:r>
        <w:rPr>
          <w:rFonts w:ascii="Times New Roman" w:hAnsi="Times New Roman"/>
          <w:color w:val="000000"/>
          <w:sz w:val="24"/>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0"/>
        </w:rPr>
        <w:t xml:space="preserve"> </w:t>
      </w:r>
      <w:r>
        <w:rPr>
          <w:rFonts w:ascii="Times New Roman" w:hAnsi="Times New Roman"/>
          <w:color w:val="000000"/>
          <w:sz w:val="24"/>
        </w:rPr>
        <w:t>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Exercise Period Upon Death or Disability</w:t>
      </w:r>
      <w:r>
        <w:rPr>
          <w:rFonts w:ascii="Times New Roman" w:hAnsi="Times New Roman"/>
          <w:color w:val="000000"/>
          <w:sz w:val="24"/>
        </w:rPr>
        <w:t>. If the Participant dies or becomes disabled (within the meaning of Section 22(e)(3) of the Code) prior to the Final Exercise Date while he or she is an Eligible Participant and the Company has not terminated such service relationship for “</w:t>
      </w:r>
      <w:r>
        <w:rPr>
          <w:rFonts w:ascii="Times New Roman" w:hAnsi="Times New Roman"/>
          <w:b/>
          <w:color w:val="000000"/>
          <w:sz w:val="24"/>
        </w:rPr>
        <w:t>cause</w:t>
      </w:r>
      <w:r>
        <w:rPr>
          <w:rFonts w:ascii="Times New Roman" w:hAnsi="Times New Roman"/>
          <w:color w:val="000000"/>
          <w:sz w:val="20"/>
        </w:rPr>
        <w:t xml:space="preserve">” </w:t>
      </w:r>
      <w:r>
        <w:rPr>
          <w:rFonts w:ascii="Times New Roman" w:hAnsi="Times New Roman"/>
          <w:color w:val="000000"/>
          <w:sz w:val="24"/>
        </w:rPr>
        <w:t>as specified in paragraph (e) below, this option shall be exercisable, within the period of one year following the date of death or disability of the Participant, by the Participant (or in the case of death by an authorized transferee), provided that this option shall be exercisable only to the extent that this option was exercisable by the Participant on the date of his or her death or disability, and further provided that this option shall not be exercisable after the Final Exercise Date.</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Termination for Cause</w:t>
      </w:r>
      <w:r>
        <w:rPr>
          <w:rFonts w:ascii="Times New Roman" w:hAnsi="Times New Roman"/>
          <w:color w:val="000000"/>
          <w:sz w:val="24"/>
        </w:rPr>
        <w:t>. If, prior to the Final Exercise Date, the Participant’s service relationship with the Company is terminated by the Company for Cause (as defined below), the right to exercise this option shall terminate immediately upon the effective date of such termination. If, prior to the Final Exercise Date, the Participant is given notice by the Company of the termination of his or her service relationship by the Company for Cause, and the effective date of such termination is subsequent to the date of the delivery of such notice, the right to exercise this option shall be suspended from the time of the delivery of such notice until the earlier of (i) such time as it is determined or otherwise agreed that the Participant’s service relationship shall not be terminated for Cause as provided in such notice or (ii) the effective date of such termination (in which case the right to exercise this option shall, pursuant to the preceding sentence, terminate immediately upon the effective date of such termination). If the Participant is party to an employment, consulting or severance agreement with the Company or subject to a severance plan maintained by the Company, in either case, that contains a definition of “cause” for termination of service, “Cause” shall have the meaning ascribed to such term in such agreement or plan. Otherwise, “Cause” shall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360" w:right="0" w:hanging="0"/>
        <w:jc w:val="left"/>
        <w:rPr>
          <w:rFonts w:ascii="Times New Roman" w:hAnsi="Times New Roman"/>
          <w:color w:val="000000"/>
          <w:sz w:val="24"/>
        </w:rPr>
      </w:pPr>
      <w:r>
        <w:rPr>
          <w:rFonts w:ascii="Times New Roman" w:hAnsi="Times New Roman"/>
          <w:color w:val="000000"/>
          <w:sz w:val="24"/>
        </w:rPr>
        <w:t>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service relationship shall be considered to have been terminated for “Cause” if the Company determines, within 30 days after the Participant’s termination of service, that termination for Cause was warranted.</w:t>
      </w:r>
    </w:p>
    <w:p>
      <w:pPr>
        <w:pStyle w:val="TextBody"/>
        <w:pBdr/>
        <w:bidi w:val="0"/>
        <w:spacing w:before="0" w:after="240"/>
        <w:ind w:left="0" w:right="0" w:hanging="360"/>
        <w:jc w:val="left"/>
        <w:rPr>
          <w:rFonts w:ascii="Times New Roman" w:hAnsi="Times New Roman"/>
          <w:color w:val="000000"/>
          <w:sz w:val="24"/>
        </w:rPr>
      </w:pPr>
      <w:r>
        <w:rPr>
          <w:rFonts w:ascii="Times New Roman" w:hAnsi="Times New Roman"/>
          <w:color w:val="000000"/>
          <w:sz w:val="24"/>
        </w:rPr>
        <w:t>9. Company Right of First Refusal.</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Notice of Proposed Transfer</w:t>
      </w:r>
      <w:r>
        <w:rPr>
          <w:rFonts w:ascii="Times New Roman" w:hAnsi="Times New Roman"/>
          <w:color w:val="000000"/>
          <w:sz w:val="24"/>
        </w:rPr>
        <w:t>. If the Participant proposes to sell, assign, transfer, pledge, hypothecate or otherwise dispose of, by operation of law or otherwise (collectively, “</w:t>
      </w:r>
      <w:r>
        <w:rPr>
          <w:rFonts w:ascii="Times New Roman" w:hAnsi="Times New Roman"/>
          <w:b/>
          <w:color w:val="000000"/>
          <w:sz w:val="24"/>
        </w:rPr>
        <w:t>transfer</w:t>
      </w:r>
      <w:r>
        <w:rPr>
          <w:rFonts w:ascii="Times New Roman" w:hAnsi="Times New Roman"/>
          <w:color w:val="000000"/>
          <w:sz w:val="20"/>
        </w:rPr>
        <w:t>”</w:t>
      </w:r>
      <w:r>
        <w:rPr>
          <w:rFonts w:ascii="Times New Roman" w:hAnsi="Times New Roman"/>
          <w:color w:val="000000"/>
          <w:sz w:val="24"/>
        </w:rPr>
        <w:t>) any Shares acquired upon exercise of this option, then the Participant shall first give written notice of the proposed transfer (the “</w:t>
      </w:r>
      <w:r>
        <w:rPr>
          <w:rFonts w:ascii="Times New Roman" w:hAnsi="Times New Roman"/>
          <w:b/>
          <w:color w:val="000000"/>
          <w:sz w:val="24"/>
        </w:rPr>
        <w:t>Transfer Notice</w:t>
      </w:r>
      <w:r>
        <w:rPr>
          <w:rFonts w:ascii="Times New Roman" w:hAnsi="Times New Roman"/>
          <w:color w:val="000000"/>
          <w:sz w:val="20"/>
        </w:rPr>
        <w:t>”</w:t>
      </w:r>
      <w:r>
        <w:rPr>
          <w:rFonts w:ascii="Times New Roman" w:hAnsi="Times New Roman"/>
          <w:color w:val="000000"/>
          <w:sz w:val="24"/>
        </w:rPr>
        <w:t>) to the Company. The Transfer Notice shall name the proposed transferee and state the number of such Shares the Participant proposes to transfer (the “</w:t>
      </w:r>
      <w:r>
        <w:rPr>
          <w:rFonts w:ascii="Times New Roman" w:hAnsi="Times New Roman"/>
          <w:b/>
          <w:color w:val="000000"/>
          <w:sz w:val="24"/>
        </w:rPr>
        <w:t>Offered Shares</w:t>
      </w:r>
      <w:r>
        <w:rPr>
          <w:rFonts w:ascii="Times New Roman" w:hAnsi="Times New Roman"/>
          <w:color w:val="000000"/>
          <w:sz w:val="20"/>
        </w:rPr>
        <w:t>”</w:t>
      </w:r>
      <w:r>
        <w:rPr>
          <w:rFonts w:ascii="Times New Roman" w:hAnsi="Times New Roman"/>
          <w:color w:val="000000"/>
          <w:sz w:val="24"/>
        </w:rPr>
        <w:t>), the price per share and all other material terms and conditions of the transfer.</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Company Right to Purchase</w:t>
      </w:r>
      <w:r>
        <w:rPr>
          <w:rFonts w:ascii="Times New Roman" w:hAnsi="Times New Roman"/>
          <w:color w:val="000000"/>
          <w:sz w:val="24"/>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0"/>
        </w:rPr>
        <w:t xml:space="preserve"> </w:t>
      </w:r>
      <w:r>
        <w:rPr>
          <w:rFonts w:ascii="Times New Roman" w:hAnsi="Times New Roman"/>
          <w:color w:val="000000"/>
          <w:sz w:val="24"/>
        </w:rPr>
        <w:t xml:space="preserve">if the terms of payment set forth in the Transfer Notice were other than cash against delivery, the Company may pay for the Offered Shares on the same terms and conditions as were set forth in the Transfer Notice; and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any delay in making such payment shall not invalidate the Company’s exercise of its option to purchase the Offered Shares.</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Shares Not Purchased By Company</w:t>
      </w:r>
      <w:r>
        <w:rPr>
          <w:rFonts w:ascii="Times New Roman" w:hAnsi="Times New Roman"/>
          <w:color w:val="000000"/>
          <w:sz w:val="24"/>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0"/>
        </w:rPr>
        <w:t xml:space="preserve"> </w:t>
      </w:r>
      <w:r>
        <w:rPr>
          <w:rFonts w:ascii="Times New Roman" w:hAnsi="Times New Roman"/>
          <w:color w:val="000000"/>
          <w:sz w:val="24"/>
        </w:rPr>
        <w:t>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Consequences of Non-Delivery</w:t>
      </w:r>
      <w:r>
        <w:rPr>
          <w:rFonts w:ascii="Times New Roman" w:hAnsi="Times New Roman"/>
          <w:color w:val="000000"/>
          <w:sz w:val="24"/>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Exempt Transactions</w:t>
      </w:r>
      <w:r>
        <w:rPr>
          <w:rFonts w:ascii="Times New Roman" w:hAnsi="Times New Roman"/>
          <w:color w:val="000000"/>
          <w:sz w:val="24"/>
        </w:rPr>
        <w:t>. The following transactions shall be exempt from the provisions of this Section 4:</w:t>
      </w:r>
    </w:p>
    <w:p>
      <w:pPr>
        <w:pStyle w:val="TextBody"/>
        <w:pBdr/>
        <w:bidi w:val="0"/>
        <w:spacing w:before="0" w:after="240"/>
        <w:ind w:left="0" w:right="0" w:hanging="360"/>
        <w:jc w:val="left"/>
        <w:rPr>
          <w:rFonts w:ascii="Times New Roman" w:hAnsi="Times New Roman"/>
          <w:color w:val="000000"/>
          <w:sz w:val="24"/>
        </w:rPr>
      </w:pPr>
      <w:r>
        <w:rPr>
          <w:rFonts w:ascii="Times New Roman" w:hAnsi="Times New Roman"/>
          <w:color w:val="000000"/>
          <w:sz w:val="24"/>
        </w:rPr>
        <w:t>15. any transfer of Shares to or for the benefit of any spouse, child or grandchild of the Participant, or to a trust for their benefit;</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16. any transfer pursuant to an effective registration statement filed by the Company under the Securities Act of 1933, as amended (the “</w:t>
      </w:r>
      <w:r>
        <w:rPr>
          <w:rFonts w:ascii="Times New Roman" w:hAnsi="Times New Roman"/>
          <w:b/>
          <w:color w:val="000000"/>
          <w:sz w:val="24"/>
        </w:rPr>
        <w:t>Securities Act</w:t>
      </w:r>
      <w:r>
        <w:rPr>
          <w:rFonts w:ascii="Times New Roman" w:hAnsi="Times New Roman"/>
          <w:color w:val="000000"/>
          <w:sz w:val="20"/>
        </w:rPr>
        <w:t>”</w:t>
      </w:r>
      <w:r>
        <w:rPr>
          <w:rFonts w:ascii="Times New Roman" w:hAnsi="Times New Roman"/>
          <w:color w:val="000000"/>
          <w:sz w:val="24"/>
        </w:rPr>
        <w:t>); and</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17. the sale of all or substantially all of the outstanding shares of capital stock of the Company (including pursuant to a merger or consolidation);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case of a transfer pursuant to clause (1) above, such Shares shall remain subject to the right of first refusal set forth in this Section 4.</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Assignment of Company Right</w:t>
      </w:r>
      <w:r>
        <w:rPr>
          <w:rFonts w:ascii="Times New Roman" w:hAnsi="Times New Roman"/>
          <w:color w:val="000000"/>
          <w:sz w:val="24"/>
        </w:rPr>
        <w:t>. The Company may assign its rights to purchase Offered Shares in any particular transaction under this Section 4 to one or more persons or entities.</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Termination</w:t>
      </w:r>
      <w:r>
        <w:rPr>
          <w:rFonts w:ascii="Times New Roman" w:hAnsi="Times New Roman"/>
          <w:color w:val="000000"/>
          <w:sz w:val="24"/>
        </w:rPr>
        <w:t>. The provisions of this Section 4 shall terminate upon the earlier of the following events:</w:t>
      </w:r>
    </w:p>
    <w:p>
      <w:pPr>
        <w:pStyle w:val="TextBody"/>
        <w:pBdr/>
        <w:bidi w:val="0"/>
        <w:spacing w:before="0" w:after="240"/>
        <w:ind w:left="0" w:right="0" w:hanging="360"/>
        <w:jc w:val="left"/>
        <w:rPr>
          <w:rFonts w:ascii="Times New Roman" w:hAnsi="Times New Roman"/>
          <w:color w:val="000000"/>
          <w:sz w:val="24"/>
        </w:rPr>
      </w:pPr>
      <w:r>
        <w:rPr>
          <w:rFonts w:ascii="Times New Roman" w:hAnsi="Times New Roman"/>
          <w:color w:val="000000"/>
          <w:sz w:val="24"/>
        </w:rPr>
        <w:t>20. the closing of the sale of shares of Common Stock in an underwritten public offering pursuant to an effective registration statement filed by the Company under the Securities Act; or</w:t>
      </w:r>
    </w:p>
    <w:p>
      <w:pPr>
        <w:pStyle w:val="TextBody"/>
        <w:pBdr/>
        <w:bidi w:val="0"/>
        <w:spacing w:before="0" w:after="240"/>
        <w:ind w:left="0" w:right="0" w:hanging="360"/>
        <w:jc w:val="left"/>
        <w:rPr>
          <w:rFonts w:ascii="Times New Roman" w:hAnsi="Times New Roman"/>
          <w:color w:val="000000"/>
          <w:sz w:val="24"/>
        </w:rPr>
      </w:pPr>
      <w:r>
        <w:rPr>
          <w:rFonts w:ascii="Times New Roman" w:hAnsi="Times New Roman"/>
          <w:color w:val="000000"/>
          <w:sz w:val="24"/>
        </w:rPr>
        <w:t>21.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No Obligation to Recognize Invalid Transfer</w:t>
      </w:r>
      <w:r>
        <w:rPr>
          <w:rFonts w:ascii="Times New Roman" w:hAnsi="Times New Roman"/>
          <w:color w:val="000000"/>
          <w:sz w:val="24"/>
        </w:rPr>
        <w:t>.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Legends</w:t>
      </w:r>
      <w:r>
        <w:rPr>
          <w:rFonts w:ascii="Times New Roman" w:hAnsi="Times New Roman"/>
          <w:color w:val="000000"/>
          <w:sz w:val="24"/>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1440" w:hanging="0"/>
        <w:jc w:val="both"/>
        <w:rPr>
          <w:color w:val="000000"/>
        </w:rPr>
      </w:pPr>
      <w:r>
        <w:rPr>
          <w:color w:val="000000"/>
        </w:rPr>
        <w:t>“</w:t>
      </w:r>
      <w:r>
        <w:rPr>
          <w:rFonts w:ascii="Times New Roman" w:hAnsi="Times New Roman"/>
          <w:color w:val="000000"/>
          <w:sz w:val="24"/>
        </w:rPr>
        <w:t>The shares represented by this certificate are subject to a right of first refusal in favor of the Company, as provided in a certain stock option agreement with the Company.”</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24. </w:t>
      </w:r>
      <w:r>
        <w:rPr>
          <w:rFonts w:ascii="Times New Roman" w:hAnsi="Times New Roman"/>
          <w:color w:val="000000"/>
          <w:sz w:val="24"/>
          <w:u w:val="single"/>
        </w:rPr>
        <w:t>Agreement in Connection with Initial Public Offering</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Tax Matters</w:t>
      </w:r>
      <w:r>
        <w:rPr>
          <w:rFonts w:ascii="Times New Roman" w:hAnsi="Times New Roman"/>
          <w:color w:val="000000"/>
          <w:sz w:val="24"/>
        </w:rPr>
        <w:t>.</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26. </w:t>
      </w:r>
      <w:r>
        <w:rPr>
          <w:rFonts w:ascii="Times New Roman" w:hAnsi="Times New Roman"/>
          <w:color w:val="000000"/>
          <w:sz w:val="24"/>
          <w:u w:val="single"/>
        </w:rPr>
        <w:t>Withholding</w:t>
      </w:r>
      <w:r>
        <w:rPr>
          <w:rFonts w:ascii="Times New Roman" w:hAnsi="Times New Roman"/>
          <w:color w:val="000000"/>
          <w:sz w:val="24"/>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27. </w:t>
      </w:r>
      <w:r>
        <w:rPr>
          <w:rFonts w:ascii="Times New Roman" w:hAnsi="Times New Roman"/>
          <w:color w:val="000000"/>
          <w:sz w:val="24"/>
          <w:u w:val="single"/>
        </w:rPr>
        <w:t>Disqualifying Disposition</w:t>
      </w:r>
      <w:r>
        <w:rPr>
          <w:rFonts w:ascii="Times New Roman" w:hAnsi="Times New Roman"/>
          <w:color w:val="000000"/>
          <w:sz w:val="24"/>
        </w:rPr>
        <w:t>. If this option satisfies the requirements to be treated as an incentive stock option under the Code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28. </w:t>
      </w:r>
      <w:r>
        <w:rPr>
          <w:rFonts w:ascii="Times New Roman" w:hAnsi="Times New Roman"/>
          <w:color w:val="000000"/>
          <w:sz w:val="24"/>
          <w:u w:val="single"/>
        </w:rPr>
        <w:t>Transfer Restrictions</w:t>
      </w:r>
      <w:r>
        <w:rPr>
          <w:rFonts w:ascii="Times New Roman" w:hAnsi="Times New Roman"/>
          <w:color w:val="000000"/>
          <w:sz w:val="24"/>
        </w:rPr>
        <w:t>.</w:t>
      </w:r>
    </w:p>
    <w:p>
      <w:pPr>
        <w:pStyle w:val="TextBody"/>
        <w:pBdr/>
        <w:bidi w:val="0"/>
        <w:spacing w:before="0" w:after="240"/>
        <w:ind w:left="0" w:right="0" w:hanging="360"/>
        <w:jc w:val="left"/>
        <w:rPr>
          <w:rFonts w:ascii="Times New Roman" w:hAnsi="Times New Roman"/>
          <w:color w:val="000000"/>
          <w:sz w:val="24"/>
        </w:rPr>
      </w:pPr>
      <w:r>
        <w:rPr>
          <w:rFonts w:ascii="Times New Roman" w:hAnsi="Times New Roman"/>
          <w:color w:val="000000"/>
          <w:sz w:val="24"/>
        </w:rPr>
        <w:t>29. This option may not be sold, assigned, transferred, pledged or otherwise encumbered by the Participant, either voluntarily or by operation of law, except by will or the - 5 - laws of descent and distribution, and, during the lifetime of the Participant, this option shall be exercisable only by the Participant.</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30. 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360" w:right="0" w:hanging="0"/>
        <w:jc w:val="left"/>
        <w:rPr>
          <w:rFonts w:ascii="Times New Roman" w:hAnsi="Times New Roman"/>
          <w:color w:val="000000"/>
          <w:sz w:val="24"/>
        </w:rPr>
      </w:pPr>
      <w:r>
        <w:rPr>
          <w:rFonts w:ascii="Times New Roman" w:hAnsi="Times New Roman"/>
          <w:color w:val="000000"/>
          <w:sz w:val="24"/>
        </w:rPr>
        <w:t>shall not be required with respect to (1) Section 4 after such provision has terminated in accordance with Section 4(g) or (2) Section 5 after the completion of the lock-up period in connection with the Company’s initial underwritten public offering.</w:t>
      </w:r>
    </w:p>
    <w:p>
      <w:pPr>
        <w:pStyle w:val="TextBody"/>
        <w:pBdr/>
        <w:bidi w:val="0"/>
        <w:spacing w:before="0" w:after="240"/>
        <w:ind w:left="0" w:right="0" w:hanging="360"/>
        <w:jc w:val="left"/>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Provisions of the Plan</w:t>
      </w:r>
      <w:r>
        <w:rPr>
          <w:rFonts w:ascii="Times New Roman" w:hAnsi="Times New Roman"/>
          <w:color w:val="000000"/>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This option is subject to the provisions of the Plan (including the provisions relating to amendments to the Plan), a copy of which is attached hereto as </w:t>
      </w:r>
      <w:r>
        <w:rPr>
          <w:rFonts w:ascii="Times New Roman" w:hAnsi="Times New Roman"/>
          <w:color w:val="000000"/>
          <w:sz w:val="24"/>
          <w:u w:val="single"/>
        </w:rPr>
        <w:t>Exhibit C</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Notice of Stock Option Exercise</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16"/>
        </w:rPr>
        <w:t>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Faeth Therapeutics, Inc.</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Attention: Treasurer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Sir or Madam:</w:t>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I am the holder of [________]</w:t>
      </w: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24"/>
        </w:rPr>
        <w:t>Stock Option granted to me under the Faeth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2019 Stock Incentive Plan on [________]</w:t>
      </w:r>
      <w:r>
        <w:rPr>
          <w:rFonts w:ascii="Times New Roman" w:hAnsi="Times New Roman"/>
          <w:color w:val="000000"/>
          <w:sz w:val="16"/>
        </w:rPr>
        <w:t>3</w:t>
      </w:r>
      <w:r>
        <w:rPr>
          <w:rFonts w:ascii="Times New Roman" w:hAnsi="Times New Roman"/>
          <w:color w:val="000000"/>
          <w:sz w:val="20"/>
        </w:rPr>
        <w:t xml:space="preserve"> </w:t>
      </w:r>
      <w:r>
        <w:rPr>
          <w:rFonts w:ascii="Times New Roman" w:hAnsi="Times New Roman"/>
          <w:color w:val="000000"/>
          <w:sz w:val="24"/>
        </w:rPr>
        <w:t>for the purchase of [________]</w:t>
      </w:r>
      <w:r>
        <w:rPr>
          <w:rFonts w:ascii="Times New Roman" w:hAnsi="Times New Roman"/>
          <w:color w:val="000000"/>
          <w:sz w:val="16"/>
        </w:rPr>
        <w:t>4</w:t>
      </w:r>
      <w:r>
        <w:rPr>
          <w:rFonts w:ascii="Times New Roman" w:hAnsi="Times New Roman"/>
          <w:color w:val="000000"/>
          <w:sz w:val="20"/>
        </w:rPr>
        <w:t xml:space="preserve"> </w:t>
      </w:r>
      <w:r>
        <w:rPr>
          <w:rFonts w:ascii="Times New Roman" w:hAnsi="Times New Roman"/>
          <w:color w:val="000000"/>
          <w:sz w:val="24"/>
        </w:rPr>
        <w:t>shares of Common Stock of the Company at a purchase price of $[________]</w:t>
      </w:r>
      <w:r>
        <w:rPr>
          <w:rFonts w:ascii="Times New Roman" w:hAnsi="Times New Roman"/>
          <w:color w:val="000000"/>
          <w:sz w:val="16"/>
        </w:rPr>
        <w:t>5</w:t>
      </w:r>
      <w:r>
        <w:rPr>
          <w:rFonts w:ascii="Times New Roman" w:hAnsi="Times New Roman"/>
          <w:color w:val="000000"/>
          <w:sz w:val="20"/>
        </w:rPr>
        <w:t xml:space="preserve"> </w:t>
      </w:r>
      <w:r>
        <w:rPr>
          <w:rFonts w:ascii="Times New Roman" w:hAnsi="Times New Roman"/>
          <w:color w:val="000000"/>
          <w:sz w:val="24"/>
        </w:rPr>
        <w:t>per share.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I hereby exercise my option to purchase [________]</w:t>
      </w:r>
      <w:r>
        <w:rPr>
          <w:rFonts w:ascii="Times New Roman" w:hAnsi="Times New Roman"/>
          <w:color w:val="000000"/>
          <w:sz w:val="16"/>
        </w:rPr>
        <w:t>6</w:t>
      </w:r>
      <w:r>
        <w:rPr>
          <w:rFonts w:ascii="Times New Roman" w:hAnsi="Times New Roman"/>
          <w:color w:val="000000"/>
          <w:sz w:val="20"/>
        </w:rPr>
        <w:t xml:space="preserve"> </w:t>
      </w:r>
      <w:r>
        <w:rPr>
          <w:rFonts w:ascii="Times New Roman" w:hAnsi="Times New Roman"/>
          <w:color w:val="000000"/>
          <w:sz w:val="24"/>
        </w:rPr>
        <w:t>shares of Common Stock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for which I have enclosed [________]</w:t>
      </w:r>
      <w:r>
        <w:rPr>
          <w:rFonts w:ascii="Times New Roman" w:hAnsi="Times New Roman"/>
          <w:color w:val="000000"/>
          <w:sz w:val="16"/>
        </w:rPr>
        <w:t>7</w:t>
      </w:r>
      <w:r>
        <w:rPr>
          <w:rFonts w:ascii="Times New Roman" w:hAnsi="Times New Roman"/>
          <w:color w:val="000000"/>
          <w:sz w:val="20"/>
        </w:rPr>
        <w:t xml:space="preserve"> </w:t>
      </w:r>
      <w:r>
        <w:rPr>
          <w:rFonts w:ascii="Times New Roman" w:hAnsi="Times New Roman"/>
          <w:color w:val="000000"/>
          <w:sz w:val="24"/>
        </w:rPr>
        <w:t>in the amount of [________]</w:t>
      </w:r>
      <w:r>
        <w:rPr>
          <w:rFonts w:ascii="Times New Roman" w:hAnsi="Times New Roman"/>
          <w:color w:val="000000"/>
          <w:sz w:val="16"/>
        </w:rPr>
        <w:t>8</w:t>
      </w:r>
      <w:r>
        <w:rPr>
          <w:rFonts w:ascii="Times New Roman" w:hAnsi="Times New Roman"/>
          <w:color w:val="000000"/>
          <w:sz w:val="20"/>
        </w:rPr>
        <w:t xml:space="preserve"> </w:t>
      </w:r>
      <w:r>
        <w:rPr>
          <w:rFonts w:ascii="Times New Roman" w:hAnsi="Times New Roman"/>
          <w:color w:val="000000"/>
          <w:sz w:val="24"/>
        </w:rPr>
        <w:t>register my stock certificate as follows:</w:t>
      </w:r>
    </w:p>
    <w:tbl>
      <w:tblPr>
        <w:tblW w:w="1232" w:type="dxa"/>
        <w:jc w:val="left"/>
        <w:tblInd w:w="0" w:type="dxa"/>
        <w:tblLayout w:type="fixed"/>
        <w:tblCellMar>
          <w:top w:w="28" w:type="dxa"/>
          <w:left w:w="28" w:type="dxa"/>
          <w:bottom w:w="28" w:type="dxa"/>
          <w:right w:w="28" w:type="dxa"/>
        </w:tblCellMar>
      </w:tblPr>
      <w:tblGrid>
        <w:gridCol w:w="991"/>
        <w:gridCol w:w="241"/>
      </w:tblGrid>
      <w:tr>
        <w:trPr/>
        <w:tc>
          <w:tcPr>
            <w:tcW w:w="9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Name(s):</w:t>
            </w:r>
          </w:p>
        </w:tc>
        <w:tc>
          <w:tcPr>
            <w:tcW w:w="24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16"/>
                <w:u w:val="single"/>
              </w:rPr>
            </w:pPr>
            <w:r>
              <w:rPr>
                <w:rFonts w:ascii="Times New Roman" w:hAnsi="Times New Roman"/>
                <w:color w:val="000000"/>
                <w:sz w:val="16"/>
                <w:u w:val="single"/>
              </w:rPr>
              <w:t>9</w:t>
            </w:r>
          </w:p>
          <w:p>
            <w:pPr>
              <w:pStyle w:val="TableContents"/>
              <w:bidi w:val="0"/>
              <w:spacing w:before="0" w:after="16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Enter date of exercise.</w:t>
      </w:r>
    </w:p>
    <w:p>
      <w:pPr>
        <w:pStyle w:val="TextBody"/>
        <w:bidi w:val="0"/>
        <w:spacing w:before="0" w:after="12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Arial" w:hAnsi="Arial"/>
          <w:color w:val="000000"/>
          <w:sz w:val="20"/>
        </w:rPr>
        <w:t>Enter either “an Incentive” or “a Nonstatutory” or both.</w:t>
      </w:r>
    </w:p>
    <w:p>
      <w:pPr>
        <w:pStyle w:val="TextBody"/>
        <w:bidi w:val="0"/>
        <w:spacing w:before="0" w:after="120"/>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Arial" w:hAnsi="Arial"/>
          <w:color w:val="000000"/>
          <w:sz w:val="20"/>
        </w:rPr>
        <w:t>Enter the date of grant.</w:t>
      </w:r>
    </w:p>
    <w:p>
      <w:pPr>
        <w:pStyle w:val="TextBody"/>
        <w:bidi w:val="0"/>
        <w:spacing w:before="0" w:after="120"/>
        <w:jc w:val="both"/>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w:t>
      </w:r>
      <w:r>
        <w:rPr>
          <w:rFonts w:ascii="Arial" w:hAnsi="Arial"/>
          <w:color w:val="000000"/>
          <w:sz w:val="20"/>
        </w:rPr>
        <w:t>Enter the total number of shares of Common Stock for which the option was granted.</w:t>
      </w:r>
    </w:p>
    <w:p>
      <w:pPr>
        <w:pStyle w:val="TextBody"/>
        <w:bidi w:val="0"/>
        <w:spacing w:before="0" w:after="120"/>
        <w:jc w:val="both"/>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w:t>
      </w:r>
      <w:r>
        <w:rPr>
          <w:rFonts w:ascii="Arial" w:hAnsi="Arial"/>
          <w:color w:val="000000"/>
          <w:sz w:val="20"/>
        </w:rPr>
        <w:t>Enter the option exercise price per share of Common Stock.</w:t>
      </w:r>
    </w:p>
    <w:p>
      <w:pPr>
        <w:pStyle w:val="TextBody"/>
        <w:bidi w:val="0"/>
        <w:spacing w:before="0" w:after="120"/>
        <w:jc w:val="both"/>
        <w:rPr>
          <w:rFonts w:ascii="Times New Roman" w:hAnsi="Times New Roman"/>
          <w:sz w:val="20"/>
        </w:rPr>
      </w:pPr>
      <w:r>
        <w:rPr>
          <w:rFonts w:ascii="Times New Roman" w:hAnsi="Times New Roman"/>
          <w:color w:val="000000"/>
          <w:sz w:val="13"/>
        </w:rPr>
        <w:t>6</w:t>
      </w:r>
      <w:r>
        <w:rPr>
          <w:rFonts w:ascii="Times New Roman" w:hAnsi="Times New Roman"/>
          <w:color w:val="000000"/>
          <w:sz w:val="20"/>
        </w:rPr>
        <w:t xml:space="preserve"> </w:t>
      </w:r>
      <w:r>
        <w:rPr>
          <w:rFonts w:ascii="Arial" w:hAnsi="Arial"/>
          <w:color w:val="000000"/>
          <w:sz w:val="20"/>
        </w:rPr>
        <w:t>Enter the number of shares of Common Stock to be purchased upon exercise of all or part of the option.</w:t>
      </w:r>
    </w:p>
    <w:p>
      <w:pPr>
        <w:pStyle w:val="TextBody"/>
        <w:bidi w:val="0"/>
        <w:spacing w:before="0" w:after="120"/>
        <w:jc w:val="both"/>
        <w:rPr>
          <w:rFonts w:ascii="Times New Roman" w:hAnsi="Times New Roman"/>
          <w:sz w:val="20"/>
        </w:rPr>
      </w:pPr>
      <w:r>
        <w:rPr>
          <w:rFonts w:ascii="Times New Roman" w:hAnsi="Times New Roman"/>
          <w:color w:val="000000"/>
          <w:sz w:val="13"/>
        </w:rPr>
        <w:t>7</w:t>
      </w:r>
      <w:r>
        <w:rPr>
          <w:rFonts w:ascii="Times New Roman" w:hAnsi="Times New Roman"/>
          <w:color w:val="000000"/>
          <w:sz w:val="20"/>
        </w:rPr>
        <w:t xml:space="preserve"> </w:t>
      </w:r>
      <w:r>
        <w:rPr>
          <w:rFonts w:ascii="Arial" w:hAnsi="Arial"/>
          <w:color w:val="000000"/>
          <w:sz w:val="20"/>
        </w:rPr>
        <w:t>Enter “cash”, “personal check” or if permitted by the option or Plan, “stock certificates No. XXXX and XXXX”.</w:t>
      </w:r>
    </w:p>
    <w:p>
      <w:pPr>
        <w:pStyle w:val="TextBody"/>
        <w:bidi w:val="0"/>
        <w:spacing w:before="0" w:after="120"/>
        <w:jc w:val="both"/>
        <w:rPr>
          <w:rFonts w:ascii="Times New Roman" w:hAnsi="Times New Roman"/>
          <w:sz w:val="20"/>
        </w:rPr>
      </w:pPr>
      <w:r>
        <w:rPr>
          <w:rFonts w:ascii="Times New Roman" w:hAnsi="Times New Roman"/>
          <w:color w:val="000000"/>
          <w:sz w:val="13"/>
        </w:rPr>
        <w:t>8</w:t>
      </w:r>
      <w:r>
        <w:rPr>
          <w:rFonts w:ascii="Times New Roman" w:hAnsi="Times New Roman"/>
          <w:color w:val="000000"/>
          <w:sz w:val="20"/>
        </w:rPr>
        <w:t xml:space="preserve"> </w:t>
      </w:r>
      <w:r>
        <w:rPr>
          <w:rFonts w:ascii="Arial" w:hAnsi="Arial"/>
          <w:color w:val="000000"/>
          <w:sz w:val="20"/>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pStyle w:val="TextBody"/>
        <w:bidi w:val="0"/>
        <w:spacing w:before="0" w:after="120"/>
        <w:jc w:val="both"/>
        <w:rPr>
          <w:rFonts w:ascii="Times New Roman" w:hAnsi="Times New Roman"/>
          <w:sz w:val="20"/>
        </w:rPr>
      </w:pPr>
      <w:r>
        <w:rPr>
          <w:rFonts w:ascii="Times New Roman" w:hAnsi="Times New Roman"/>
          <w:color w:val="000000"/>
          <w:sz w:val="13"/>
        </w:rPr>
        <w:t>9</w:t>
      </w:r>
      <w:r>
        <w:rPr>
          <w:rFonts w:ascii="Times New Roman" w:hAnsi="Times New Roman"/>
          <w:color w:val="000000"/>
          <w:sz w:val="20"/>
        </w:rPr>
        <w:t xml:space="preserve"> </w:t>
      </w:r>
      <w:r>
        <w:rPr>
          <w:rFonts w:ascii="Arial" w:hAnsi="Arial"/>
          <w:color w:val="000000"/>
          <w:sz w:val="20"/>
        </w:rPr>
        <w:t>Enter name(s) to appear on stock certificate in one of the following formats: (a) your name only (i.e., John Doe); (b) your name and other name (i.e., John Doe and Jane Doe, Joint Tenants with Right to Survivorship); or for Nonstatutory Stock Options only, (c) a child’s name, with you as custodian (i.e. Jane Doe, Custodian for Tommy Doe). Note: There may be income and/or gift tax consequences for registering shares in a child’s name.</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52" w:type="dxa"/>
        <w:jc w:val="left"/>
        <w:tblInd w:w="0" w:type="dxa"/>
        <w:tblLayout w:type="fixed"/>
        <w:tblCellMar>
          <w:top w:w="28" w:type="dxa"/>
          <w:left w:w="28" w:type="dxa"/>
          <w:bottom w:w="28" w:type="dxa"/>
          <w:right w:w="28" w:type="dxa"/>
        </w:tblCellMar>
      </w:tblPr>
      <w:tblGrid>
        <w:gridCol w:w="961"/>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Address:</w:t>
            </w:r>
          </w:p>
        </w:tc>
        <w:tc>
          <w:tcPr>
            <w:tcW w:w="191" w:type="dxa"/>
            <w:tcBorders/>
            <w:tcMar>
              <w:top w:w="0" w:type="dxa"/>
              <w:left w:w="0" w:type="dxa"/>
              <w:bottom w:w="0" w:type="dxa"/>
              <w:right w:w="0" w:type="dxa"/>
            </w:tcMar>
            <w:vAlign w:val="center"/>
          </w:tcPr>
          <w:p>
            <w:pPr>
              <w:pStyle w:val="TableContents"/>
              <w:bidi w:val="0"/>
              <w:spacing w:before="0" w:after="160"/>
              <w:jc w:val="left"/>
              <w:rPr/>
            </w:pPr>
            <w:r>
              <w:rPr/>
              <w:t> </w:t>
            </w:r>
          </w:p>
          <w:p>
            <w:pPr>
              <w:pStyle w:val="TableContents"/>
              <w:bidi w:val="0"/>
              <w:spacing w:before="0" w:after="160"/>
              <w:jc w:val="left"/>
              <w:rPr/>
            </w:pPr>
            <w:r>
              <w:rPr/>
              <w:t> </w:t>
            </w:r>
          </w:p>
        </w:tc>
      </w:tr>
    </w:tbl>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 represent, warrant and covenant as follows:</w:t>
      </w:r>
    </w:p>
    <w:p>
      <w:pPr>
        <w:pStyle w:val="TextBody"/>
        <w:bidi w:val="0"/>
        <w:spacing w:before="0" w:after="240"/>
        <w:jc w:val="both"/>
        <w:rPr>
          <w:rFonts w:ascii="Times New Roman" w:hAnsi="Times New Roman"/>
          <w:sz w:val="20"/>
        </w:rPr>
      </w:pPr>
      <w:r>
        <w:rPr>
          <w:rFonts w:ascii="Times New Roman" w:hAnsi="Times New Roman"/>
          <w:color w:val="000000"/>
          <w:sz w:val="24"/>
        </w:rPr>
        <w:t>1. I am purchasing the Shares for my own account for investment only, and not with a view to, or for sale in connection with, any distribution of the Shares in violation of the Securities Act of 1933 (the “</w:t>
      </w:r>
      <w:r>
        <w:rPr>
          <w:rFonts w:ascii="Times New Roman" w:hAnsi="Times New Roman"/>
          <w:b/>
          <w:color w:val="000000"/>
          <w:sz w:val="24"/>
        </w:rPr>
        <w:t>Securities Act</w:t>
      </w:r>
      <w:r>
        <w:rPr>
          <w:rFonts w:ascii="Times New Roman" w:hAnsi="Times New Roman"/>
          <w:color w:val="000000"/>
          <w:sz w:val="20"/>
        </w:rPr>
        <w:t>”</w:t>
      </w:r>
      <w:r>
        <w:rPr>
          <w:rFonts w:ascii="Times New Roman" w:hAnsi="Times New Roman"/>
          <w:color w:val="000000"/>
          <w:sz w:val="24"/>
        </w:rPr>
        <w:t>), or any rule or regulation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I have had such opportunity as I have deemed adequate to obtain from representatives of the Company such information as is necessary to permit me to evaluate the merits and risks of my investment in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I have sufficient experience in business, financial and investment matters to be able to evaluate the risks involved in the purchase of the Shares and to make an informed investment decision with respect to such purchase.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I can afford a complete loss of the value of the Shares and am able to bear the economic risk of holding such Shares for an indefinite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six months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4"/>
        </w:rPr>
        <w:t>[By the execution and delivery of this Notice of Stock Option Exercise, I shall be, and hereby agree to be, bound by the (i) [Amended and Restated] Voting Agreement, dated [_________], by and among the Company and the other signatories thereto (the “</w:t>
      </w:r>
      <w:r>
        <w:rPr>
          <w:rFonts w:ascii="Times New Roman" w:hAnsi="Times New Roman"/>
          <w:b/>
          <w:color w:val="000000"/>
          <w:sz w:val="24"/>
        </w:rPr>
        <w:t>Voting Agreement</w:t>
      </w:r>
      <w:r>
        <w:rPr>
          <w:rFonts w:ascii="Times New Roman" w:hAnsi="Times New Roman"/>
          <w:color w:val="000000"/>
          <w:sz w:val="20"/>
        </w:rPr>
        <w:t>”</w:t>
      </w:r>
      <w:r>
        <w:rPr>
          <w:rFonts w:ascii="Times New Roman" w:hAnsi="Times New Roman"/>
          <w:color w:val="000000"/>
          <w:sz w:val="24"/>
        </w:rPr>
        <w:t>), as a [“Key Holder” and “Stockholder”] (each as defined in the Voting Agreement) for all purposes under the Voting Agreement and (ii) [Amended and Restated] Right of First Refusal and Co-Sale Agreement, dated [_________], by and among the Company and the other signatories thereto (the “</w:t>
      </w:r>
      <w:r>
        <w:rPr>
          <w:rFonts w:ascii="Times New Roman" w:hAnsi="Times New Roman"/>
          <w:b/>
          <w:color w:val="000000"/>
          <w:sz w:val="24"/>
        </w:rPr>
        <w:t>ROFR and Co-Sale Agreement</w:t>
      </w:r>
      <w:r>
        <w:rPr>
          <w:rFonts w:ascii="Times New Roman" w:hAnsi="Times New Roman"/>
          <w:color w:val="000000"/>
          <w:sz w:val="20"/>
        </w:rPr>
        <w:t>”</w:t>
      </w:r>
      <w:r>
        <w:rPr>
          <w:rFonts w:ascii="Times New Roman" w:hAnsi="Times New Roman"/>
          <w:color w:val="000000"/>
          <w:sz w:val="24"/>
        </w:rPr>
        <w:t>), as a [“Key Holder”] (as defined in the ROFR and Co- Sale Agreement) for all purposes under the ROFR and Co-Sale Agreement. In addition to the foregoing, I shall execute and deliver to the Company (i) an [Adoption Agreement] in the form attached to the Voting Agreement, thereby agreeing to be bound by and subject to the terms of the Voting Agreement as a [“Key Holder” and “Stockholder”] (each as defined in the Voting Agreement) and (ii) a [counterpart signature page] to the ROFR and Co-Sale Agreement, thereby agreeing to be bound by and subject to the terms of the ROFR and Co-Sale Agreement as a [“Key Holder”] (as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defined in the ROFR and Co-Sale Agreement). I acknowledge and agree that I have received a copy of the Voting Agreement and the Right of First Refusal and Co-Sale Agreement.]</w:t>
      </w:r>
      <w:r>
        <w:rPr>
          <w:rFonts w:ascii="Times New Roman" w:hAnsi="Times New Roman"/>
          <w:color w:val="000000"/>
          <w:sz w:val="16"/>
        </w:rPr>
        <w:t>1</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Very truly yours,</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This provision should be included if the Company is party to a Voting Agreement and/or Right of First Refusal and Co-Sale Agreement and pursuant to the terms of such Voting Agreement and/or Right of First Refusal and Co- Sale Agreement, the Participant is required to be a party to, and be bound by, the Voting Agreement and/or Right of First Refusal and Co-Sale Agreement. The defined terms in this section should be revised to correspond to the defined terms in the Voting Agreement or Right of First Refusal and Co-Sale Agreement (as applicable). In addition, the Participant should receive a copy of the Voting Agreement and/or Right of First Refusal and Co-Sale Agreement and also execute and deliver the Adoption Agreement (or similar agreement) pursuant to the terms of the Voting Agreement and a counterpart signature page to the Right of First Refusal and Co-Sale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Faeth Therapeutics, Inc. 2019 Stock Incentive Plan</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Faeth Therapeutics, Inc.</w:t>
        <w:br/>
        <w:br/>
        <w:t>Stock Option Agreement – Non-U.S.</w:t>
        <w:br/>
        <w:t>Granted Under 2019 Stock Incentive Plan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This Stock Option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between Faeth Therapeutics,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the Participant pursuant to the 2019 Stock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Notice of Grant</w:t>
      </w:r>
    </w:p>
    <w:p>
      <w:pPr>
        <w:pStyle w:val="TextBody"/>
        <w:bidi w:val="0"/>
        <w:jc w:val="left"/>
        <w:rPr>
          <w:rFonts w:ascii="Times New Roman" w:hAnsi="Times New Roman"/>
          <w:b/>
          <w:color w:val="000000"/>
          <w:sz w:val="24"/>
        </w:rPr>
      </w:pPr>
      <w:r>
        <w:rPr>
          <w:rFonts w:ascii="Times New Roman" w:hAnsi="Times New Roman"/>
          <w:b/>
          <w:color w:val="000000"/>
          <w:sz w:val="24"/>
        </w:rPr>
        <w:t>I. Participant Information</w:t>
      </w:r>
    </w:p>
    <w:tbl>
      <w:tblPr>
        <w:tblW w:w="2217" w:type="dxa"/>
        <w:jc w:val="left"/>
        <w:tblInd w:w="0" w:type="dxa"/>
        <w:tblLayout w:type="fixed"/>
        <w:tblCellMar>
          <w:top w:w="28" w:type="dxa"/>
          <w:left w:w="28" w:type="dxa"/>
          <w:bottom w:w="28" w:type="dxa"/>
          <w:right w:w="28" w:type="dxa"/>
        </w:tblCellMar>
      </w:tblPr>
      <w:tblGrid>
        <w:gridCol w:w="202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Participant:</w:t>
            </w:r>
          </w:p>
        </w:tc>
        <w:tc>
          <w:tcPr>
            <w:tcW w:w="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2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Participant Address:</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II. Grant Information</w:t>
      </w:r>
    </w:p>
    <w:tbl>
      <w:tblPr>
        <w:tblW w:w="6002" w:type="dxa"/>
        <w:jc w:val="left"/>
        <w:tblInd w:w="0" w:type="dxa"/>
        <w:tblLayout w:type="fixed"/>
        <w:tblCellMar>
          <w:top w:w="28" w:type="dxa"/>
          <w:left w:w="28" w:type="dxa"/>
          <w:bottom w:w="28" w:type="dxa"/>
          <w:right w:w="28" w:type="dxa"/>
        </w:tblCellMar>
      </w:tblPr>
      <w:tblGrid>
        <w:gridCol w:w="3151"/>
        <w:gridCol w:w="2851"/>
      </w:tblGrid>
      <w:tr>
        <w:trPr/>
        <w:tc>
          <w:tcPr>
            <w:tcW w:w="31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Date:</w:t>
            </w:r>
          </w:p>
        </w:tc>
        <w:tc>
          <w:tcPr>
            <w:tcW w:w="28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Shares:</w:t>
            </w:r>
          </w:p>
        </w:tc>
        <w:tc>
          <w:tcPr>
            <w:tcW w:w="28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Exercise Price Per Share (US$):</w:t>
            </w:r>
          </w:p>
        </w:tc>
        <w:tc>
          <w:tcPr>
            <w:tcW w:w="28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Vesting Commencement Date:</w:t>
            </w:r>
          </w:p>
        </w:tc>
        <w:tc>
          <w:tcPr>
            <w:tcW w:w="28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31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Type of Option:</w:t>
            </w:r>
          </w:p>
        </w:tc>
        <w:tc>
          <w:tcPr>
            <w:tcW w:w="28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[Nonstatutory Stock Option]</w:t>
            </w:r>
          </w:p>
        </w:tc>
      </w:tr>
    </w:tbl>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III. Vesting Table</w:t>
      </w:r>
    </w:p>
    <w:tbl>
      <w:tblPr>
        <w:tblW w:w="10205" w:type="dxa"/>
        <w:jc w:val="left"/>
        <w:tblInd w:w="0" w:type="dxa"/>
        <w:tblLayout w:type="fixed"/>
        <w:tblCellMar>
          <w:top w:w="28" w:type="dxa"/>
          <w:left w:w="28" w:type="dxa"/>
          <w:bottom w:w="28" w:type="dxa"/>
          <w:right w:w="28" w:type="dxa"/>
        </w:tblCellMar>
      </w:tblPr>
      <w:tblGrid>
        <w:gridCol w:w="8867"/>
        <w:gridCol w:w="1338"/>
      </w:tblGrid>
      <w:tr>
        <w:trPr/>
        <w:tc>
          <w:tcPr>
            <w:tcW w:w="886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886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Vesting Date</w:t>
            </w:r>
            <w:r>
              <w:rPr>
                <w:rFonts w:ascii="Times New Roman" w:hAnsi="Times New Roman"/>
                <w:color w:val="000000"/>
                <w:sz w:val="16"/>
              </w:rPr>
              <w:t>1</w:t>
            </w:r>
          </w:p>
        </w:tc>
        <w:tc>
          <w:tcPr>
            <w:tcW w:w="133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Shares that Vest</w:t>
            </w:r>
            <w:r>
              <w:rPr>
                <w:rFonts w:ascii="Times New Roman" w:hAnsi="Times New Roman"/>
                <w:color w:val="000000"/>
                <w:sz w:val="16"/>
              </w:rPr>
              <w:t>(1)</w:t>
            </w:r>
          </w:p>
        </w:tc>
      </w:tr>
      <w:tr>
        <w:trPr/>
        <w:tc>
          <w:tcPr>
            <w:tcW w:w="88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[First] anniversary of the Vesting Commencement Date</w:t>
            </w:r>
          </w:p>
        </w:tc>
        <w:tc>
          <w:tcPr>
            <w:tcW w:w="13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of Shares]</w:t>
            </w:r>
            <w:r>
              <w:rPr>
                <w:rFonts w:ascii="Times New Roman" w:hAnsi="Times New Roman"/>
                <w:color w:val="000000"/>
                <w:sz w:val="16"/>
              </w:rPr>
              <w:t>2</w:t>
            </w:r>
          </w:p>
        </w:tc>
      </w:tr>
      <w:tr>
        <w:trPr/>
        <w:tc>
          <w:tcPr>
            <w:tcW w:w="886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End of each successive [one] month period following the [First] anniversary of the Vesting Commencement Date until the [Fourth] anniversary of the Vesting Commencement Date</w:t>
            </w:r>
          </w:p>
        </w:tc>
        <w:tc>
          <w:tcPr>
            <w:tcW w:w="13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of Shares]</w:t>
            </w:r>
            <w:r>
              <w:rPr>
                <w:rFonts w:ascii="Times New Roman" w:hAnsi="Times New Roman"/>
                <w:color w:val="000000"/>
                <w:sz w:val="16"/>
              </w:rPr>
              <w:t>3</w:t>
            </w:r>
          </w:p>
        </w:tc>
      </w:tr>
    </w:tbl>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4"/>
        </w:rPr>
        <w:t>The number of shares is subject to adjustment for any changes in the Company’s capitalization as set forth in Section 9 of the Plan.</w:t>
      </w:r>
    </w:p>
    <w:p>
      <w:pPr>
        <w:pStyle w:val="TextBody"/>
        <w:bidi w:val="0"/>
        <w:jc w:val="left"/>
        <w:rPr>
          <w:rFonts w:ascii="Times New Roman" w:hAnsi="Times New Roman"/>
          <w:b/>
          <w:color w:val="000000"/>
          <w:sz w:val="24"/>
        </w:rPr>
      </w:pPr>
      <w:r>
        <w:rPr>
          <w:rFonts w:ascii="Times New Roman" w:hAnsi="Times New Roman"/>
          <w:b/>
          <w:color w:val="000000"/>
          <w:sz w:val="24"/>
        </w:rPr>
        <w:t>IV. Final Exercise Date</w:t>
      </w:r>
    </w:p>
    <w:tbl>
      <w:tblPr>
        <w:tblW w:w="7922" w:type="dxa"/>
        <w:jc w:val="left"/>
        <w:tblInd w:w="0" w:type="dxa"/>
        <w:tblLayout w:type="fixed"/>
        <w:tblCellMar>
          <w:top w:w="28" w:type="dxa"/>
          <w:left w:w="28" w:type="dxa"/>
          <w:bottom w:w="28" w:type="dxa"/>
          <w:right w:w="28" w:type="dxa"/>
        </w:tblCellMar>
      </w:tblPr>
      <w:tblGrid>
        <w:gridCol w:w="3001"/>
        <w:gridCol w:w="4921"/>
      </w:tblGrid>
      <w:tr>
        <w:trPr/>
        <w:tc>
          <w:tcPr>
            <w:tcW w:w="300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30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5:00 pm Eastern time on Date:</w:t>
            </w:r>
          </w:p>
        </w:tc>
        <w:tc>
          <w:tcPr>
            <w:tcW w:w="49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is ten years minus one day from Grant Date]</w:t>
            </w:r>
          </w:p>
        </w:tc>
      </w:tr>
    </w:tbl>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This Agreement (the definition of which shall include any special terms and conditions for the Participant’s country of residence and/or work set forth in the appendix attached hereto (the “</w:t>
      </w:r>
      <w:r>
        <w:rPr>
          <w:rFonts w:ascii="Times New Roman" w:hAnsi="Times New Roman"/>
          <w:b/>
          <w:color w:val="000000"/>
          <w:sz w:val="24"/>
        </w:rPr>
        <w:t>Appendix</w:t>
      </w:r>
      <w:r>
        <w:rPr>
          <w:rFonts w:ascii="Times New Roman" w:hAnsi="Times New Roman"/>
          <w:color w:val="000000"/>
          <w:sz w:val="20"/>
        </w:rPr>
        <w:t>”</w:t>
      </w:r>
      <w:r>
        <w:rPr>
          <w:rFonts w:ascii="Times New Roman" w:hAnsi="Times New Roman"/>
          <w:color w:val="000000"/>
          <w:sz w:val="24"/>
        </w:rPr>
        <w:t>)) includes this Notice of Grant and the following Exhibits, which are expressly incorporated by reference in their entirety herein:</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Note: This is drafted assuming a four-year vesting schedule with a one-year cliff. If a different schedule is used, this table will need to be adjusted accordingly.</w:t>
      </w:r>
    </w:p>
    <w:p>
      <w:pPr>
        <w:pStyle w:val="TextBody"/>
        <w:bidi w:val="0"/>
        <w:spacing w:before="0" w:after="12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Arial" w:hAnsi="Arial"/>
          <w:color w:val="000000"/>
          <w:sz w:val="20"/>
        </w:rPr>
        <w:t>Note: Number of Shares to equal 25% of total grant.</w:t>
      </w:r>
    </w:p>
    <w:p>
      <w:pPr>
        <w:pStyle w:val="TextBody"/>
        <w:bidi w:val="0"/>
        <w:spacing w:before="0" w:after="120"/>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Arial" w:hAnsi="Arial"/>
          <w:color w:val="000000"/>
          <w:sz w:val="20"/>
        </w:rPr>
        <w:t>Note: Number of Shares to equal 2.0833% of total grant.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 A – General Terms and Conditions – Non-U.S. (including the Appendix)</w:t>
      </w:r>
    </w:p>
    <w:p>
      <w:pPr>
        <w:pStyle w:val="TextBody"/>
        <w:bidi w:val="0"/>
        <w:jc w:val="left"/>
        <w:rPr>
          <w:rFonts w:ascii="Times New Roman" w:hAnsi="Times New Roman"/>
          <w:color w:val="000000"/>
          <w:sz w:val="24"/>
        </w:rPr>
      </w:pPr>
      <w:r>
        <w:rPr>
          <w:rFonts w:ascii="Times New Roman" w:hAnsi="Times New Roman"/>
          <w:color w:val="000000"/>
          <w:sz w:val="24"/>
        </w:rPr>
        <w:t>Exhibit B – Notice of Stock Option Exercise – Non-U.S.</w:t>
      </w:r>
    </w:p>
    <w:p>
      <w:pPr>
        <w:pStyle w:val="TextBody"/>
        <w:bidi w:val="0"/>
        <w:jc w:val="left"/>
        <w:rPr>
          <w:rFonts w:ascii="Times New Roman" w:hAnsi="Times New Roman"/>
          <w:color w:val="000000"/>
          <w:sz w:val="24"/>
        </w:rPr>
      </w:pPr>
      <w:r>
        <w:rPr>
          <w:rFonts w:ascii="Times New Roman" w:hAnsi="Times New Roman"/>
          <w:color w:val="000000"/>
          <w:sz w:val="24"/>
        </w:rPr>
        <w:t>Exhibit C – Faeth Therapeutics, Inc. 2019 Stock Incentive Plan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executed this Agreement.</w:t>
      </w:r>
    </w:p>
    <w:tbl>
      <w:tblPr>
        <w:tblW w:w="5447" w:type="dxa"/>
        <w:jc w:val="left"/>
        <w:tblInd w:w="0" w:type="dxa"/>
        <w:tblLayout w:type="fixed"/>
        <w:tblCellMar>
          <w:top w:w="28" w:type="dxa"/>
          <w:left w:w="28" w:type="dxa"/>
          <w:bottom w:w="28" w:type="dxa"/>
          <w:right w:w="28" w:type="dxa"/>
        </w:tblCellMar>
      </w:tblPr>
      <w:tblGrid>
        <w:gridCol w:w="3586"/>
        <w:gridCol w:w="1861"/>
      </w:tblGrid>
      <w:tr>
        <w:trPr/>
        <w:tc>
          <w:tcPr>
            <w:tcW w:w="358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FAETH THERAPEUTICS, INC.</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Name:</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8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PARTICIPANT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Name:</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Stock Option Agreement</w:t>
        <w:br/>
        <w:t>2019 Stock Incentive Plan</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A</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General terms and Conditions – Non-U.S.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For valuable consideration, receipt of which is acknowledged, the parties hereto agree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Grant of Option</w:t>
      </w:r>
      <w:r>
        <w:rPr>
          <w:rFonts w:ascii="Times New Roman" w:hAnsi="Times New Roman"/>
          <w:color w:val="000000"/>
          <w:sz w:val="24"/>
        </w:rPr>
        <w:t>. This Agreement (the definition of which shall include any special terms and conditions for Participant’s country of residence and/or work set forth in the appendix attached hereto (the “</w:t>
      </w:r>
      <w:r>
        <w:rPr>
          <w:rFonts w:ascii="Times New Roman" w:hAnsi="Times New Roman"/>
          <w:b/>
          <w:color w:val="000000"/>
          <w:sz w:val="24"/>
        </w:rPr>
        <w:t>Appendix</w:t>
      </w:r>
      <w:r>
        <w:rPr>
          <w:rFonts w:ascii="Times New Roman" w:hAnsi="Times New Roman"/>
          <w:color w:val="000000"/>
          <w:sz w:val="20"/>
        </w:rPr>
        <w:t>”</w:t>
      </w:r>
      <w:r>
        <w:rPr>
          <w:rFonts w:ascii="Times New Roman" w:hAnsi="Times New Roman"/>
          <w:color w:val="000000"/>
          <w:sz w:val="24"/>
        </w:rPr>
        <w:t>)) evidences the grant by the Company, on the grant date (the “</w:t>
      </w:r>
      <w:r>
        <w:rPr>
          <w:rFonts w:ascii="Times New Roman" w:hAnsi="Times New Roman"/>
          <w:b/>
          <w:color w:val="000000"/>
          <w:sz w:val="24"/>
        </w:rPr>
        <w:t>Grant Date</w:t>
      </w:r>
      <w:r>
        <w:rPr>
          <w:rFonts w:ascii="Times New Roman" w:hAnsi="Times New Roman"/>
          <w:color w:val="000000"/>
          <w:sz w:val="20"/>
        </w:rPr>
        <w:t>”</w:t>
      </w:r>
      <w:r>
        <w:rPr>
          <w:rFonts w:ascii="Times New Roman" w:hAnsi="Times New Roman"/>
          <w:color w:val="000000"/>
          <w:sz w:val="24"/>
        </w:rPr>
        <w:t>) set forth in the Notice of Grant that forms part of this Agreement (the “</w:t>
      </w:r>
      <w:r>
        <w:rPr>
          <w:rFonts w:ascii="Times New Roman" w:hAnsi="Times New Roman"/>
          <w:b/>
          <w:color w:val="000000"/>
          <w:sz w:val="24"/>
        </w:rPr>
        <w:t>Notice of Grant</w:t>
      </w:r>
      <w:r>
        <w:rPr>
          <w:rFonts w:ascii="Times New Roman" w:hAnsi="Times New Roman"/>
          <w:color w:val="000000"/>
          <w:sz w:val="20"/>
        </w:rPr>
        <w:t>”</w:t>
      </w:r>
      <w:r>
        <w:rPr>
          <w:rFonts w:ascii="Times New Roman" w:hAnsi="Times New Roman"/>
          <w:color w:val="000000"/>
          <w:sz w:val="24"/>
        </w:rPr>
        <w:t>), to the Participant of an option to purchase, in whole or in part, on the terms provided herein and in the Company’s 2019 Stock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the number of shares set forth in the Notice of Grant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of common stock, $0.0001 par value per share, of the Company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at the exercise price per Share set forth in the Notice of Grant (the “</w:t>
      </w:r>
      <w:r>
        <w:rPr>
          <w:rFonts w:ascii="Times New Roman" w:hAnsi="Times New Roman"/>
          <w:b/>
          <w:color w:val="000000"/>
          <w:sz w:val="24"/>
        </w:rPr>
        <w:t>Exercise Price</w:t>
      </w:r>
      <w:r>
        <w:rPr>
          <w:rFonts w:ascii="Times New Roman" w:hAnsi="Times New Roman"/>
          <w:color w:val="000000"/>
          <w:sz w:val="20"/>
        </w:rPr>
        <w:t>”</w:t>
      </w:r>
      <w:r>
        <w:rPr>
          <w:rFonts w:ascii="Times New Roman" w:hAnsi="Times New Roman"/>
          <w:color w:val="000000"/>
          <w:sz w:val="24"/>
        </w:rPr>
        <w:t>). Unless earlier terminated, this option shall expire at the time and on the date set forth in the Notice of Grant (the “</w:t>
      </w:r>
      <w:r>
        <w:rPr>
          <w:rFonts w:ascii="Times New Roman" w:hAnsi="Times New Roman"/>
          <w:b/>
          <w:color w:val="000000"/>
          <w:sz w:val="24"/>
        </w:rPr>
        <w:t>Final Exercise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Except as otherwise indicated by the context, the term “</w:t>
      </w:r>
      <w:r>
        <w:rPr>
          <w:rFonts w:ascii="Times New Roman" w:hAnsi="Times New Roman"/>
          <w:b/>
          <w:color w:val="000000"/>
          <w:sz w:val="24"/>
        </w:rPr>
        <w:t>Participant</w:t>
      </w:r>
      <w:r>
        <w:rPr>
          <w:rFonts w:ascii="Times New Roman" w:hAnsi="Times New Roman"/>
          <w:color w:val="000000"/>
          <w:sz w:val="20"/>
        </w:rPr>
        <w:t>”</w:t>
      </w:r>
      <w:r>
        <w:rPr>
          <w:rFonts w:ascii="Times New Roman" w:hAnsi="Times New Roman"/>
          <w:color w:val="000000"/>
          <w:sz w:val="24"/>
        </w:rPr>
        <w:t>, as used in this option, shall be deemed to include any person who acquires the right to exercise this option validly under its terms.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This option will become exercisable (“</w:t>
      </w:r>
      <w:r>
        <w:rPr>
          <w:rFonts w:ascii="Times New Roman" w:hAnsi="Times New Roman"/>
          <w:b/>
          <w:color w:val="000000"/>
          <w:sz w:val="24"/>
        </w:rPr>
        <w:t>vest</w:t>
      </w:r>
      <w:r>
        <w:rPr>
          <w:rFonts w:ascii="Times New Roman" w:hAnsi="Times New Roman"/>
          <w:color w:val="000000"/>
          <w:sz w:val="20"/>
        </w:rPr>
        <w:t>”</w:t>
      </w:r>
      <w:r>
        <w:rPr>
          <w:rFonts w:ascii="Times New Roman" w:hAnsi="Times New Roman"/>
          <w:color w:val="000000"/>
          <w:sz w:val="24"/>
        </w:rPr>
        <w:t>) in accordance with the Vesting Table set forth in the Notice of Grant.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Form of Exercise</w:t>
      </w:r>
      <w:r>
        <w:rPr>
          <w:rFonts w:ascii="Times New Roman" w:hAnsi="Times New Roman"/>
          <w:color w:val="000000"/>
          <w:sz w:val="24"/>
        </w:rPr>
        <w:t xml:space="preserve">. Each election to exercise this option shall be accompanied by a completed Notice of Stock Option Exercise in the form attached hereto as </w:t>
      </w:r>
      <w:r>
        <w:rPr>
          <w:rFonts w:ascii="Times New Roman" w:hAnsi="Times New Roman"/>
          <w:color w:val="000000"/>
          <w:sz w:val="24"/>
          <w:u w:val="single"/>
        </w:rPr>
        <w:t>Exhibit B</w:t>
      </w:r>
      <w:r>
        <w:rPr>
          <w:rFonts w:ascii="Times New Roman" w:hAnsi="Times New Roman"/>
          <w:color w:val="000000"/>
          <w:sz w:val="24"/>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 (unless the number of Shares that remain subject to this option at the time of exercise is less than ten whole shares, in which case the Participant may purchase the total number of whole shares that remain subject to this option).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Continuous Relationship with the Company Required</w:t>
      </w:r>
      <w:r>
        <w:rPr>
          <w:rFonts w:ascii="Times New Roman" w:hAnsi="Times New Roman"/>
          <w:color w:val="000000"/>
          <w:sz w:val="24"/>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parent or subsidiary of the Company as defined in Section 424(e) or (f) of the Code or any other entity the employees, officers, directors, consultants, or advisors of which are eligible to receive option grants under the Plan (an “</w:t>
      </w:r>
      <w:r>
        <w:rPr>
          <w:rFonts w:ascii="Times New Roman" w:hAnsi="Times New Roman"/>
          <w:b/>
          <w:color w:val="000000"/>
          <w:sz w:val="24"/>
        </w:rPr>
        <w:t>Eligible Participant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Termination of Relationship with the Company</w:t>
      </w:r>
      <w:r>
        <w:rPr>
          <w:rFonts w:ascii="Times New Roman" w:hAnsi="Times New Roman"/>
          <w:color w:val="000000"/>
          <w:sz w:val="24"/>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0"/>
        </w:rPr>
        <w:t xml:space="preserve"> </w:t>
      </w:r>
      <w:r>
        <w:rPr>
          <w:rFonts w:ascii="Times New Roman" w:hAnsi="Times New Roman"/>
          <w:color w:val="000000"/>
          <w:sz w:val="24"/>
        </w:rPr>
        <w:t>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Exercise Period Upon Death or Disability</w:t>
      </w:r>
      <w:r>
        <w:rPr>
          <w:rFonts w:ascii="Times New Roman" w:hAnsi="Times New Roman"/>
          <w:color w:val="000000"/>
          <w:sz w:val="24"/>
        </w:rPr>
        <w:t>. If the Participant dies or becomes disabled (within the meaning of Section 22(e)(3) of the Code) prior to the Final Exercise Date while he or she is an Eligible Participant and the Company has not terminated such service relationship for “</w:t>
      </w:r>
      <w:r>
        <w:rPr>
          <w:rFonts w:ascii="Times New Roman" w:hAnsi="Times New Roman"/>
          <w:b/>
          <w:color w:val="000000"/>
          <w:sz w:val="24"/>
        </w:rPr>
        <w:t>cause</w:t>
      </w:r>
      <w:r>
        <w:rPr>
          <w:rFonts w:ascii="Times New Roman" w:hAnsi="Times New Roman"/>
          <w:color w:val="000000"/>
          <w:sz w:val="20"/>
        </w:rPr>
        <w:t xml:space="preserve">” </w:t>
      </w:r>
      <w:r>
        <w:rPr>
          <w:rFonts w:ascii="Times New Roman" w:hAnsi="Times New Roman"/>
          <w:color w:val="000000"/>
          <w:sz w:val="24"/>
        </w:rPr>
        <w:t>as specified in paragraph (e) below, this option shall be exercisable, within the period of one year following the date of death or disability of the Participant, by the Participant (or in the case of death by an authorized transferee), provided that this option shall be exercisable only to the extent that this option was exercisable by the Participant on the date of his or her death or disability, and further provided that this option shall not be exercisable after the Final Exercise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Termination for Cause</w:t>
      </w:r>
      <w:r>
        <w:rPr>
          <w:rFonts w:ascii="Times New Roman" w:hAnsi="Times New Roman"/>
          <w:color w:val="000000"/>
          <w:sz w:val="24"/>
        </w:rPr>
        <w:t>. If, prior to the Final Exercise Date, the Participant’s service relationship with the Company is terminated by the Company for Cause (as defined below), the right to exercise this option shall terminate immediately upon the effective date of such termination. If, prior to the Final Exercise Date, the Participant is given notice by the Company of the termination of his or her service relationship by the Company for Cause, and the effective date of such termination is subsequent to the date of the delivery of such notice, the right to exercise this option shall be suspended from the time of the delivery of such notice until the earlier of (i) such time as it is determined or otherwise agreed that the Participant’s service relationship shall not be terminated for Cause as provided in such notice or (ii) the effective date of such termination (in which case the right to exercise this option shall, pursuant to the preceding sentence, terminate immediately upon the effective date of such termination). If the Participant is party to an employment, consulting or severance agreement with the Company or subject to a severance plan maintained by the Company, in either case, that contains a definition of “cause” for termination of service, “Cause” shall have the meaning ascribed to such term in such agreement or plan.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service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relationship shall be considered to have been terminated for “Cause” if the Company determines, within 30 days after the Participant’s termination of service, that termination for Cause was warranted.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Company Right of First Refusal</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Notice of Proposed Transfer</w:t>
      </w:r>
      <w:r>
        <w:rPr>
          <w:rFonts w:ascii="Times New Roman" w:hAnsi="Times New Roman"/>
          <w:color w:val="000000"/>
          <w:sz w:val="24"/>
        </w:rPr>
        <w:t>. If the Participant proposes to sell, assign, transfer, pledge, hypothecate or otherwise dispose of, by operation of law or otherwise (collectively, “</w:t>
      </w:r>
      <w:r>
        <w:rPr>
          <w:rFonts w:ascii="Times New Roman" w:hAnsi="Times New Roman"/>
          <w:b/>
          <w:color w:val="000000"/>
          <w:sz w:val="24"/>
        </w:rPr>
        <w:t>transfer</w:t>
      </w:r>
      <w:r>
        <w:rPr>
          <w:rFonts w:ascii="Times New Roman" w:hAnsi="Times New Roman"/>
          <w:color w:val="000000"/>
          <w:sz w:val="20"/>
        </w:rPr>
        <w:t>”</w:t>
      </w:r>
      <w:r>
        <w:rPr>
          <w:rFonts w:ascii="Times New Roman" w:hAnsi="Times New Roman"/>
          <w:color w:val="000000"/>
          <w:sz w:val="24"/>
        </w:rPr>
        <w:t>) any Shares acquired upon exercise of this option, then the Participant shall first give written notice of the proposed transfer (the “</w:t>
      </w:r>
      <w:r>
        <w:rPr>
          <w:rFonts w:ascii="Times New Roman" w:hAnsi="Times New Roman"/>
          <w:b/>
          <w:color w:val="000000"/>
          <w:sz w:val="24"/>
        </w:rPr>
        <w:t>Transfer Notice</w:t>
      </w:r>
      <w:r>
        <w:rPr>
          <w:rFonts w:ascii="Times New Roman" w:hAnsi="Times New Roman"/>
          <w:color w:val="000000"/>
          <w:sz w:val="20"/>
        </w:rPr>
        <w:t>”</w:t>
      </w:r>
      <w:r>
        <w:rPr>
          <w:rFonts w:ascii="Times New Roman" w:hAnsi="Times New Roman"/>
          <w:color w:val="000000"/>
          <w:sz w:val="24"/>
        </w:rPr>
        <w:t>) to the Company. The Transfer Notice shall name the proposed transferee and state the number of such Shares the Participant proposes to transfer (the “</w:t>
      </w:r>
      <w:r>
        <w:rPr>
          <w:rFonts w:ascii="Times New Roman" w:hAnsi="Times New Roman"/>
          <w:b/>
          <w:color w:val="000000"/>
          <w:sz w:val="24"/>
        </w:rPr>
        <w:t>Offered Shares</w:t>
      </w:r>
      <w:r>
        <w:rPr>
          <w:rFonts w:ascii="Times New Roman" w:hAnsi="Times New Roman"/>
          <w:color w:val="000000"/>
          <w:sz w:val="20"/>
        </w:rPr>
        <w:t>”</w:t>
      </w:r>
      <w:r>
        <w:rPr>
          <w:rFonts w:ascii="Times New Roman" w:hAnsi="Times New Roman"/>
          <w:color w:val="000000"/>
          <w:sz w:val="24"/>
        </w:rPr>
        <w:t>), the price per share and all other material terms and conditions of the transfer.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Company Right to Purchase</w:t>
      </w:r>
      <w:r>
        <w:rPr>
          <w:rFonts w:ascii="Times New Roman" w:hAnsi="Times New Roman"/>
          <w:color w:val="000000"/>
          <w:sz w:val="24"/>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 w:hAnsi="Times New Roman"/>
          <w:color w:val="000000"/>
          <w:sz w:val="24"/>
          <w:u w:val="single"/>
        </w:rPr>
        <w:t>provided that</w:t>
      </w:r>
      <w:r>
        <w:rPr>
          <w:rFonts w:ascii="Times New Roman" w:hAnsi="Times New Roman"/>
          <w:color w:val="000000"/>
          <w:sz w:val="20"/>
        </w:rPr>
        <w:t xml:space="preserve"> </w:t>
      </w:r>
      <w:r>
        <w:rPr>
          <w:rFonts w:ascii="Times New Roman" w:hAnsi="Times New Roman"/>
          <w:color w:val="000000"/>
          <w:sz w:val="24"/>
        </w:rPr>
        <w:t xml:space="preserve">if the terms of payment set forth in the Transfer Notice were other than cash against delivery, the Company may pay for the Offered Shares on the same terms and conditions as were set forth in the Transfer Notice; and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any delay in making such payment shall not invalidate the Company’s exercise of its option to purchase the Offered Shares.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Shares Not Purchased By Company</w:t>
      </w:r>
      <w:r>
        <w:rPr>
          <w:rFonts w:ascii="Times New Roman" w:hAnsi="Times New Roman"/>
          <w:color w:val="000000"/>
          <w:sz w:val="24"/>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Times New Roman" w:hAnsi="Times New Roman"/>
          <w:color w:val="000000"/>
          <w:sz w:val="24"/>
          <w:u w:val="single"/>
        </w:rPr>
        <w:t>provided that</w:t>
      </w:r>
      <w:r>
        <w:rPr>
          <w:rFonts w:ascii="Times New Roman" w:hAnsi="Times New Roman"/>
          <w:color w:val="000000"/>
          <w:sz w:val="20"/>
        </w:rPr>
        <w:t xml:space="preserve"> </w:t>
      </w:r>
      <w:r>
        <w:rPr>
          <w:rFonts w:ascii="Times New Roman" w:hAnsi="Times New Roman"/>
          <w:color w:val="000000"/>
          <w:sz w:val="24"/>
        </w:rPr>
        <w:t>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Consequences of Non-Delivery</w:t>
      </w:r>
      <w:r>
        <w:rPr>
          <w:rFonts w:ascii="Times New Roman" w:hAnsi="Times New Roman"/>
          <w:color w:val="000000"/>
          <w:sz w:val="24"/>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Exempt Transactions</w:t>
      </w:r>
      <w:r>
        <w:rPr>
          <w:rFonts w:ascii="Times New Roman" w:hAnsi="Times New Roman"/>
          <w:color w:val="000000"/>
          <w:sz w:val="24"/>
        </w:rPr>
        <w:t>. The following transactions shall be exempt from the provisions of this Section 4:</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4"/>
        </w:rPr>
        <w:t>any transfer of Shares to or for the benefit of any spouse, child or grandchild of the Participant, or to a trust for their benefit;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4"/>
        </w:rPr>
        <w:t>any transfer pursuant to an effective registration statement filed by the Company under the Securities Act of 1933, as amended (the “</w:t>
      </w:r>
      <w:r>
        <w:rPr>
          <w:rFonts w:ascii="Times New Roman" w:hAnsi="Times New Roman"/>
          <w:b/>
          <w:color w:val="000000"/>
          <w:sz w:val="24"/>
        </w:rPr>
        <w:t>Securities Act</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4"/>
        </w:rPr>
        <w:t xml:space="preserve">the sale of all or substantially all of the outstanding shares of capital stock of the Company (including pursuant to a merger or consolidation);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case of a transfer pursuant to clause (1) above, such Shares shall remain subject to the right of first refusal set forth in this Section 4.</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Assignment of Company Right</w:t>
      </w:r>
      <w:r>
        <w:rPr>
          <w:rFonts w:ascii="Times New Roman" w:hAnsi="Times New Roman"/>
          <w:color w:val="000000"/>
          <w:sz w:val="24"/>
        </w:rPr>
        <w:t>. The Company may assign its rights to purchase Offered Shares in any particular transaction under this Section 4 to one or more persons or entities.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Termination</w:t>
      </w:r>
      <w:r>
        <w:rPr>
          <w:rFonts w:ascii="Times New Roman" w:hAnsi="Times New Roman"/>
          <w:color w:val="000000"/>
          <w:sz w:val="24"/>
        </w:rPr>
        <w:t>. The provisions of this Section 4 shall terminate upon the earlier of the following events: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4"/>
        </w:rPr>
        <w:t>the closing of the sale of shares of Common Stock in an underwritten public offering pursuant to an effective registration statement filed by the Company under the Securities Act; or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4"/>
        </w:rPr>
        <w:t>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(h) No Obligation to Recognize Invalid Transfer. The Company shall not be required (1) 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Legends</w:t>
      </w:r>
      <w:r>
        <w:rPr>
          <w:rFonts w:ascii="Times New Roman" w:hAnsi="Times New Roman"/>
          <w:color w:val="000000"/>
          <w:sz w:val="24"/>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pStyle w:val="TextBody"/>
        <w:bidi w:val="0"/>
        <w:spacing w:before="0" w:after="240"/>
        <w:ind w:left="1440" w:right="1440" w:hanging="0"/>
        <w:jc w:val="both"/>
        <w:rPr>
          <w:color w:val="000000"/>
        </w:rPr>
      </w:pPr>
      <w:r>
        <w:rPr>
          <w:color w:val="000000"/>
        </w:rPr>
        <w:t>“</w:t>
      </w:r>
      <w:r>
        <w:rPr>
          <w:rFonts w:ascii="Times New Roman" w:hAnsi="Times New Roman"/>
          <w:color w:val="000000"/>
          <w:sz w:val="24"/>
        </w:rPr>
        <w:t>The shares represented by this certificate are subject to a right of first refusal in favor of the Company, as provided in a certain stock option agreement with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Agreement in Connection with Initial Public Offering</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Tax Matters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Withholding</w:t>
      </w:r>
      <w:r>
        <w:rPr>
          <w:rFonts w:ascii="Times New Roman" w:hAnsi="Times New Roman"/>
          <w:color w:val="000000"/>
          <w:sz w:val="24"/>
        </w:rPr>
        <w:t>. No Shares will be issued pursuant to the exercise of this option unless and until the Participant pays to the Company, or makes provision satisfactory to the Company for payment of, any federal, state or local withholding and social security taxes required by law to be withheld in respect of this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Transfer Restrictions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(a) This option may not be sold, assigned, transferred, pledged or otherwise encumbered by the Participant, either voluntarily or by operation of law, except to the Participant’s personal representative on Participant’s death, and, during the lifetime of the Participant, this option shall be exercisable only by the Participant or the Participant’s personal representative after Participant’s death.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Option not a Service Contract</w:t>
      </w:r>
      <w:r>
        <w:rPr>
          <w:rFonts w:ascii="Times New Roman" w:hAnsi="Times New Roman"/>
          <w:color w:val="000000"/>
          <w:sz w:val="24"/>
        </w:rPr>
        <w:t>. By accepting the option, the Participant acknowledges, understands and agrees that: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(a) the Participant’s option is not an employment or service contract, and, if the Participant is an employee of the Company or an affiliate, nothing in the Participant’s option will be deemed to create in any way whatsoever any obligation on the Participant’s part to continue as an employee of the Company or an affiliate, or of the Company or an affiliate to continue Participant’s employment. In addition, nothing in the Participant’s option will obligate the Company or an affiliate, or their respective stockholders, boards of directors, officers or employees to continue any relationship that the Participant might have as a director or consultant for the Company or an affiliate;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(b) the Plan is established voluntarily by the Company, it is discretionary in nature, and may be amended, suspended or terminated by the Company at any time, to the extent permitted under the Plan;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(c) the grant of the Participant’s option is voluntary and occasional and does not create any contractual or other right to receive future grants of options (whether on the same or different terms), or benefits in lieu of options, even if options have been granted in the past;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(d) the Participant’s options and any shares of Common Stock acquired under the Plan on exercise of the Participant’s options, and the income and value of same, are not part of normal or expected compensation for any purpose, including, without limitation, calculating any severance, resignation, termination, vacation, redundancy, dismissal, end-of-service payments, bonuses, long-service awards, pension or retirement or welfare benefits or similar payments;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(e) the future value of the shares of Common Stock underlying the option is unknown, indeterminable, and cannot be predicted with certainty;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(f) neither the Company nor any affiliate shall be liable for any foreign exchange rate fluctuation between the Participant’s local currency and the United States Dollar that may affect the value of the Participant’s options or of any amounts due to Participant pursuant to the exercise of the Participant’s option or the subsequent sale of any shares of Common Stock received;</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(g) notwithstanding anything to the contrary in the Plan, for the purposes of the option, the Participant’s service will be considered terminated as of the date the Participant is no longer actively providing services to the Company or one of its affiliates (regardless of the reason for such termination and whether or not later found to be invalid or in breach of employment laws in the jurisdiction where the Participant is employed or is otherwise providing services, or the terms of the Participant’s employment or service agreement, if any), provided that, unless otherwise expressly provided in this Agreement or determined by the Company, the vesting of the Participant’s option will not continue during any notice period or any period of “garden leave” or similar period mandated under employment laws in the jurisdiction where the Participant is employed or where the Participant is otherwise providing services, or the terms of the Participant’s employment or service agreement, if any (regardless, in each case, of whether or not the Participant is providing services to the Company or one of its affiliates during such notice period, garden leave period, or similar period); and the Board shall have the exclusive discretion to determine when the Participant is no longer actively providing services for purposes of the option (including whether the Participant may still be considered to be providing services while on a leave of absence); and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(h) no claim or entitlement to compensation or damages shall arise from forfeiture of this option resulting from the termination of the Participant’s service (for any reason whatsoever, whether or not later found to be invalid or in breach of employment laws in the jurisdiction where the Participant is employed or is otherwise providing services, or the terms of the Participant’s employment or service agreement, if any), and in consideration of the grant of this option to which Participant is otherwise not entitled, the Participant irrevocably agrees never to institute any claim against the Company or any affiliate, waive the Participant’s ability, if any, to bring any such claim, and release the Company and any affiliate from any such claim; if, notwithstanding the foregoing, any such claim is allowed by a court of competent jurisdiction, then, by participating 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the Participant shall be deemed irrevocably to have agreed not to pursue such claim and agree to execute any and all documents necessary to request dismissal or withdrawal of such claim.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the Participant’s participation in the Plan, or the Participant’s acquisition or sale of the underlying shares of Common Stock. The Participant should consult with the Participant’s own personal tax, legal and financial advisors regarding the Participant’s participation in the Plan before taking any action.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Data Privacy</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(a) To the extent that the processing of the Participant’s personal data by the Company or its affiliates under and/or in connection with this Agreement falls within the territorial scope of (i) Regulation (EU) 2016/679 of the European Parliament and of the Council of 27th April 2016 (the “</w:t>
      </w:r>
      <w:r>
        <w:rPr>
          <w:rFonts w:ascii="Times New Roman" w:hAnsi="Times New Roman"/>
          <w:b/>
          <w:color w:val="000000"/>
          <w:sz w:val="24"/>
        </w:rPr>
        <w:t>EU GDPR</w:t>
      </w:r>
      <w:r>
        <w:rPr>
          <w:rFonts w:ascii="Times New Roman" w:hAnsi="Times New Roman"/>
          <w:color w:val="000000"/>
          <w:sz w:val="20"/>
        </w:rPr>
        <w:t>”</w:t>
      </w:r>
      <w:r>
        <w:rPr>
          <w:rFonts w:ascii="Times New Roman" w:hAnsi="Times New Roman"/>
          <w:color w:val="000000"/>
          <w:sz w:val="24"/>
        </w:rPr>
        <w:t>), (ii) the EU GDPR as it forms part of UK law by virtue of section 3 of the European Union (Withdrawal) Act 2018, as amended (the “</w:t>
      </w:r>
      <w:r>
        <w:rPr>
          <w:rFonts w:ascii="Times New Roman" w:hAnsi="Times New Roman"/>
          <w:b/>
          <w:color w:val="000000"/>
          <w:sz w:val="24"/>
        </w:rPr>
        <w:t>UK GDPR</w:t>
      </w:r>
      <w:r>
        <w:rPr>
          <w:rFonts w:ascii="Times New Roman" w:hAnsi="Times New Roman"/>
          <w:color w:val="000000"/>
          <w:sz w:val="20"/>
        </w:rPr>
        <w:t>”</w:t>
      </w:r>
      <w:r>
        <w:rPr>
          <w:rFonts w:ascii="Times New Roman" w:hAnsi="Times New Roman"/>
          <w:color w:val="000000"/>
          <w:sz w:val="24"/>
        </w:rPr>
        <w:t>), and/or (iii) equivalent legislation and/or legislation implementing and/or supplementing the EU GDPR or UK GDPR in any member state of the European Economic Area or the UK or Switzerland, Company and/or its affiliates will carry out such processing in accordance with their EEA/UK privacy notice from time to time in force, the latest version of which has been provided to the Participant.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(b) Except where (a) above applies, the Participant explicitly and unambiguously acknowledges and consents to the collection, use, transfer and other processing of the Participant’s personal data as described in this paragraph (b) by the Company and its affiliates for the purpose of implementing, administering and managing the Participant’s participation in the Plan. The Participant understands that the Company and its affiliates hold certain personal data about the Participant, including, but not limited to, the Participant’s name, home address, telephone number, date of birth, social security number (or other identification number), salary, nationality, job title, any shares of stock or directorships held by the Participant in the Company, details of all options or any other entitlement to shares of Common Stock awarded, cancelled, purchased, exercised, vested, unvested or outstanding in the Participant’s favor for the purpose of implementing, managing and administering the Plan. The Participant understands that this personal data may be transferred to any third parties assisting in the implementation, administration and management of the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Language</w:t>
      </w:r>
      <w:r>
        <w:rPr>
          <w:rFonts w:ascii="Times New Roman" w:hAnsi="Times New Roman"/>
          <w:color w:val="000000"/>
          <w:sz w:val="24"/>
        </w:rPr>
        <w:t>. The Participant acknowledges that the Participant is sufficiently proficient in the English language, or has consulted with an advisor who is sufficiently proficient in English, so as to allow the Participant to understand the terms and conditions of this Agreement. If the Participant has received this Agreement, or any other document related to the Participant’s option and/or the Plan translated into a language other than English and if the meaning of the translated version is different than the English version, the English version will control.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Foreign Asset/Account, Exchange Control and Tax Reporting</w:t>
      </w:r>
      <w:r>
        <w:rPr>
          <w:rFonts w:ascii="Times New Roman" w:hAnsi="Times New Roman"/>
          <w:color w:val="000000"/>
          <w:sz w:val="24"/>
        </w:rPr>
        <w:t>. The Participant may be subject to foreign asset/account, exchange control and/or tax reporting requirements as a result of the acquisition, holding and/or transfer of shares of Common Stock or cash (including dividends and the proceeds arising from the sale of shares of Common Stock) derived from the Participant’s participation in the Plan in, to and/or from a brokerage/bank account or legal entity located outside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Participant’s country of residence. The applicable laws in the Participant’s country of residence may require that the Participant reports such accounts, assets and balances therein, the value thereof and/or the transactions related thereto to the applicable authorities in such country. The Participant may also be required to repatriate sale proceeds or other funds received as a result of the Participant’s participation in the Plan to the Participant’s country of residence through a designated bank or broker within a certain time after receipt. The Participant acknowledges that it is the Participant’s responsibility to be compliant with such regulations and the Participant is encouraged to consult with the Participant’s personal legal advisor for any details.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Applicable Law</w:t>
      </w:r>
      <w:r>
        <w:rPr>
          <w:rFonts w:ascii="Times New Roman" w:hAnsi="Times New Roman"/>
          <w:color w:val="000000"/>
          <w:sz w:val="24"/>
        </w:rPr>
        <w:t>. In the event applicable laws prevent or hinder the consummation of the actions and transactions contemplated in this Agreement or the Plan, the Company may in its sole discretion agree to vary the terms of the Plan and/or this Agreement so that the Participant receives substantially the same economic result as contemplated herein, such as through a cashless sell to cover exercise (provided that at the time of exercise the shares of Common Stock are publicly traded or otherwise liquid), a cash bonus or phantom stock.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Appendix</w:t>
      </w:r>
      <w:r>
        <w:rPr>
          <w:rFonts w:ascii="Times New Roman" w:hAnsi="Times New Roman"/>
          <w:color w:val="000000"/>
          <w:sz w:val="24"/>
        </w:rPr>
        <w:t>. Notwithstanding any provisions in this Agreement, the Participant’s option shall be subject to the special terms and conditions for the Participant’s country of residence and/or work set forth in the Appendix attached to this Agreement which, where applicable, shall prevail in the event of conflict between such terms and conditions and the terms of this Agreement, Notice of Grant, and/or the Plan. Moreover, if the Participant relocates to one of the countries included therein, the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Choice of Law</w:t>
      </w:r>
      <w:r>
        <w:rPr>
          <w:rFonts w:ascii="Times New Roman" w:hAnsi="Times New Roman"/>
          <w:color w:val="000000"/>
          <w:sz w:val="24"/>
        </w:rPr>
        <w:t>. The provisions of the Plan relating to choice of law shall apply to this Agreement and the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Provisions of the Plan</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This option is subject to the provisions of the Plan (including the provisions relating to amendments to the Plan), a copy of which is attached hereto as Exhibit C.</w:t>
      </w:r>
    </w:p>
    <w:p>
      <w:pPr>
        <w:pStyle w:val="TextBody"/>
        <w:bidi w:val="0"/>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APPENDIX TO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Appendix includes special terms and conditions that govern the option granted to the Participant under the Plan if the Participant resides and/or works in one of the countries listed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information contained herein is general in nature and may not apply to the Participant’s particular situation, and the Participant is advised to seek appropriate professional advice as to how the relevant laws in the Participant’s country may apply to the Participant’s situation. If the Participant is a citizen or resident of a country other than the one in which the Participant is currently working and/or residing, transfer employment and/or residency to another country after the Grant Date, is a consultant, change employment status to a consultant position, or is considered a resident of another country for local law purposes, the Company shall, in its discretion, determine the extent to which the special terms and conditions contained herein shall be applicable to the Participant. References to the Participant’s employer shall include any entity that engages the Participant’s services.</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India</w:t>
      </w:r>
    </w:p>
    <w:p>
      <w:pPr>
        <w:pStyle w:val="TextBody"/>
        <w:bidi w:val="0"/>
        <w:spacing w:before="0" w:after="240"/>
        <w:jc w:val="both"/>
        <w:rPr>
          <w:rFonts w:ascii="Times New Roman" w:hAnsi="Times New Roman"/>
          <w:sz w:val="20"/>
        </w:rPr>
      </w:pPr>
      <w:r>
        <w:rPr>
          <w:rFonts w:ascii="Times New Roman" w:hAnsi="Times New Roman"/>
          <w:color w:val="000000"/>
          <w:sz w:val="24"/>
        </w:rPr>
        <w:t>The following provisions govern Participant’s participation in the Plan if Participant is a person resident in India. It is clarified that the Company reserves the right to apply any or all of the following provisions to individuals who are not Indian citizens/nationals, but considered as persons resident in India, to the extent it determines necessary or advisable under applicable Indian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Compliance with Law. </w:t>
      </w:r>
      <w:r>
        <w:rPr>
          <w:rFonts w:ascii="Times New Roman" w:hAnsi="Times New Roman"/>
          <w:color w:val="000000"/>
          <w:sz w:val="24"/>
        </w:rPr>
        <w:t>By accepting the option and accepting the terms of the Agreement, Participant acknowledges and agrees to comply with all applicable Indian laws and pay any and all applicable taxes associated with the option, the sale of shares of Common Stock acquired under the Plan, and the receipt of any dividends paid on such shares of Common Stock.</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Exercise Restriction. </w:t>
      </w:r>
      <w:r>
        <w:rPr>
          <w:rFonts w:ascii="Times New Roman" w:hAnsi="Times New Roman"/>
          <w:color w:val="000000"/>
          <w:sz w:val="24"/>
        </w:rPr>
        <w:t>The following supplements the Notice of Grant, the Agreement and the Plan.</w:t>
      </w:r>
    </w:p>
    <w:p>
      <w:pPr>
        <w:pStyle w:val="TextBody"/>
        <w:bidi w:val="0"/>
        <w:spacing w:before="0" w:after="240"/>
        <w:jc w:val="both"/>
        <w:rPr>
          <w:rFonts w:ascii="Times New Roman" w:hAnsi="Times New Roman"/>
          <w:sz w:val="20"/>
        </w:rPr>
      </w:pPr>
      <w:r>
        <w:rPr>
          <w:rFonts w:ascii="Times New Roman" w:hAnsi="Times New Roman"/>
          <w:color w:val="000000"/>
          <w:sz w:val="24"/>
        </w:rPr>
        <w:t>Participant must comply at the time of exercise with applicable laws and regulations of India, including but not limited to the Foreign Exchange Management Act, 1999 of India and the rules, regulations and amendments thereto, including the Foreign Exchange Management (Overseas Investment) Rules, 2022 and the Foreign Exchange Management (Overseas Investment) Regulations, 2022 (“</w:t>
      </w:r>
      <w:r>
        <w:rPr>
          <w:rFonts w:ascii="Times New Roman" w:hAnsi="Times New Roman"/>
          <w:b/>
          <w:color w:val="000000"/>
          <w:sz w:val="24"/>
        </w:rPr>
        <w:t>FEMA</w:t>
      </w:r>
      <w:r>
        <w:rPr>
          <w:rFonts w:ascii="Times New Roman" w:hAnsi="Times New Roman"/>
          <w:color w:val="000000"/>
          <w:sz w:val="20"/>
        </w:rPr>
        <w:t>”</w:t>
      </w:r>
      <w:r>
        <w:rPr>
          <w:rFonts w:ascii="Times New Roman" w:hAnsi="Times New Roman"/>
          <w:color w:val="000000"/>
          <w:sz w:val="24"/>
        </w:rPr>
        <w:t>). Any payment for the shares purchased on exercise, and any tax required to be withheld by law, will only be made by the payment methods prescribed under Section 5(f)(1) of the Plan in accordance with the Foreign Exchange Management (Overseas Investment) Rules, 2022 read with the Liberalised Remittance Scheme. Further, a cashless exercise method (whereby unless otherwise determined by the Company at the time of exercise, Participant must immediately sell all shares of Common Stock purchased on exercise in order to facilitate the required repatriation of proceeds in connection with shares of Common Stock issued on exercise of the option, with the required amount of the sale proceeds being delivered to the Company) can only be exercised if the acquisition of Common Stock by Participant falls under the Overseas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Portfolio Investment (“</w:t>
      </w:r>
      <w:r>
        <w:rPr>
          <w:rFonts w:ascii="Times New Roman" w:hAnsi="Times New Roman"/>
          <w:b/>
          <w:color w:val="000000"/>
          <w:sz w:val="24"/>
        </w:rPr>
        <w:t>OPI</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4"/>
        </w:rPr>
        <w:t>route in accordance with FEMA. The Company reserves the right to prescribe an alternative method of payment that Participant shall use (whether set out in the Agreement and/or the Plan or otherwise) and / or of settling the option other than by issuance of Common Stock depending on the development of local law. This paragraph applies notwithstanding any contrary provision in the Agreement or the Plan.</w:t>
      </w:r>
    </w:p>
    <w:p>
      <w:pPr>
        <w:pStyle w:val="TextBody"/>
        <w:bidi w:val="0"/>
        <w:jc w:val="both"/>
        <w:rPr>
          <w:rFonts w:ascii="Times New Roman" w:hAnsi="Times New Roman"/>
          <w:sz w:val="20"/>
        </w:rPr>
      </w:pPr>
      <w:r>
        <w:rPr>
          <w:rFonts w:ascii="Times New Roman" w:hAnsi="Times New Roman"/>
          <w:b/>
          <w:color w:val="000000"/>
          <w:sz w:val="24"/>
        </w:rPr>
        <w:t>Exchange Control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Participant acknowledges that at the time of exercise Participant’s acquisition of the Common Stock may be categorized as either OPI or Overseas Direct Investment (“</w:t>
      </w:r>
      <w:r>
        <w:rPr>
          <w:rFonts w:ascii="Times New Roman" w:hAnsi="Times New Roman"/>
          <w:b/>
          <w:color w:val="000000"/>
          <w:sz w:val="24"/>
        </w:rPr>
        <w:t>ODI</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24"/>
        </w:rPr>
        <w:t>in accordance with FEMA. In case the acquisition is classified as ODI, certain additional investment related restrictions as set out under FEMA may be applicable and further Participant would be required to submit the specified form (“</w:t>
      </w:r>
      <w:r>
        <w:rPr>
          <w:rFonts w:ascii="Times New Roman" w:hAnsi="Times New Roman"/>
          <w:b/>
          <w:color w:val="000000"/>
          <w:sz w:val="24"/>
        </w:rPr>
        <w:t>Form FC</w:t>
      </w:r>
      <w:r>
        <w:rPr>
          <w:rFonts w:ascii="Times New Roman" w:hAnsi="Times New Roman"/>
          <w:color w:val="000000"/>
          <w:sz w:val="20"/>
        </w:rPr>
        <w:t>”</w:t>
      </w:r>
      <w:r>
        <w:rPr>
          <w:rFonts w:ascii="Times New Roman" w:hAnsi="Times New Roman"/>
          <w:color w:val="000000"/>
          <w:sz w:val="24"/>
        </w:rPr>
        <w:t>) with Participant’s authorized dealer bank and provide the necessary details, documents, and declarations, including, if required, submitting to Participant’s authorized dealer bank, share certificates or any other relevant documents as an evidence of such investment in the foreign entity within six months from the date of effecting remittance.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On sale of the shares purchased under the Plan or the receipt of any dividends on the Common Stock, Participant acknowledges Participant’s obligation and agrees to obtain a foreign inward remittance certificate (“</w:t>
      </w:r>
      <w:r>
        <w:rPr>
          <w:rFonts w:ascii="Times New Roman" w:hAnsi="Times New Roman"/>
          <w:b/>
          <w:color w:val="000000"/>
          <w:sz w:val="24"/>
        </w:rPr>
        <w:t>FIRC</w:t>
      </w:r>
      <w:r>
        <w:rPr>
          <w:rFonts w:ascii="Times New Roman" w:hAnsi="Times New Roman"/>
          <w:color w:val="000000"/>
          <w:sz w:val="20"/>
        </w:rPr>
        <w:t>”</w:t>
      </w:r>
      <w:r>
        <w:rPr>
          <w:rFonts w:ascii="Times New Roman" w:hAnsi="Times New Roman"/>
          <w:color w:val="000000"/>
          <w:sz w:val="24"/>
        </w:rPr>
        <w:t>) from the bank in which Participant deposits the foreign currency and maintains the FIRC as evidence of the repatriation of funds in the event the Reserve Bank of India or the Company requests proof of repatriation. Further in case the acquisition of the Common Stock was under the ODI route, Participant would be required to (i) repatriate any proceeds from the sale of shares of Common Stock or the receipt of any dividends to India within 90 days of the date of sale or the date of the dividends falling due (as maybe applicable), and (ii) submit Form FC with Participant’s authorized dealer bank and provide the necessary details, documents, and declarations therein within the prescribed timeline. In case the acquisition of the Common Stock was under the OPI route, Participant would be required to repatriate any proceeds from the sale of shares of Common Stock or the receipt of any dividends to India within 180 days of the date of sale or the date of the dividends falling due (as maybe applicable), unless such proceeds are reinvested in compliance with FEMA.</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It is Participant’s responsibility to comply with all of these requirements. The Company will not be liable for any fines or penalties resulting from Participant’s failure to comply with any applicable laws.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Tax.</w:t>
      </w:r>
      <w:r>
        <w:rPr>
          <w:rFonts w:ascii="Times New Roman" w:hAnsi="Times New Roman"/>
          <w:color w:val="000000"/>
          <w:sz w:val="20"/>
        </w:rPr>
        <w:t xml:space="preserve"> </w:t>
      </w:r>
      <w:r>
        <w:rPr>
          <w:rFonts w:ascii="Times New Roman" w:hAnsi="Times New Roman"/>
          <w:color w:val="000000"/>
          <w:sz w:val="24"/>
        </w:rPr>
        <w:t>By accepting the terms of the Notice of Grant, the Agreement and the Plan, Participant acknowledges and agrees to comply with all applicable Indian laws and report any income and pay any and all applicable taxes, as required by Indian laws, associated with the shares of Common Stock, the sale of shares of Common Stock acquired under the Plan, and the receipt of any dividends paid on such shares of Common Stock. Participant will co-operate with the board of directors of the Company and any affiliate who is Participant’s employer, to ensure that the Company and such affiliate are at all times compliant with all applicable laws. Without prejudice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Acquisition of securities of up to 10 per cent. of the paid-up equity capital (without control) in a foreign listed entity will qualify as an OPI.</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Arial" w:hAnsi="Arial"/>
          <w:color w:val="000000"/>
          <w:sz w:val="20"/>
        </w:rPr>
        <w:t>Any: (i) acquisition of securities in an unlisted foreign entity; or (ii) an acquisition of securities of more than 10 per cent. or control in a listed foreign entity, will qualify as an ODI.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aforesaid, Participant will forthwith provide all necessary information upon request by such affiliate in order for the affiliate to make necessary filings with the regulatory authorities as required under applicable law. Where necessary and so directed by the affiliate, Participant will make such payments or deposit such amounts with the affiliate so as to enable the affiliate to comply with its tax obligations under applicable laws. Participant acknowledges and confirms that the entitlement to the shares of Common Stock is contingent upon Participant complying with Participant’s obligations herein, the Agreement and the Plan.</w:t>
      </w:r>
    </w:p>
    <w:p>
      <w:pPr>
        <w:pStyle w:val="TextBody"/>
        <w:bidi w:val="0"/>
        <w:spacing w:before="0" w:after="240"/>
        <w:jc w:val="both"/>
        <w:rPr>
          <w:rFonts w:ascii="Times New Roman" w:hAnsi="Times New Roman"/>
          <w:sz w:val="20"/>
        </w:rPr>
      </w:pPr>
      <w:r>
        <w:rPr>
          <w:rFonts w:ascii="Times New Roman" w:hAnsi="Times New Roman"/>
          <w:b/>
          <w:color w:val="000000"/>
          <w:sz w:val="24"/>
        </w:rPr>
        <w:t>Data Privacy.</w:t>
      </w:r>
      <w:r>
        <w:rPr>
          <w:rFonts w:ascii="Times New Roman" w:hAnsi="Times New Roman"/>
          <w:smallCaps/>
          <w:color w:val="000000"/>
          <w:sz w:val="20"/>
        </w:rPr>
        <w:t xml:space="preserve"> </w:t>
      </w:r>
      <w:r>
        <w:rPr>
          <w:rFonts w:ascii="Times New Roman" w:hAnsi="Times New Roman"/>
          <w:color w:val="000000"/>
          <w:sz w:val="24"/>
        </w:rPr>
        <w:t>Section 10(b) (Data Privacy) of the Agreement is deleted and replaced with the following:</w:t>
      </w:r>
      <w:r>
        <w:rPr>
          <w:rFonts w:ascii="Times New Roman" w:hAnsi="Times New Roman"/>
          <w:color w:val="000000"/>
          <w:sz w:val="20"/>
        </w:rPr>
        <w:t xml:space="preserve"> </w:t>
      </w:r>
    </w:p>
    <w:p>
      <w:pPr>
        <w:pStyle w:val="TextBody"/>
        <w:bidi w:val="0"/>
        <w:spacing w:before="0" w:after="240"/>
        <w:ind w:left="720" w:right="0" w:hanging="0"/>
        <w:jc w:val="both"/>
        <w:rPr/>
      </w:pPr>
      <w:r>
        <w:rPr>
          <w:color w:val="000000"/>
        </w:rPr>
        <w:t>“</w:t>
      </w:r>
      <w:r>
        <w:rPr>
          <w:rFonts w:ascii="Times New Roman" w:hAnsi="Times New Roman"/>
          <w:color w:val="000000"/>
          <w:sz w:val="24"/>
        </w:rPr>
        <w:t>10(b). Participant explicitly and unambiguously consents to the collection, use, disclosure and transfer, in electronic or other form, of Participant’s personal information (as such term is defined in the Information Technology Act, 2000 read with the Information Technology (Reasonable Security Practices and Procedures and Sensitive Personal Data or Information) Rules, 2011) as described in this document by and among, as applicable, Participant’s employer, the Company and its affiliates for the exclusive purpose of implementing, administering and managing Participant’s participation in the Plan. Participant understands that the Company, its affiliates and Participant’s employer hold certain personal information about Participant, including, but not limited to, name, home address and telephone number, date of birth, social security number (or other identification number), salary, nationality, job title, any shares of stock or directorships held in the Company and/or any affiliate, details of all options or any other entitlement to shares of stock awarded, canceled, purchased, exercised, vested, unvested or outstanding in Participant’s favor for the purpose of implementing, managing and administering the Plan (“</w:t>
      </w:r>
      <w:r>
        <w:rPr>
          <w:rFonts w:ascii="Times New Roman" w:hAnsi="Times New Roman"/>
          <w:b/>
          <w:i/>
          <w:color w:val="000000"/>
          <w:sz w:val="24"/>
        </w:rPr>
        <w:t>Data</w:t>
      </w:r>
      <w:r>
        <w:rPr>
          <w:rFonts w:ascii="Times New Roman" w:hAnsi="Times New Roman"/>
          <w:color w:val="000000"/>
          <w:sz w:val="20"/>
        </w:rPr>
        <w:t>”</w:t>
      </w:r>
      <w:r>
        <w:rPr>
          <w:rFonts w:ascii="Times New Roman" w:hAnsi="Times New Roman"/>
          <w:color w:val="000000"/>
          <w:sz w:val="24"/>
        </w:rPr>
        <w:t>). Participant understands and consents that the Data may be transferred to any third parties assisting in the implementation, administration and management of the Plan, that these recipients may be located in Participant’s country or elsewhere, and that the recipient country may have different data privacy laws providing less protections of Participant’s personal data than Participant’s country. Participant may request a list with the names and addresses of any potential recipients of the Data by contacting the Company. Participant authorizes the recipients to receive, possess, process, use, retain and transfer the Data, in electronic or other form, for the purposes of implementing, administering and managing Participant’s participation in the Plan, including any requisite transfer of such Data, as may be required to a broker or other third party with whom Participant may elect to deposit any shares of Common Stock acquired upon the vesting of the options. Participant understands that Data will be held only as long as is necessary to implement, administer and manage Participant’s participation in the Plan. Participant may, at any time, view the Data, request additional information about the storage and processing of the Data, require any necessary amendments to the Data or refuse or withdraw the consents herein, in any case without cost, by contacting the Company in writing. Participant understands that refusing or withdrawing consent may affect Participant’s ability to participate in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General</w:t>
      </w:r>
      <w:r>
        <w:rPr>
          <w:rFonts w:ascii="Times New Roman" w:hAnsi="Times New Roman"/>
          <w:color w:val="000000"/>
          <w:sz w:val="24"/>
        </w:rPr>
        <w:t>. Further, the Plan and the corresponding documents have neither been delivered for registration nor are they intended to be registered with any regulatory authorities in India. These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documents are not intended for distribution and are meant solely for the consideration of the person to whom they are addressed and should not be reproduced by Participant.</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United Kingdom</w:t>
      </w:r>
    </w:p>
    <w:p>
      <w:pPr>
        <w:pStyle w:val="TextBody"/>
        <w:bidi w:val="0"/>
        <w:spacing w:before="0" w:after="240"/>
        <w:jc w:val="both"/>
        <w:rPr>
          <w:rFonts w:ascii="Times New Roman" w:hAnsi="Times New Roman"/>
          <w:sz w:val="20"/>
        </w:rPr>
      </w:pPr>
      <w:r>
        <w:rPr>
          <w:rFonts w:ascii="Times New Roman" w:hAnsi="Times New Roman"/>
          <w:b/>
          <w:color w:val="000000"/>
          <w:sz w:val="24"/>
        </w:rPr>
        <w:t>Option not a Service Contract</w:t>
      </w:r>
      <w:r>
        <w:rPr>
          <w:rFonts w:ascii="Times New Roman" w:hAnsi="Times New Roman"/>
          <w:color w:val="000000"/>
          <w:sz w:val="24"/>
        </w:rPr>
        <w:t>. The following supplements Section 8 of the Agreement:</w:t>
      </w:r>
    </w:p>
    <w:p>
      <w:pPr>
        <w:pStyle w:val="TextBody"/>
        <w:bidi w:val="0"/>
        <w:spacing w:before="0" w:after="240"/>
        <w:ind w:left="720" w:right="0" w:hanging="0"/>
        <w:jc w:val="both"/>
        <w:rPr>
          <w:color w:val="000000"/>
        </w:rPr>
      </w:pPr>
      <w:r>
        <w:rPr>
          <w:color w:val="000000"/>
        </w:rPr>
        <w:t>“</w:t>
      </w:r>
      <w:r>
        <w:rPr>
          <w:rFonts w:ascii="Times New Roman" w:hAnsi="Times New Roman"/>
          <w:color w:val="000000"/>
          <w:sz w:val="24"/>
        </w:rPr>
        <w:t>the Participant waives all rights to compensation or damages in consequence of the termination of the Participant’s office or employment with the Company or any affiliate for any reason whatsoever (whether lawful or unlawful and including, without prejudice to the foregoing, in circumstances giving rise to a claim for wrongful dismissal) in so far as those rights arise or may arise from the Participant ceasing to hold or being able to vest the Participant’s option, or from the loss or diminution in value of any rights or entitlements in connection with the Plan.”</w:t>
      </w:r>
    </w:p>
    <w:p>
      <w:pPr>
        <w:pStyle w:val="TextBody"/>
        <w:bidi w:val="0"/>
        <w:spacing w:before="0" w:after="240"/>
        <w:jc w:val="both"/>
        <w:rPr>
          <w:rFonts w:ascii="Times New Roman" w:hAnsi="Times New Roman"/>
          <w:sz w:val="20"/>
        </w:rPr>
      </w:pPr>
      <w:r>
        <w:rPr>
          <w:rFonts w:ascii="Times New Roman" w:hAnsi="Times New Roman"/>
          <w:b/>
          <w:color w:val="000000"/>
          <w:sz w:val="24"/>
        </w:rPr>
        <w:t>Withholding Obligations</w:t>
      </w:r>
      <w:r>
        <w:rPr>
          <w:rFonts w:ascii="Times New Roman" w:hAnsi="Times New Roman"/>
          <w:color w:val="000000"/>
          <w:sz w:val="24"/>
        </w:rPr>
        <w:t>. The following supplements Section 6(a) of the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(b) As a condition of the vesting of the Participant’s option, the Participant unconditionally and irrevocably agrees: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(i) to place the Company in funds and indemnify the Company in respect of (1) all liability to UK income tax which the Company is liable to account for on the Participant’s behalf directly to HM Revenue &amp; Customs; (2) all liability to national insurance contributions which the Company is liable to account for on the Participant’s behalf to HM Revenue &amp; Customs (including, to the extent permitted by law, secondary class 1 (employer’s) national insurance contributions for which the Participant is liable and hereby agree to bear); and (3) all liability to national insurance contributions for which the Company is liable and which is formally transferred to the Participant, which arises as a consequence of or in connection with the exercise of the Participant’s option (the “</w:t>
      </w:r>
      <w:r>
        <w:rPr>
          <w:rFonts w:ascii="Times New Roman" w:hAnsi="Times New Roman"/>
          <w:b/>
          <w:i/>
          <w:color w:val="000000"/>
          <w:sz w:val="24"/>
        </w:rPr>
        <w:t>UK Tax Liability</w:t>
      </w:r>
      <w:r>
        <w:rPr>
          <w:rFonts w:ascii="Times New Roman" w:hAnsi="Times New Roman"/>
          <w:color w:val="000000"/>
          <w:sz w:val="20"/>
        </w:rPr>
        <w:t>”</w:t>
      </w:r>
      <w:r>
        <w:rPr>
          <w:rFonts w:ascii="Times New Roman" w:hAnsi="Times New Roman"/>
          <w:color w:val="000000"/>
          <w:sz w:val="24"/>
        </w:rPr>
        <w:t>); or</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(ii) to permit the Company to sell at the best price which it can reasonably obtain such number of shares of Common Stock allocated or allotted to the Participant following exercise as will provide the Company with an amount equal to the UK Tax Liability; and to permit the Company to withhold an amount not exceeding the UK Tax Liability from any payment made to the Participant (including, but not limited to salary);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(iii) if so required by the Company, and, to the extent permitted by law, to enter into a joint election or other arrangements under which the liability for all or part of such employer’s national insurance contributions liability is transferred to the Participant; and</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4"/>
        </w:rPr>
        <w:t>(iv) if so required by the Company, to enter into a joint election within Section 431 of (UK) Income Tax (Earnings and Pensions) Act 2003 (“</w:t>
      </w:r>
      <w:r>
        <w:rPr>
          <w:rFonts w:ascii="Times New Roman" w:hAnsi="Times New Roman"/>
          <w:b/>
          <w:i/>
          <w:color w:val="000000"/>
          <w:sz w:val="24"/>
        </w:rPr>
        <w:t>ITEPA</w:t>
      </w:r>
      <w:r>
        <w:rPr>
          <w:rFonts w:ascii="Times New Roman" w:hAnsi="Times New Roman"/>
          <w:color w:val="000000"/>
          <w:sz w:val="20"/>
        </w:rPr>
        <w:t>”</w:t>
      </w:r>
      <w:r>
        <w:rPr>
          <w:rFonts w:ascii="Times New Roman" w:hAnsi="Times New Roman"/>
          <w:color w:val="000000"/>
          <w:sz w:val="24"/>
        </w:rPr>
        <w:t>) in respect of computing any tax charge on the acquisition of “restricted securities” (as defined in Section 423 and 424 of ITEPA); and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(v) to sign, promptly, all documents required by the Company to effect the terms of this provision, and references in this provision to “the Company” shall, if applicable, be construed as also referring to any affiliate (or the Participant’s employer, if different).</w:t>
      </w:r>
    </w:p>
    <w:p>
      <w:pPr>
        <w:pStyle w:val="TextBody"/>
        <w:bidi w:val="0"/>
        <w:spacing w:before="0" w:after="240"/>
        <w:ind w:left="720" w:right="0" w:firstLine="72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Notice of Stock Option Exercise – Non-U.S.</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16"/>
        </w:rPr>
        <w:t>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Faeth Therapeutics, Inc.</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Attention: Treasurer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Sir or Madam:</w:t>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I am the holder of a Nonstatutory Stock Option granted to me under the Faeth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2019 Stock Incentive Plan on [________]</w:t>
      </w: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24"/>
        </w:rPr>
        <w:t>for the purchase of [________]</w:t>
      </w:r>
      <w:r>
        <w:rPr>
          <w:rFonts w:ascii="Times New Roman" w:hAnsi="Times New Roman"/>
          <w:color w:val="000000"/>
          <w:sz w:val="16"/>
        </w:rPr>
        <w:t>3</w:t>
      </w:r>
      <w:r>
        <w:rPr>
          <w:rFonts w:ascii="Times New Roman" w:hAnsi="Times New Roman"/>
          <w:color w:val="000000"/>
          <w:sz w:val="20"/>
        </w:rPr>
        <w:t xml:space="preserve"> </w:t>
      </w:r>
      <w:r>
        <w:rPr>
          <w:rFonts w:ascii="Times New Roman" w:hAnsi="Times New Roman"/>
          <w:color w:val="000000"/>
          <w:sz w:val="24"/>
        </w:rPr>
        <w:t>shares of Common Stock of the Company at a purchase price of US$[________]</w:t>
      </w:r>
      <w:r>
        <w:rPr>
          <w:rFonts w:ascii="Times New Roman" w:hAnsi="Times New Roman"/>
          <w:color w:val="000000"/>
          <w:sz w:val="16"/>
        </w:rPr>
        <w:t>4</w:t>
      </w:r>
      <w:r>
        <w:rPr>
          <w:rFonts w:ascii="Times New Roman" w:hAnsi="Times New Roman"/>
          <w:color w:val="000000"/>
          <w:sz w:val="20"/>
        </w:rPr>
        <w:t xml:space="preserve"> </w:t>
      </w:r>
      <w:r>
        <w:rPr>
          <w:rFonts w:ascii="Times New Roman" w:hAnsi="Times New Roman"/>
          <w:color w:val="000000"/>
          <w:sz w:val="24"/>
        </w:rPr>
        <w:t>per share.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I hereby exercise my option to purchase [________]</w:t>
      </w:r>
      <w:r>
        <w:rPr>
          <w:rFonts w:ascii="Times New Roman" w:hAnsi="Times New Roman"/>
          <w:color w:val="000000"/>
          <w:sz w:val="16"/>
        </w:rPr>
        <w:t>5</w:t>
      </w:r>
      <w:r>
        <w:rPr>
          <w:rFonts w:ascii="Times New Roman" w:hAnsi="Times New Roman"/>
          <w:color w:val="000000"/>
          <w:sz w:val="20"/>
        </w:rPr>
        <w:t xml:space="preserve"> </w:t>
      </w:r>
      <w:r>
        <w:rPr>
          <w:rFonts w:ascii="Times New Roman" w:hAnsi="Times New Roman"/>
          <w:color w:val="000000"/>
          <w:sz w:val="24"/>
        </w:rPr>
        <w:t>shares of Common Stock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for which I have enclosed [________]</w:t>
      </w:r>
      <w:r>
        <w:rPr>
          <w:rFonts w:ascii="Times New Roman" w:hAnsi="Times New Roman"/>
          <w:color w:val="000000"/>
          <w:sz w:val="16"/>
        </w:rPr>
        <w:t>6</w:t>
      </w:r>
      <w:r>
        <w:rPr>
          <w:rFonts w:ascii="Times New Roman" w:hAnsi="Times New Roman"/>
          <w:color w:val="000000"/>
          <w:sz w:val="20"/>
        </w:rPr>
        <w:t xml:space="preserve"> </w:t>
      </w:r>
      <w:r>
        <w:rPr>
          <w:rFonts w:ascii="Times New Roman" w:hAnsi="Times New Roman"/>
          <w:color w:val="000000"/>
          <w:sz w:val="24"/>
        </w:rPr>
        <w:t>in the amount of [________]</w:t>
      </w:r>
      <w:r>
        <w:rPr>
          <w:rFonts w:ascii="Times New Roman" w:hAnsi="Times New Roman"/>
          <w:color w:val="000000"/>
          <w:sz w:val="16"/>
        </w:rPr>
        <w:t>7</w:t>
      </w:r>
      <w:r>
        <w:rPr>
          <w:rFonts w:ascii="Times New Roman" w:hAnsi="Times New Roman"/>
          <w:color w:val="000000"/>
          <w:sz w:val="24"/>
        </w:rPr>
        <w:t>. Please register my stock certificate as follows:</w:t>
      </w:r>
    </w:p>
    <w:tbl>
      <w:tblPr>
        <w:tblW w:w="1232" w:type="dxa"/>
        <w:jc w:val="left"/>
        <w:tblInd w:w="0" w:type="dxa"/>
        <w:tblLayout w:type="fixed"/>
        <w:tblCellMar>
          <w:top w:w="28" w:type="dxa"/>
          <w:left w:w="28" w:type="dxa"/>
          <w:bottom w:w="28" w:type="dxa"/>
          <w:right w:w="28" w:type="dxa"/>
        </w:tblCellMar>
      </w:tblPr>
      <w:tblGrid>
        <w:gridCol w:w="991"/>
        <w:gridCol w:w="241"/>
      </w:tblGrid>
      <w:tr>
        <w:trPr/>
        <w:tc>
          <w:tcPr>
            <w:tcW w:w="9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Name(s):</w:t>
            </w:r>
          </w:p>
        </w:tc>
        <w:tc>
          <w:tcPr>
            <w:tcW w:w="24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16"/>
                <w:u w:val="single"/>
              </w:rPr>
            </w:pPr>
            <w:r>
              <w:rPr>
                <w:rFonts w:ascii="Times New Roman" w:hAnsi="Times New Roman"/>
                <w:color w:val="000000"/>
                <w:sz w:val="16"/>
                <w:u w:val="single"/>
              </w:rPr>
              <w:t>8</w:t>
            </w:r>
          </w:p>
          <w:p>
            <w:pPr>
              <w:pStyle w:val="TableContents"/>
              <w:bidi w:val="0"/>
              <w:spacing w:before="0" w:after="160"/>
              <w:jc w:val="left"/>
              <w:rPr/>
            </w:pPr>
            <w:r>
              <w:rPr/>
              <w:t> </w:t>
            </w:r>
          </w:p>
        </w:tc>
      </w:tr>
      <w:tr>
        <w:trPr/>
        <w:tc>
          <w:tcPr>
            <w:tcW w:w="99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Address:</w:t>
            </w:r>
          </w:p>
        </w:tc>
        <w:tc>
          <w:tcPr>
            <w:tcW w:w="241" w:type="dxa"/>
            <w:tcBorders/>
            <w:tcMar>
              <w:top w:w="0" w:type="dxa"/>
              <w:left w:w="0" w:type="dxa"/>
              <w:bottom w:w="0" w:type="dxa"/>
              <w:right w:w="0" w:type="dxa"/>
            </w:tcMar>
            <w:vAlign w:val="center"/>
          </w:tcPr>
          <w:p>
            <w:pPr>
              <w:pStyle w:val="TableContents"/>
              <w:bidi w:val="0"/>
              <w:spacing w:before="0" w:after="16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Enter date of exercise.</w:t>
      </w:r>
    </w:p>
    <w:p>
      <w:pPr>
        <w:pStyle w:val="TextBody"/>
        <w:bidi w:val="0"/>
        <w:spacing w:before="0" w:after="12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Arial" w:hAnsi="Arial"/>
          <w:color w:val="000000"/>
          <w:sz w:val="20"/>
        </w:rPr>
        <w:t>Enter the date of grant.</w:t>
      </w:r>
    </w:p>
    <w:p>
      <w:pPr>
        <w:pStyle w:val="TextBody"/>
        <w:bidi w:val="0"/>
        <w:spacing w:before="0" w:after="120"/>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Arial" w:hAnsi="Arial"/>
          <w:color w:val="000000"/>
          <w:sz w:val="20"/>
        </w:rPr>
        <w:t>Enter the total number of shares of Common Stock for which the option was granted.</w:t>
      </w:r>
    </w:p>
    <w:p>
      <w:pPr>
        <w:pStyle w:val="TextBody"/>
        <w:bidi w:val="0"/>
        <w:spacing w:before="0" w:after="120"/>
        <w:jc w:val="both"/>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w:t>
      </w:r>
      <w:r>
        <w:rPr>
          <w:rFonts w:ascii="Arial" w:hAnsi="Arial"/>
          <w:color w:val="000000"/>
          <w:sz w:val="20"/>
        </w:rPr>
        <w:t>Enter the option exercise price per share of Common Stock.</w:t>
      </w:r>
    </w:p>
    <w:p>
      <w:pPr>
        <w:pStyle w:val="TextBody"/>
        <w:bidi w:val="0"/>
        <w:spacing w:before="0" w:after="120"/>
        <w:jc w:val="both"/>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w:t>
      </w:r>
      <w:r>
        <w:rPr>
          <w:rFonts w:ascii="Arial" w:hAnsi="Arial"/>
          <w:color w:val="000000"/>
          <w:sz w:val="20"/>
        </w:rPr>
        <w:t>Enter the number of shares of Common Stock to be purchased upon exercise of all or part of the option.</w:t>
      </w:r>
    </w:p>
    <w:p>
      <w:pPr>
        <w:pStyle w:val="TextBody"/>
        <w:bidi w:val="0"/>
        <w:spacing w:before="0" w:after="120"/>
        <w:jc w:val="both"/>
        <w:rPr>
          <w:rFonts w:ascii="Times New Roman" w:hAnsi="Times New Roman"/>
          <w:sz w:val="20"/>
        </w:rPr>
      </w:pPr>
      <w:r>
        <w:rPr>
          <w:rFonts w:ascii="Times New Roman" w:hAnsi="Times New Roman"/>
          <w:color w:val="000000"/>
          <w:sz w:val="13"/>
        </w:rPr>
        <w:t>6</w:t>
      </w:r>
      <w:r>
        <w:rPr>
          <w:rFonts w:ascii="Times New Roman" w:hAnsi="Times New Roman"/>
          <w:color w:val="000000"/>
          <w:sz w:val="20"/>
        </w:rPr>
        <w:t xml:space="preserve"> </w:t>
      </w:r>
      <w:r>
        <w:rPr>
          <w:rFonts w:ascii="Arial" w:hAnsi="Arial"/>
          <w:color w:val="000000"/>
          <w:sz w:val="20"/>
        </w:rPr>
        <w:t>Enter “cash”, “personal check” or if permitted by the option or Plan, “stock certificates No. XXXX and XXXX”.</w:t>
      </w:r>
    </w:p>
    <w:p>
      <w:pPr>
        <w:pStyle w:val="TextBody"/>
        <w:bidi w:val="0"/>
        <w:spacing w:before="0" w:after="120"/>
        <w:jc w:val="left"/>
        <w:rPr>
          <w:rFonts w:ascii="Times New Roman" w:hAnsi="Times New Roman"/>
          <w:sz w:val="20"/>
        </w:rPr>
      </w:pPr>
      <w:r>
        <w:rPr>
          <w:rFonts w:ascii="Times New Roman" w:hAnsi="Times New Roman"/>
          <w:color w:val="000000"/>
          <w:sz w:val="13"/>
        </w:rPr>
        <w:t>7</w:t>
      </w:r>
      <w:r>
        <w:rPr>
          <w:rFonts w:ascii="Times New Roman" w:hAnsi="Times New Roman"/>
          <w:color w:val="000000"/>
          <w:sz w:val="20"/>
        </w:rPr>
        <w:t xml:space="preserve"> </w:t>
      </w:r>
      <w:r>
        <w:rPr>
          <w:rFonts w:ascii="Arial" w:hAnsi="Arial"/>
          <w:color w:val="000000"/>
          <w:sz w:val="20"/>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pStyle w:val="TextBody"/>
        <w:bidi w:val="0"/>
        <w:spacing w:before="0" w:after="120"/>
        <w:jc w:val="left"/>
        <w:rPr>
          <w:rFonts w:ascii="Times New Roman" w:hAnsi="Times New Roman"/>
          <w:sz w:val="20"/>
        </w:rPr>
      </w:pPr>
      <w:r>
        <w:rPr>
          <w:rFonts w:ascii="Times New Roman" w:hAnsi="Times New Roman"/>
          <w:color w:val="000000"/>
          <w:sz w:val="13"/>
        </w:rPr>
        <w:t>8</w:t>
      </w:r>
      <w:r>
        <w:rPr>
          <w:rFonts w:ascii="Times New Roman" w:hAnsi="Times New Roman"/>
          <w:color w:val="000000"/>
          <w:sz w:val="20"/>
        </w:rPr>
        <w:t xml:space="preserve"> </w:t>
      </w:r>
      <w:r>
        <w:rPr>
          <w:rFonts w:ascii="Arial" w:hAnsi="Arial"/>
          <w:color w:val="000000"/>
          <w:sz w:val="20"/>
        </w:rPr>
        <w:t>Enter name(s) to appear on stock certificate in one of the following formats: (a) your name only (i.e., John Doe); (b) your name and other name (i.e., John Doe and Jane Doe, Joint Tenants with Right to Survivorship); or for Nonstatutory Stock Options only, (c) a child’s name, with you as custodian (i.e. Jane Doe, Custodian for Tommy Doe). Note: There may be income and/or gift tax consequences for registering shares in a child’s name.</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160"/>
              <w:jc w:val="left"/>
              <w:rPr/>
            </w:pPr>
            <w:r>
              <w:rPr/>
              <w:t> </w:t>
            </w:r>
          </w:p>
        </w:tc>
      </w:tr>
    </w:tbl>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 represent, warrant and covenant as follows:</w:t>
      </w:r>
    </w:p>
    <w:p>
      <w:pPr>
        <w:pStyle w:val="TextBody"/>
        <w:bidi w:val="0"/>
        <w:spacing w:before="0" w:after="240"/>
        <w:jc w:val="both"/>
        <w:rPr>
          <w:rFonts w:ascii="Times New Roman" w:hAnsi="Times New Roman"/>
          <w:sz w:val="20"/>
        </w:rPr>
      </w:pPr>
      <w:r>
        <w:rPr>
          <w:rFonts w:ascii="Times New Roman" w:hAnsi="Times New Roman"/>
          <w:color w:val="000000"/>
          <w:sz w:val="24"/>
        </w:rPr>
        <w:t>1. I am purchasing the Shares for my own account for investment only, and not with a view to, or for sale in connection with, any distribution of the Shares in violation of the Securities Act of 1933 (the “</w:t>
      </w:r>
      <w:r>
        <w:rPr>
          <w:rFonts w:ascii="Times New Roman" w:hAnsi="Times New Roman"/>
          <w:b/>
          <w:color w:val="000000"/>
          <w:sz w:val="24"/>
        </w:rPr>
        <w:t>Securities Act</w:t>
      </w:r>
      <w:r>
        <w:rPr>
          <w:rFonts w:ascii="Times New Roman" w:hAnsi="Times New Roman"/>
          <w:color w:val="000000"/>
          <w:sz w:val="20"/>
        </w:rPr>
        <w:t>”</w:t>
      </w:r>
      <w:r>
        <w:rPr>
          <w:rFonts w:ascii="Times New Roman" w:hAnsi="Times New Roman"/>
          <w:color w:val="000000"/>
          <w:sz w:val="24"/>
        </w:rPr>
        <w:t>), or any rule or regulation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I have had such opportunity as I have deemed adequate to obtain from representatives of the Company such information as is necessary to permit me to evaluate the merits and risks of my investment in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I have sufficient experience in business, financial and investment matters to be able to evaluate the risks involved in the purchase of the Shares and to make an informed investment decision with respect to such purchase.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I can afford a complete loss of the value of the Shares and am able to bear the economic risk of holding such Shares for an indefinite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six months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[By the execution and delivery of this Notice of Stock Option Exercise, I shall be, and hereby agree to be, bound by the (i) [Amended and Restated] Voting Agreement, dated [__________], by and among the Company and the other signatories thereto (the “</w:t>
      </w:r>
      <w:r>
        <w:rPr>
          <w:rFonts w:ascii="Times New Roman" w:hAnsi="Times New Roman"/>
          <w:b/>
          <w:color w:val="000000"/>
          <w:sz w:val="24"/>
        </w:rPr>
        <w:t>Voting Agreement</w:t>
      </w:r>
      <w:r>
        <w:rPr>
          <w:rFonts w:ascii="Times New Roman" w:hAnsi="Times New Roman"/>
          <w:color w:val="000000"/>
          <w:sz w:val="20"/>
        </w:rPr>
        <w:t>”</w:t>
      </w:r>
      <w:r>
        <w:rPr>
          <w:rFonts w:ascii="Times New Roman" w:hAnsi="Times New Roman"/>
          <w:color w:val="000000"/>
          <w:sz w:val="24"/>
        </w:rPr>
        <w:t>), as a [“Key Holder” and “Stockholder”] (each as defined in the Voting Agreement) for all purposes under the Voting Agreement and (ii) [Amended and Restated] Right of First Refusal and Co-Sale Agreement, dated [__________], by and among the Company and the other signatories thereto (the “</w:t>
      </w:r>
      <w:r>
        <w:rPr>
          <w:rFonts w:ascii="Times New Roman" w:hAnsi="Times New Roman"/>
          <w:b/>
          <w:color w:val="000000"/>
          <w:sz w:val="24"/>
        </w:rPr>
        <w:t>ROFR and Co-Sale Agreement</w:t>
      </w:r>
      <w:r>
        <w:rPr>
          <w:rFonts w:ascii="Times New Roman" w:hAnsi="Times New Roman"/>
          <w:color w:val="000000"/>
          <w:sz w:val="20"/>
        </w:rPr>
        <w:t>”</w:t>
      </w:r>
      <w:r>
        <w:rPr>
          <w:rFonts w:ascii="Times New Roman" w:hAnsi="Times New Roman"/>
          <w:color w:val="000000"/>
          <w:sz w:val="24"/>
        </w:rPr>
        <w:t>), as a [“Key Holder”] (as defined in the ROFR and Co- Sale Agreement) for all purposes under the ROFR and Co-Sale Agreement. In addition to the foregoing, I shall execute and deliver to the Company (i) an [Adoption Agreement] in the form attached to the Voting Agreement, thereby agreeing to be bound by and subject to the terms of the Voting Agreement as a [“Key Holder” and “Stockholder”] (each as defined in the Voting Agreement) and (ii) a [counterpart signature page] to the ROFR and Co-Sale Agreement, thereby agreeing to be bound by and subject to the terms of the ROFR and Co-Sale Agreement as a [“Key Holder”] (as defined in the ROFR and Co-Sale Agreement). I acknowledge and agree that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 have received a copy of the Voting Agreement and the Right of First Refusal and Co-Sale Agreement.]</w:t>
      </w:r>
      <w:r>
        <w:rPr>
          <w:rFonts w:ascii="Times New Roman" w:hAnsi="Times New Roman"/>
          <w:color w:val="000000"/>
          <w:sz w:val="16"/>
        </w:rPr>
        <w:t>1</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Very truly yours,</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This provision should be included if the Company is party to a Voting Agreement and/or Right of First Refusal and Co-Sale Agreement and pursuant to the terms of such Voting Agreement and/or Right of First Refusal and Co- Sale Agreement, the Participant is required to be a party to, and be bound by, the Voting Agreement and/or Right of First Refusal and Co-Sale Agreement. The defined terms in this section should be revised to correspond to the defined terms in the Voting Agreement or Right of First Refusal and Co-Sale Agreement (as applicable). In addition, the Participant should receive a copy of the Voting Agreement and/or Right of First Refusal and Co-Sale Agreement and also execute and deliver the Adoption Agreement (or similar agreement) pursuant to the terms of the Voting Agreement and a counterpart signature page to the Right of First Refusal and Co-Sale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Faeth Therapeutics, Inc. 2019 Stock Incentive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Joint Election under s431 ITEPA 2003 for full or partial disapplication of Chapter 2 Income Tax</w:t>
      </w:r>
    </w:p>
    <w:p>
      <w:pPr>
        <w:pStyle w:val="TextBody"/>
        <w:bidi w:val="0"/>
        <w:spacing w:before="0" w:after="240"/>
        <w:jc w:val="center"/>
        <w:rPr>
          <w:rFonts w:ascii="Times New Roman" w:hAnsi="Times New Roman"/>
          <w:sz w:val="20"/>
        </w:rPr>
      </w:pPr>
      <w:r>
        <w:rPr>
          <w:rFonts w:ascii="Times New Roman" w:hAnsi="Times New Roman"/>
          <w:b/>
          <w:color w:val="000000"/>
          <w:sz w:val="22"/>
        </w:rPr>
        <w:t>(Earnings and Pensions) Act 2003</w:t>
      </w:r>
      <w:r>
        <w:rPr>
          <w:rFonts w:ascii="Times New Roman" w:hAnsi="Times New Roman"/>
          <w:b/>
          <w:color w:val="000000"/>
          <w:sz w:val="15"/>
        </w:rPr>
        <w:t>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One Part Election</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1. Between</w:t>
      </w:r>
    </w:p>
    <w:tbl>
      <w:tblPr>
        <w:tblW w:w="5672" w:type="dxa"/>
        <w:jc w:val="left"/>
        <w:tblInd w:w="0" w:type="dxa"/>
        <w:tblLayout w:type="fixed"/>
        <w:tblCellMar>
          <w:top w:w="28" w:type="dxa"/>
          <w:left w:w="28" w:type="dxa"/>
          <w:bottom w:w="28" w:type="dxa"/>
          <w:right w:w="28" w:type="dxa"/>
        </w:tblCellMar>
      </w:tblPr>
      <w:tblGrid>
        <w:gridCol w:w="4741"/>
        <w:gridCol w:w="931"/>
      </w:tblGrid>
      <w:tr>
        <w:trPr/>
        <w:tc>
          <w:tcPr>
            <w:tcW w:w="47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7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the Employee</w:t>
            </w:r>
          </w:p>
        </w:tc>
        <w:tc>
          <w:tcPr>
            <w:tcW w:w="9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i/>
                <w:color w:val="000000"/>
                <w:sz w:val="22"/>
              </w:rPr>
            </w:pPr>
            <w:r>
              <w:rPr>
                <w:rFonts w:ascii="Times New Roman" w:hAnsi="Times New Roman"/>
                <w:i/>
                <w:color w:val="000000"/>
                <w:sz w:val="22"/>
              </w:rPr>
              <w:t>[NAME]</w:t>
            </w:r>
          </w:p>
        </w:tc>
      </w:tr>
      <w:tr>
        <w:trPr/>
        <w:tc>
          <w:tcPr>
            <w:tcW w:w="47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whose National Insurance Number is</w:t>
            </w:r>
          </w:p>
        </w:tc>
        <w:tc>
          <w:tcPr>
            <w:tcW w:w="9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i/>
                <w:color w:val="000000"/>
                <w:sz w:val="22"/>
              </w:rPr>
              <w:t>[</w:t>
            </w:r>
            <w:r>
              <w:rPr>
                <w:rFonts w:ascii="Times New Roman" w:hAnsi="Times New Roman"/>
                <w:color w:val="000000"/>
                <w:sz w:val="22"/>
              </w:rPr>
              <w:t></w:t>
            </w:r>
            <w:r>
              <w:rPr>
                <w:rFonts w:ascii="Times New Roman" w:hAnsi="Times New Roman"/>
                <w:i/>
                <w:color w:val="000000"/>
                <w:sz w:val="22"/>
              </w:rPr>
              <w:t>]</w:t>
            </w:r>
          </w:p>
        </w:tc>
      </w:tr>
      <w:tr>
        <w:trPr/>
        <w:tc>
          <w:tcPr>
            <w:tcW w:w="47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and</w:t>
            </w:r>
          </w:p>
        </w:tc>
        <w:tc>
          <w:tcPr>
            <w:tcW w:w="931"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the Company (who is the Employee’s employer)</w:t>
            </w:r>
            <w:r>
              <w:rPr>
                <w:rFonts w:ascii="Times New Roman" w:hAnsi="Times New Roman"/>
                <w:color w:val="000000"/>
                <w:sz w:val="15"/>
              </w:rPr>
              <w:t>2</w:t>
            </w:r>
          </w:p>
        </w:tc>
        <w:tc>
          <w:tcPr>
            <w:tcW w:w="9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i/>
                <w:color w:val="000000"/>
                <w:sz w:val="22"/>
              </w:rPr>
            </w:pPr>
            <w:r>
              <w:rPr>
                <w:rFonts w:ascii="Times New Roman" w:hAnsi="Times New Roman"/>
                <w:i/>
                <w:color w:val="000000"/>
                <w:sz w:val="22"/>
              </w:rPr>
              <w:t>[NAME]</w:t>
            </w:r>
          </w:p>
        </w:tc>
      </w:tr>
      <w:tr>
        <w:trPr/>
        <w:tc>
          <w:tcPr>
            <w:tcW w:w="47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of Company Registration Number</w:t>
            </w:r>
          </w:p>
        </w:tc>
        <w:tc>
          <w:tcPr>
            <w:tcW w:w="9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i/>
                <w:color w:val="000000"/>
                <w:sz w:val="22"/>
              </w:rPr>
              <w:t>[</w:t>
            </w:r>
            <w:r>
              <w:rPr>
                <w:rFonts w:ascii="Times New Roman" w:hAnsi="Times New Roman"/>
                <w:color w:val="000000"/>
                <w:sz w:val="22"/>
              </w:rPr>
              <w:t></w:t>
            </w:r>
            <w:r>
              <w:rPr>
                <w:rFonts w:ascii="Times New Roman" w:hAnsi="Times New Roman"/>
                <w:i/>
                <w:color w:val="000000"/>
                <w:sz w:val="22"/>
              </w:rPr>
              <w:t>]</w:t>
            </w:r>
          </w:p>
        </w:tc>
      </w:tr>
    </w:tbl>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2. Purpose of Election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joint election is made pursuant to section 431(1) or 431(2) Income Tax (Earnings and Pensions) Act 2003 (ITEPA) and applies where employment-related securities, which are restricted securities by reason of section 423 ITEPA, are acquired.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effect of an election under section 431(1) is that, for the relevant Income Tax and NIC purposes, the employment-related securities and their market value will be treated as if they were not restricted securities and that sections 425 to 430 ITEPA do not apply. An election under section 431(2) will ignore one or more of the restrictions in computing the charge on acquisition. Additional Income Tax will be payable (with PAYE and NIC where the securities are Readily Convertible Assets).</w:t>
      </w:r>
    </w:p>
    <w:p>
      <w:pPr>
        <w:pStyle w:val="TextBody"/>
        <w:pBdr>
          <w:top w:val="single" w:sz="4" w:space="1" w:color="000000"/>
          <w:left w:val="single" w:sz="4" w:space="4" w:color="000000"/>
          <w:bottom w:val="single" w:sz="4" w:space="1" w:color="000000"/>
          <w:right w:val="single" w:sz="4" w:space="4" w:color="000000"/>
        </w:pBdr>
        <w:bidi w:val="0"/>
        <w:spacing w:before="0" w:after="240"/>
        <w:jc w:val="left"/>
        <w:rPr>
          <w:rFonts w:ascii="Times New Roman" w:hAnsi="Times New Roman"/>
          <w:b/>
          <w:color w:val="000000"/>
          <w:sz w:val="22"/>
        </w:rPr>
      </w:pPr>
      <w:r>
        <w:rPr>
          <w:rFonts w:ascii="Times New Roman" w:hAnsi="Times New Roman"/>
          <w:b/>
          <w:color w:val="000000"/>
          <w:sz w:val="22"/>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3. Application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joint election is made not later than 14 days after the date of acquisition of the securities by the employee and applies to:</w:t>
      </w:r>
    </w:p>
    <w:tbl>
      <w:tblPr>
        <w:tblW w:w="4922" w:type="dxa"/>
        <w:jc w:val="left"/>
        <w:tblInd w:w="0" w:type="dxa"/>
        <w:tblLayout w:type="fixed"/>
        <w:tblCellMar>
          <w:top w:w="28" w:type="dxa"/>
          <w:left w:w="28" w:type="dxa"/>
          <w:bottom w:w="28" w:type="dxa"/>
          <w:right w:w="28" w:type="dxa"/>
        </w:tblCellMar>
      </w:tblPr>
      <w:tblGrid>
        <w:gridCol w:w="2386"/>
        <w:gridCol w:w="2536"/>
      </w:tblGrid>
      <w:tr>
        <w:trPr/>
        <w:tc>
          <w:tcPr>
            <w:tcW w:w="238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Number of securities</w:t>
            </w:r>
          </w:p>
        </w:tc>
        <w:tc>
          <w:tcPr>
            <w:tcW w:w="25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i/>
                <w:color w:val="000000"/>
                <w:sz w:val="22"/>
              </w:rPr>
              <w:t>[</w:t>
            </w:r>
            <w:r>
              <w:rPr>
                <w:rFonts w:ascii="Times New Roman" w:hAnsi="Times New Roman"/>
                <w:color w:val="000000"/>
                <w:sz w:val="22"/>
              </w:rPr>
              <w:t></w:t>
            </w:r>
            <w:r>
              <w:rPr>
                <w:rFonts w:ascii="Times New Roman" w:hAnsi="Times New Roman"/>
                <w:i/>
                <w:color w:val="000000"/>
                <w:sz w:val="22"/>
              </w:rPr>
              <w:t>]</w:t>
            </w:r>
          </w:p>
        </w:tc>
      </w:tr>
      <w:tr>
        <w:trPr/>
        <w:tc>
          <w:tcPr>
            <w:tcW w:w="238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Description of securities</w:t>
            </w:r>
          </w:p>
        </w:tc>
        <w:tc>
          <w:tcPr>
            <w:tcW w:w="25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Shares of Common Stock</w:t>
            </w:r>
          </w:p>
        </w:tc>
      </w:tr>
    </w:tbl>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Note to draft: Relevant for UK employees only.</w:t>
      </w:r>
    </w:p>
    <w:p>
      <w:pPr>
        <w:pStyle w:val="TextBody"/>
        <w:bidi w:val="0"/>
        <w:spacing w:before="0" w:after="12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Arial" w:hAnsi="Arial"/>
          <w:color w:val="000000"/>
          <w:sz w:val="20"/>
        </w:rPr>
        <w:t>Note to draft: This form to be entered into between the individual and his/her employer (which may not be the issuer of the securities)</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07" w:type="dxa"/>
        <w:jc w:val="left"/>
        <w:tblInd w:w="0" w:type="dxa"/>
        <w:tblLayout w:type="fixed"/>
        <w:tblCellMar>
          <w:top w:w="28" w:type="dxa"/>
          <w:left w:w="28" w:type="dxa"/>
          <w:bottom w:w="28" w:type="dxa"/>
          <w:right w:w="28" w:type="dxa"/>
        </w:tblCellMar>
      </w:tblPr>
      <w:tblGrid>
        <w:gridCol w:w="3061"/>
        <w:gridCol w:w="2446"/>
      </w:tblGrid>
      <w:tr>
        <w:trPr/>
        <w:tc>
          <w:tcPr>
            <w:tcW w:w="306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 of issuer of securities</w:t>
            </w:r>
          </w:p>
        </w:tc>
        <w:tc>
          <w:tcPr>
            <w:tcW w:w="244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i/>
                <w:color w:val="000000"/>
                <w:sz w:val="22"/>
              </w:rPr>
            </w:pPr>
            <w:r>
              <w:rPr>
                <w:rFonts w:ascii="Times New Roman" w:hAnsi="Times New Roman"/>
                <w:i/>
                <w:color w:val="000000"/>
                <w:sz w:val="22"/>
              </w:rPr>
              <w:t>Faeth Therapeutics, Inc.</w:t>
            </w:r>
          </w:p>
        </w:tc>
      </w:tr>
      <w:tr>
        <w:trPr/>
        <w:tc>
          <w:tcPr>
            <w:tcW w:w="30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 acquired by the Employee on</w:t>
            </w:r>
          </w:p>
        </w:tc>
        <w:tc>
          <w:tcPr>
            <w:tcW w:w="244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[DATE]</w:t>
            </w:r>
          </w:p>
        </w:tc>
      </w:tr>
    </w:tbl>
    <w:p>
      <w:pPr>
        <w:pStyle w:val="TextBody"/>
        <w:bidi w:val="0"/>
        <w:spacing w:before="0" w:after="240"/>
        <w:jc w:val="both"/>
        <w:rPr>
          <w:rFonts w:ascii="Times New Roman" w:hAnsi="Times New Roman"/>
          <w:sz w:val="20"/>
        </w:rPr>
      </w:pPr>
      <w:r>
        <w:rPr>
          <w:rFonts w:ascii="Times New Roman" w:hAnsi="Times New Roman"/>
          <w:color w:val="000000"/>
          <w:sz w:val="22"/>
        </w:rPr>
        <w:t>* to be acquired by the Employee between [</w:t>
      </w:r>
      <w:r>
        <w:rPr>
          <w:rFonts w:ascii="Times New Roman" w:hAnsi="Times New Roman"/>
          <w:i/>
          <w:color w:val="000000"/>
          <w:sz w:val="22"/>
        </w:rPr>
        <w:t>dd/mm/yyyy</w:t>
      </w:r>
      <w:r>
        <w:rPr>
          <w:rFonts w:ascii="Times New Roman" w:hAnsi="Times New Roman"/>
          <w:color w:val="000000"/>
          <w:sz w:val="22"/>
        </w:rPr>
        <w:t>] and [</w:t>
      </w:r>
      <w:r>
        <w:rPr>
          <w:rFonts w:ascii="Times New Roman" w:hAnsi="Times New Roman"/>
          <w:i/>
          <w:color w:val="000000"/>
          <w:sz w:val="22"/>
        </w:rPr>
        <w:t>dd/mm/yyyy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to be acquired by the Employee after [</w:t>
      </w:r>
      <w:r>
        <w:rPr>
          <w:rFonts w:ascii="Times New Roman" w:hAnsi="Times New Roman"/>
          <w:i/>
          <w:color w:val="000000"/>
          <w:sz w:val="22"/>
        </w:rPr>
        <w:t>dd/mm/yyyy</w:t>
      </w:r>
      <w:r>
        <w:rPr>
          <w:rFonts w:ascii="Times New Roman" w:hAnsi="Times New Roman"/>
          <w:color w:val="000000"/>
          <w:sz w:val="22"/>
        </w:rPr>
        <w:t>] under the terms of [insert scheme/plan name]</w:t>
      </w:r>
    </w:p>
    <w:p>
      <w:pPr>
        <w:pStyle w:val="TextBody"/>
        <w:bidi w:val="0"/>
        <w:spacing w:before="0" w:after="240"/>
        <w:jc w:val="right"/>
        <w:rPr>
          <w:rFonts w:ascii="Times New Roman" w:hAnsi="Times New Roman"/>
          <w:i/>
          <w:color w:val="000000"/>
          <w:sz w:val="22"/>
        </w:rPr>
      </w:pPr>
      <w:r>
        <w:rPr>
          <w:rFonts w:ascii="Times New Roman" w:hAnsi="Times New Roman"/>
          <w:i/>
          <w:color w:val="000000"/>
          <w:sz w:val="22"/>
        </w:rPr>
        <w:t>(* delete as appropriate)</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4. Extent of Application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election disapplies (* delete as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S.431(1) ITEPA: All restrictions attaching to the securities,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S431(2) ITEPA: The following specified restriction : [details of specified restriction]</w:t>
      </w:r>
    </w:p>
    <w:p>
      <w:pPr>
        <w:pStyle w:val="TextBody"/>
        <w:bidi w:val="0"/>
        <w:spacing w:before="0" w:after="240"/>
        <w:jc w:val="both"/>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5. Declaration</w:t>
      </w:r>
    </w:p>
    <w:p>
      <w:pPr>
        <w:pStyle w:val="TextBody"/>
        <w:bidi w:val="0"/>
        <w:jc w:val="both"/>
        <w:rPr>
          <w:rFonts w:ascii="Times New Roman" w:hAnsi="Times New Roman"/>
          <w:color w:val="000000"/>
          <w:sz w:val="22"/>
        </w:rPr>
      </w:pPr>
      <w:r>
        <w:rPr>
          <w:rFonts w:ascii="Times New Roman" w:hAnsi="Times New Roman"/>
          <w:color w:val="000000"/>
          <w:sz w:val="22"/>
        </w:rPr>
        <w:t>This election will become irrevocable upon the later of its signing or the acquisition (* and each subsequent acquisition) of employment-related securities to which this election applies.</w:t>
      </w:r>
    </w:p>
    <w:p>
      <w:pPr>
        <w:pStyle w:val="TextBody"/>
        <w:bidi w:val="0"/>
        <w:spacing w:before="0" w:after="240"/>
        <w:jc w:val="right"/>
        <w:rPr>
          <w:rFonts w:ascii="Times New Roman" w:hAnsi="Times New Roman"/>
          <w:i/>
          <w:color w:val="000000"/>
          <w:sz w:val="22"/>
        </w:rPr>
      </w:pPr>
      <w:r>
        <w:rPr>
          <w:rFonts w:ascii="Times New Roman" w:hAnsi="Times New Roman"/>
          <w:i/>
          <w:color w:val="000000"/>
          <w:sz w:val="22"/>
        </w:rPr>
        <w:t>(* delete as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signing this joint election, we agree to be bound by its terms as stated above.</w:t>
      </w:r>
    </w:p>
    <w:tbl>
      <w:tblPr>
        <w:tblW w:w="4922" w:type="dxa"/>
        <w:jc w:val="left"/>
        <w:tblInd w:w="0" w:type="dxa"/>
        <w:tblLayout w:type="fixed"/>
        <w:tblCellMar>
          <w:top w:w="28" w:type="dxa"/>
          <w:left w:w="28" w:type="dxa"/>
          <w:bottom w:w="28" w:type="dxa"/>
          <w:right w:w="28" w:type="dxa"/>
        </w:tblCellMar>
      </w:tblPr>
      <w:tblGrid>
        <w:gridCol w:w="4531"/>
        <w:gridCol w:w="391"/>
      </w:tblGrid>
      <w:tr>
        <w:trPr/>
        <w:tc>
          <w:tcPr>
            <w:tcW w:w="45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3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Signature (Employee)</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 /</w:t>
            </w:r>
          </w:p>
        </w:tc>
      </w:tr>
      <w:tr>
        <w:trPr/>
        <w:tc>
          <w:tcPr>
            <w:tcW w:w="453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Signature (for and on behalf of the Company)</w:t>
            </w:r>
            <w:r>
              <w:rPr>
                <w:rFonts w:ascii="Times New Roman" w:hAnsi="Times New Roman"/>
                <w:color w:val="000000"/>
                <w:sz w:val="16"/>
              </w:rPr>
              <w:t>1</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 /</w:t>
            </w:r>
          </w:p>
        </w:tc>
      </w:tr>
      <w:tr>
        <w:trPr/>
        <w:tc>
          <w:tcPr>
            <w:tcW w:w="45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Position in company</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Note: Where the election is in respect of multiple acquisitions, prior to the date of any subsequent acquisition of a security it may be revoked by agreement between the employee and employer in respect of that and any later acquisition.</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Note to draft: This form to be entered into between the individual and his/her employer (which may not be the issuer of the securities)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bookmarkStart w:id="38" w:name="snse-ex10_10.htm"/>
      <w:bookmarkStart w:id="39" w:name="kssnseex10_10"/>
      <w:bookmarkEnd w:id="38"/>
      <w:bookmarkEnd w:id="39"/>
      <w:r>
        <w:rPr>
          <w:rFonts w:ascii="Times New Roman" w:hAnsi="Times New Roman"/>
          <w:color w:val="7F7F7F"/>
          <w:sz w:val="20"/>
        </w:rPr>
        <w:t>Exhibit 10.10</w:t>
      </w:r>
      <w:r>
        <w:br w:type="page"/>
      </w:r>
    </w:p>
    <w:p>
      <w:pPr>
        <w:pStyle w:val="Heading1"/>
        <w:bidi w:val="0"/>
        <w:spacing w:before="60" w:after="283"/>
        <w:ind w:left="465" w:right="466" w:hanging="0"/>
        <w:jc w:val="center"/>
        <w:rPr>
          <w:rFonts w:ascii="Times New Roman" w:hAnsi="Times New Roman"/>
          <w:color w:val="000000"/>
          <w:sz w:val="24"/>
        </w:rPr>
      </w:pPr>
      <w:bookmarkStart w:id="40" w:name="amended_and_restated_employment_agreemen"/>
      <w:bookmarkEnd w:id="40"/>
      <w:r>
        <w:rPr>
          <w:rFonts w:ascii="Times New Roman" w:hAnsi="Times New Roman"/>
          <w:color w:val="000000"/>
          <w:sz w:val="24"/>
        </w:rPr>
        <w:t>AMENDED AND RESTATED EMPLOYMENT AGREEMENT</w:t>
      </w:r>
    </w:p>
    <w:p>
      <w:pPr>
        <w:pStyle w:val="TextBody"/>
        <w:bidi w:val="0"/>
        <w:spacing w:before="240" w:after="283"/>
        <w:ind w:left="1439" w:right="0" w:hanging="0"/>
        <w:jc w:val="left"/>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 xml:space="preserve">AMENDED AND RESTATED EMPLOYMENT AGREEMENT </w:t>
      </w:r>
      <w:r>
        <w:rPr>
          <w:rFonts w:ascii="Times New Roman" w:hAnsi="Times New Roman"/>
          <w:color w:val="000000"/>
          <w:sz w:val="24"/>
        </w:rPr>
        <w:t>(the</w:t>
      </w:r>
    </w:p>
    <w:p>
      <w:pPr>
        <w:pStyle w:val="TextBody"/>
        <w:bidi w:val="0"/>
        <w:ind w:left="720" w:right="713" w:hanging="0"/>
        <w:jc w:val="both"/>
        <w:rPr/>
      </w:pPr>
      <w:r>
        <w:rPr>
          <w:color w:val="000000"/>
        </w:rPr>
        <w:t>“</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effective as of July 31, 2024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Sensei Biotherapeutics,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Christopher Gerry (the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This Agreement amends, restates, and supersedes in its entirety the Employment Agreement between the Company and Executive, dated July 18, 2022 (the “</w:t>
      </w:r>
      <w:r>
        <w:rPr>
          <w:rFonts w:ascii="Times New Roman" w:hAnsi="Times New Roman"/>
          <w:b/>
          <w:i/>
          <w:color w:val="000000"/>
          <w:sz w:val="24"/>
        </w:rPr>
        <w:t>Prior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719" w:right="714" w:firstLine="720"/>
        <w:jc w:val="both"/>
        <w:rPr>
          <w:rFonts w:ascii="Times New Roman" w:hAnsi="Times New Roman"/>
          <w:color w:val="000000"/>
          <w:sz w:val="24"/>
        </w:rPr>
      </w:pPr>
      <w:r>
        <w:rPr>
          <w:rFonts w:ascii="Times New Roman" w:hAnsi="Times New Roman"/>
          <w:color w:val="000000"/>
          <w:sz w:val="24"/>
        </w:rPr>
        <w:t>The Company desires to continue to employ Executive, now in the capacity of full-time SVP, General Counsel, pursuant to the terms of this Agreement and, in connection therewith, to compensate Executive for Executive’s personal services to the Company; and</w:t>
      </w:r>
    </w:p>
    <w:p>
      <w:pPr>
        <w:pStyle w:val="TextBody"/>
        <w:bidi w:val="0"/>
        <w:spacing w:before="240" w:after="283"/>
        <w:ind w:left="719" w:right="714" w:firstLine="720"/>
        <w:jc w:val="both"/>
        <w:rPr>
          <w:rFonts w:ascii="Times New Roman" w:hAnsi="Times New Roman"/>
          <w:color w:val="000000"/>
          <w:sz w:val="24"/>
        </w:rPr>
      </w:pPr>
      <w:r>
        <w:rPr>
          <w:rFonts w:ascii="Times New Roman" w:hAnsi="Times New Roman"/>
          <w:color w:val="000000"/>
          <w:sz w:val="24"/>
        </w:rPr>
        <w:t>Executive wishes to continue to be employed by the Company and provide personal services to the Company in return for certain compensation.</w:t>
      </w:r>
    </w:p>
    <w:p>
      <w:pPr>
        <w:pStyle w:val="TextBody"/>
        <w:bidi w:val="0"/>
        <w:spacing w:before="240" w:after="283"/>
        <w:ind w:left="719" w:right="714" w:firstLine="720"/>
        <w:jc w:val="both"/>
        <w:rPr>
          <w:rFonts w:ascii="Times New Roman" w:hAnsi="Times New Roman"/>
          <w:color w:val="000000"/>
          <w:sz w:val="24"/>
        </w:rPr>
      </w:pPr>
      <w:r>
        <w:rPr>
          <w:rFonts w:ascii="Times New Roman" w:hAnsi="Times New Roman"/>
          <w:color w:val="000000"/>
          <w:sz w:val="24"/>
        </w:rPr>
        <w:t>Accordingly, in consideration of the mutual promises and covenants contained herein, the parties agree to the following:</w:t>
      </w:r>
    </w:p>
    <w:p>
      <w:pPr>
        <w:pStyle w:val="TextBody"/>
        <w:bidi w:val="0"/>
        <w:spacing w:before="240" w:after="283"/>
        <w:ind w:left="1440" w:right="0" w:hanging="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pPr>
      <w:r>
        <w:rPr>
          <w:rFonts w:ascii="Times New Roman" w:hAnsi="Times New Roman"/>
          <w:b/>
          <w:color w:val="000000"/>
          <w:sz w:val="24"/>
          <w:u w:val="single"/>
        </w:rPr>
        <w:t>EMPLOYMENT BY THE COMPANY</w:t>
      </w:r>
      <w:r>
        <w:rPr>
          <w:rFonts w:ascii="Times New Roman" w:hAnsi="Times New Roman"/>
          <w:b/>
          <w:color w:val="000000"/>
          <w:sz w:val="24"/>
        </w:rPr>
        <w:t>.</w:t>
      </w:r>
    </w:p>
    <w:p>
      <w:pPr>
        <w:pStyle w:val="TextBody"/>
        <w:bidi w:val="0"/>
        <w:spacing w:before="240" w:after="283"/>
        <w:ind w:left="720" w:right="720" w:firstLine="14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both"/>
        <w:rPr/>
      </w:pPr>
      <w:r>
        <w:rPr>
          <w:rFonts w:ascii="Times New Roman" w:hAnsi="Times New Roman"/>
          <w:b/>
          <w:color w:val="000000"/>
          <w:sz w:val="24"/>
          <w:u w:val="single"/>
        </w:rPr>
        <w:t>At-Will Employment</w:t>
      </w:r>
      <w:r>
        <w:rPr>
          <w:rFonts w:ascii="Times New Roman" w:hAnsi="Times New Roman"/>
          <w:color w:val="000000"/>
          <w:sz w:val="24"/>
        </w:rPr>
        <w:t>. Executive shall be employed by the Company on an “at-will” basis, meaning either the Company 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w:t>
      </w:r>
    </w:p>
    <w:p>
      <w:pPr>
        <w:pStyle w:val="TextBody"/>
        <w:bidi w:val="0"/>
        <w:spacing w:before="241" w:after="283"/>
        <w:ind w:left="720" w:right="706" w:firstLine="14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1" w:after="283"/>
        <w:jc w:val="both"/>
        <w:rPr/>
      </w:pPr>
      <w:r>
        <w:rPr>
          <w:rFonts w:ascii="Times New Roman" w:hAnsi="Times New Roman"/>
          <w:b/>
          <w:color w:val="000000"/>
          <w:sz w:val="24"/>
          <w:u w:val="single"/>
        </w:rPr>
        <w:t>Position</w:t>
      </w:r>
      <w:r>
        <w:rPr>
          <w:rFonts w:ascii="Times New Roman" w:hAnsi="Times New Roman"/>
          <w:color w:val="000000"/>
          <w:sz w:val="24"/>
        </w:rPr>
        <w:t>. Subject to the terms set forth herein, the Company agrees to continue to employ Executive in the position of SVP, General Counsel, and Executive hereby accepts such continued employment. During the term of Executive’s employment with the Company, Executive will devote Executive’s best efforts and substantially all of Executive’s business time and attention to the business of the Company.</w:t>
      </w:r>
    </w:p>
    <w:p>
      <w:pPr>
        <w:pStyle w:val="TextBody"/>
        <w:bidi w:val="0"/>
        <w:spacing w:before="237" w:after="283"/>
        <w:ind w:left="720" w:right="720" w:firstLine="14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37" w:after="283"/>
        <w:jc w:val="both"/>
        <w:rPr/>
      </w:pPr>
      <w:r>
        <w:rPr>
          <w:rFonts w:ascii="Times New Roman" w:hAnsi="Times New Roman"/>
          <w:b/>
          <w:color w:val="000000"/>
          <w:sz w:val="24"/>
          <w:u w:val="single"/>
        </w:rPr>
        <w:t>Duties</w:t>
      </w:r>
      <w:r>
        <w:rPr>
          <w:rFonts w:ascii="Times New Roman" w:hAnsi="Times New Roman"/>
          <w:color w:val="000000"/>
          <w:sz w:val="24"/>
        </w:rPr>
        <w:t>. Executive will report to the President and Chief Executive Officer (“</w:t>
      </w:r>
      <w:r>
        <w:rPr>
          <w:rFonts w:ascii="Times New Roman" w:hAnsi="Times New Roman"/>
          <w:b/>
          <w:i/>
          <w:color w:val="000000"/>
          <w:sz w:val="24"/>
        </w:rPr>
        <w:t>CEO</w:t>
      </w:r>
      <w:r>
        <w:rPr>
          <w:color w:val="000000"/>
        </w:rPr>
        <w:t>”</w:t>
      </w:r>
      <w:r>
        <w:rPr>
          <w:rFonts w:ascii="Times New Roman" w:hAnsi="Times New Roman"/>
          <w:i/>
          <w:color w:val="000000"/>
          <w:sz w:val="24"/>
        </w:rPr>
        <w:t xml:space="preserve">) </w:t>
      </w:r>
      <w:r>
        <w:rPr>
          <w:rFonts w:ascii="Times New Roman" w:hAnsi="Times New Roman"/>
          <w:color w:val="000000"/>
          <w:sz w:val="24"/>
        </w:rPr>
        <w:t>performing such duties as are normally associated with Executive’s then-current position and such duties as are assigned to Executive from time to time, subject to the oversight and direction of the CEO. In general, and without limitation, Executive will: serve as a senior leader in the organization and be responsible for all legal and compliance affairs of the Company, serve as corporate secretary, and oversee contract management. Executive shall perform Executive’s duties under this Agreement principally out of the Company’s office in the Boston, Massachusetts area or such other location as assigned. In addition, Executive shall make such business trips to such places as may be necessary or advisable for the efficient operations of the Company.</w:t>
      </w:r>
    </w:p>
    <w:p>
      <w:pPr>
        <w:pStyle w:val="TextBody"/>
        <w:bidi w:val="0"/>
        <w:spacing w:before="242" w:after="283"/>
        <w:ind w:left="720" w:right="720" w:firstLine="14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2" w:after="283"/>
        <w:jc w:val="both"/>
        <w:rPr/>
      </w:pPr>
      <w:r>
        <w:rPr>
          <w:rFonts w:ascii="Times New Roman" w:hAnsi="Times New Roman"/>
          <w:b/>
          <w:color w:val="000000"/>
          <w:sz w:val="24"/>
          <w:u w:val="single"/>
        </w:rPr>
        <w:t>Company Policies and Benefits</w:t>
      </w:r>
      <w:r>
        <w:rPr>
          <w:rFonts w:ascii="Times New Roman" w:hAnsi="Times New Roman"/>
          <w:color w:val="000000"/>
          <w:sz w:val="24"/>
        </w:rPr>
        <w:t>. The employment relationship between the parties shall also be subject to the Company’s personnel policies and procedures as they may</w:t>
      </w:r>
    </w:p>
    <w:p>
      <w:pPr>
        <w:pStyle w:val="TextBody"/>
        <w:bidi w:val="0"/>
        <w:spacing w:before="60" w:after="283"/>
        <w:ind w:left="720" w:right="714" w:hanging="0"/>
        <w:jc w:val="both"/>
        <w:rPr>
          <w:rFonts w:ascii="Times New Roman" w:hAnsi="Times New Roman"/>
          <w:sz w:val="20"/>
        </w:rPr>
      </w:pPr>
      <w:r>
        <w:rPr>
          <w:rFonts w:ascii="Times New Roman" w:hAnsi="Times New Roman"/>
          <w:color w:val="000000"/>
          <w:sz w:val="24"/>
        </w:rPr>
        <w:t>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60" w:after="283"/>
        <w:ind w:left="720" w:right="714" w:hanging="0"/>
        <w:jc w:val="both"/>
        <w:rPr>
          <w:rFonts w:ascii="Times New Roman" w:hAnsi="Times New Roman"/>
          <w:color w:val="000000"/>
          <w:sz w:val="24"/>
        </w:rPr>
      </w:pPr>
      <w:r>
        <w:rPr>
          <w:rFonts w:ascii="Times New Roman" w:hAnsi="Times New Roman"/>
          <w:color w:val="000000"/>
          <w:sz w:val="24"/>
        </w:rPr>
        <w:t>benefit plan in its sole discretion. Notwithstanding the foregoing, in the event that the terms of this Agreement differ from or are in conflict with the Company’s general employment policies or practices, this Agreement shall control.</w:t>
      </w:r>
    </w:p>
    <w:p>
      <w:pPr>
        <w:pStyle w:val="TextBody"/>
        <w:bidi w:val="0"/>
        <w:spacing w:before="240" w:after="283"/>
        <w:ind w:left="720" w:right="720" w:firstLine="14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240" w:after="283"/>
        <w:jc w:val="both"/>
        <w:rPr/>
      </w:pPr>
      <w:r>
        <w:rPr>
          <w:rFonts w:ascii="Times New Roman" w:hAnsi="Times New Roman"/>
          <w:b/>
          <w:color w:val="000000"/>
          <w:sz w:val="24"/>
          <w:u w:val="single"/>
        </w:rPr>
        <w:t>Insurance</w:t>
      </w:r>
      <w:r>
        <w:rPr>
          <w:rFonts w:ascii="Times New Roman" w:hAnsi="Times New Roman"/>
          <w:color w:val="000000"/>
          <w:sz w:val="24"/>
        </w:rPr>
        <w:t>. While this Agreement is in effect, for actions within the scope of Executive’s employment, the Company will include Executive as an insured at a level comparable to other officers of the Company in its Directors and Officers Liability insurance policy in effect from time to time.</w:t>
      </w:r>
    </w:p>
    <w:p>
      <w:pPr>
        <w:pStyle w:val="TextBody"/>
        <w:bidi w:val="0"/>
        <w:spacing w:before="240" w:after="283"/>
        <w:ind w:left="1440" w:right="0" w:hanging="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left"/>
        <w:rPr/>
      </w:pPr>
      <w:r>
        <w:rPr>
          <w:rFonts w:ascii="Times New Roman" w:hAnsi="Times New Roman"/>
          <w:b/>
          <w:color w:val="000000"/>
          <w:sz w:val="24"/>
          <w:u w:val="single"/>
        </w:rPr>
        <w:t>COMPENSATION</w:t>
      </w:r>
      <w:r>
        <w:rPr>
          <w:rFonts w:ascii="Times New Roman" w:hAnsi="Times New Roman"/>
          <w:b/>
          <w:color w:val="000000"/>
          <w:sz w:val="24"/>
        </w:rPr>
        <w:t>.</w:t>
      </w:r>
    </w:p>
    <w:p>
      <w:pPr>
        <w:pStyle w:val="TextBody"/>
        <w:bidi w:val="0"/>
        <w:spacing w:before="240" w:after="283"/>
        <w:ind w:left="720" w:right="706" w:firstLine="14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240" w:after="283"/>
        <w:jc w:val="both"/>
        <w:rPr/>
      </w:pPr>
      <w:r>
        <w:rPr>
          <w:rFonts w:ascii="Times New Roman" w:hAnsi="Times New Roman"/>
          <w:b/>
          <w:color w:val="000000"/>
          <w:sz w:val="24"/>
          <w:u w:val="single"/>
        </w:rPr>
        <w:t>Salary</w:t>
      </w:r>
      <w:r>
        <w:rPr>
          <w:rFonts w:ascii="Times New Roman" w:hAnsi="Times New Roman"/>
          <w:color w:val="000000"/>
          <w:sz w:val="24"/>
        </w:rPr>
        <w:t>. Executive shall receive for Executive’s services to be rendered hereunder an initial annualized base salary of $385,000, subject to review and adjustment from time to time by the Company in its sole discretion (“</w:t>
      </w:r>
      <w:r>
        <w:rPr>
          <w:rFonts w:ascii="Times New Roman" w:hAnsi="Times New Roman"/>
          <w:b/>
          <w:i/>
          <w:color w:val="000000"/>
          <w:sz w:val="24"/>
        </w:rPr>
        <w:t>Base Salary</w:t>
      </w:r>
      <w:r>
        <w:rPr>
          <w:color w:val="000000"/>
        </w:rPr>
        <w:t>”</w:t>
      </w:r>
      <w:r>
        <w:rPr>
          <w:rFonts w:ascii="Times New Roman" w:hAnsi="Times New Roman"/>
          <w:color w:val="000000"/>
          <w:sz w:val="24"/>
        </w:rPr>
        <w:t>). The Base Salary is payable subject to standard federal and state payroll withholding requirements in accordance with the Company’s standard payroll practices.</w:t>
      </w:r>
    </w:p>
    <w:p>
      <w:pPr>
        <w:pStyle w:val="TextBody"/>
        <w:bidi w:val="0"/>
        <w:spacing w:before="240" w:after="283"/>
        <w:ind w:left="720" w:right="706" w:firstLine="14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240" w:after="283"/>
        <w:jc w:val="both"/>
        <w:rPr/>
      </w:pPr>
      <w:r>
        <w:rPr>
          <w:rFonts w:ascii="Times New Roman" w:hAnsi="Times New Roman"/>
          <w:b/>
          <w:color w:val="000000"/>
          <w:sz w:val="24"/>
          <w:u w:val="single"/>
        </w:rPr>
        <w:t>Annual Bonus</w:t>
      </w:r>
      <w:r>
        <w:rPr>
          <w:rFonts w:ascii="Times New Roman" w:hAnsi="Times New Roman"/>
          <w:color w:val="000000"/>
          <w:sz w:val="24"/>
        </w:rPr>
        <w:t>. Executive shall be eligible to receive an annual performance bonus of up to 35% (the “</w:t>
      </w:r>
      <w:r>
        <w:rPr>
          <w:rFonts w:ascii="Times New Roman" w:hAnsi="Times New Roman"/>
          <w:b/>
          <w:i/>
          <w:color w:val="000000"/>
          <w:sz w:val="24"/>
        </w:rPr>
        <w:t>Target Percentage</w:t>
      </w:r>
      <w:r>
        <w:rPr>
          <w:color w:val="000000"/>
        </w:rPr>
        <w:t>”</w:t>
      </w:r>
      <w:r>
        <w:rPr>
          <w:rFonts w:ascii="Times New Roman" w:hAnsi="Times New Roman"/>
          <w:color w:val="000000"/>
          <w:sz w:val="24"/>
        </w:rPr>
        <w:t>) of Executive’s then-current Base Salary (“</w:t>
      </w:r>
      <w:r>
        <w:rPr>
          <w:rFonts w:ascii="Times New Roman" w:hAnsi="Times New Roman"/>
          <w:b/>
          <w:i/>
          <w:color w:val="000000"/>
          <w:sz w:val="24"/>
        </w:rPr>
        <w:t>Annual Bonus</w:t>
      </w:r>
      <w:r>
        <w:rPr>
          <w:color w:val="000000"/>
        </w:rPr>
        <w:t>”</w:t>
      </w:r>
      <w:r>
        <w:rPr>
          <w:rFonts w:ascii="Times New Roman" w:hAnsi="Times New Roman"/>
          <w:color w:val="000000"/>
          <w:sz w:val="24"/>
        </w:rPr>
        <w:t>). The Annual Bonus will be based upon the Company’s assessment of Executive’s performance, the Company’s attainment of targeted goals as set by the Company’s Board of Directors (the “</w:t>
      </w:r>
      <w:r>
        <w:rPr>
          <w:rFonts w:ascii="Times New Roman" w:hAnsi="Times New Roman"/>
          <w:b/>
          <w:i/>
          <w:color w:val="000000"/>
          <w:sz w:val="24"/>
        </w:rPr>
        <w:t>Board</w:t>
      </w:r>
      <w:r>
        <w:rPr>
          <w:color w:val="000000"/>
        </w:rPr>
        <w:t>”</w:t>
      </w:r>
      <w:r>
        <w:rPr>
          <w:rFonts w:ascii="Times New Roman" w:hAnsi="Times New Roman"/>
          <w:color w:val="000000"/>
          <w:sz w:val="24"/>
        </w:rPr>
        <w:t>) in its sole discretion, overall economic conditions and forecasts, and related financial factors, all as determined by the Company in its sole discretion. The Annual Bonus, if any, will be subject to applicable payroll deductions and withholdings. Following the close of each calendar year, the Company will determine whether Executive has earned the Annual Bonus, and the amount of any Annual Bonus (which can be less than the Target Percentage), based on the set criteria. No amount of the Annual Bonus is guaranteed, and Executive must be an employee in good standing on the Annual Bonus payment date to be eligible to receive an Annual Bonus; no partial or prorated bonuses will be provided. Executive’s eligibility for an Annual Bonus is subject to change in the discretion of the Board (or any authorized committee thereof).</w:t>
      </w:r>
    </w:p>
    <w:p>
      <w:pPr>
        <w:pStyle w:val="TextBody"/>
        <w:bidi w:val="0"/>
        <w:spacing w:before="241" w:after="283"/>
        <w:ind w:left="720" w:right="706" w:firstLine="14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241" w:after="283"/>
        <w:jc w:val="both"/>
        <w:rPr/>
      </w:pPr>
      <w:r>
        <w:rPr>
          <w:rFonts w:ascii="Times New Roman" w:hAnsi="Times New Roman"/>
          <w:b/>
          <w:color w:val="000000"/>
          <w:sz w:val="24"/>
          <w:u w:val="single"/>
        </w:rPr>
        <w:t>Future Equity Awards</w:t>
      </w:r>
      <w:r>
        <w:rPr>
          <w:rFonts w:ascii="Times New Roman" w:hAnsi="Times New Roman"/>
          <w:b/>
          <w:color w:val="000000"/>
          <w:sz w:val="23"/>
          <w:u w:val="single"/>
        </w:rPr>
        <w:t>.</w:t>
      </w:r>
      <w:r>
        <w:rPr>
          <w:color w:val="000000"/>
        </w:rPr>
        <w:t xml:space="preserve"> </w:t>
      </w:r>
      <w:r>
        <w:rPr>
          <w:rFonts w:ascii="Times New Roman" w:hAnsi="Times New Roman"/>
          <w:color w:val="000000"/>
          <w:sz w:val="24"/>
        </w:rPr>
        <w:t>Executive remains eligible to be considered for future equity awards as may be determined by the Board or a committee of the Board in its discretion in accordance with the terms of any applicable equity plan or arrangement that may be in effect from time to time.</w:t>
      </w:r>
    </w:p>
    <w:p>
      <w:pPr>
        <w:pStyle w:val="TextBody"/>
        <w:bidi w:val="0"/>
        <w:spacing w:before="240" w:after="283"/>
        <w:ind w:left="720" w:right="706" w:firstLine="14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240" w:after="283"/>
        <w:jc w:val="both"/>
        <w:rPr/>
      </w:pPr>
      <w:r>
        <w:rPr>
          <w:rFonts w:ascii="Times New Roman" w:hAnsi="Times New Roman"/>
          <w:b/>
          <w:color w:val="000000"/>
          <w:sz w:val="24"/>
          <w:u w:val="single"/>
        </w:rPr>
        <w:t>Expense Reimbursement</w:t>
      </w:r>
      <w:r>
        <w:rPr>
          <w:rFonts w:ascii="Times New Roman" w:hAnsi="Times New Roman"/>
          <w:color w:val="000000"/>
          <w:sz w:val="24"/>
        </w:rPr>
        <w:t>. The Company will reimburse Executive for all reasonable, documented business expenses incurred in connection with Executive’s services hereunder, in accordance with the Company’s business expense reimbursement policies and 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w:t>
      </w:r>
    </w:p>
    <w:p>
      <w:pPr>
        <w:pStyle w:val="TextBody"/>
        <w:bidi w:val="0"/>
        <w:spacing w:before="60" w:after="283"/>
        <w:ind w:left="720" w:right="763" w:hanging="0"/>
        <w:jc w:val="left"/>
        <w:rPr>
          <w:rFonts w:ascii="Times New Roman" w:hAnsi="Times New Roman"/>
          <w:color w:val="000000"/>
          <w:sz w:val="24"/>
        </w:rPr>
      </w:pPr>
      <w:r>
        <w:rPr>
          <w:rFonts w:ascii="Times New Roman" w:hAnsi="Times New Roman"/>
          <w:color w:val="000000"/>
          <w:sz w:val="24"/>
        </w:rPr>
        <w:t>reimbursement under this Agreement will not be subject to liquidation or exchange for another benefit.</w:t>
      </w:r>
    </w:p>
    <w:p>
      <w:pPr>
        <w:pStyle w:val="TextBody"/>
        <w:bidi w:val="0"/>
        <w:spacing w:before="60" w:after="283"/>
        <w:ind w:left="720" w:right="763" w:hanging="0"/>
        <w:jc w:val="left"/>
        <w:rPr/>
      </w:pPr>
      <w:r>
        <w:rPr/>
        <w:t> </w:t>
      </w:r>
    </w:p>
    <w:p>
      <w:pPr>
        <w:pStyle w:val="TextBody"/>
        <w:bidi w:val="0"/>
        <w:spacing w:before="239" w:after="283"/>
        <w:ind w:left="720" w:right="720" w:firstLine="720"/>
        <w:jc w:val="both"/>
        <w:rPr>
          <w:rFonts w:ascii="Times New Roman" w:hAnsi="Times New Roman"/>
          <w:b/>
          <w:color w:val="000000"/>
          <w:sz w:val="24"/>
        </w:rPr>
      </w:pPr>
      <w:r>
        <w:rPr>
          <w:rFonts w:ascii="Times New Roman" w:hAnsi="Times New Roman"/>
          <w:b/>
          <w:color w:val="000000"/>
          <w:sz w:val="24"/>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4"/>
          <w:u w:val="single"/>
        </w:rPr>
        <w:t>CONFIDENTIAL INFORMATION, INVENTION ASSIGNMENT, NON-SOLICITATION, AND NON-COMPETITION OBLIGATIONS</w:t>
      </w:r>
      <w:r>
        <w:rPr>
          <w:rFonts w:ascii="Times New Roman" w:hAnsi="Times New Roman"/>
          <w:color w:val="000000"/>
          <w:sz w:val="24"/>
        </w:rPr>
        <w:t>. As a condition of</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1" w:after="283"/>
        <w:ind w:left="719" w:right="711" w:hanging="0"/>
        <w:jc w:val="both"/>
        <w:rPr>
          <w:rFonts w:ascii="Times New Roman" w:hAnsi="Times New Roman"/>
          <w:sz w:val="20"/>
        </w:rPr>
      </w:pPr>
      <w:r>
        <w:rPr>
          <w:rFonts w:ascii="Times New Roman" w:hAnsi="Times New Roman"/>
          <w:color w:val="000000"/>
          <w:sz w:val="24"/>
        </w:rPr>
        <w:t>continued employment and in consideration of the benefits that Executive is eligible to receive under this Agreement, including, but not limited to, the compensation offered and provided to Executive hereunder, and as an express condition of the offer and provision of such additional compensation to Executive, Executive agrees to continue to abide by that certain Confidential Information, Invention Assignment, Non-Solicitation and Non-Competition Agreement (the “</w:t>
      </w:r>
      <w:r>
        <w:rPr>
          <w:rFonts w:ascii="Times New Roman" w:hAnsi="Times New Roman"/>
          <w:b/>
          <w:i/>
          <w:color w:val="000000"/>
          <w:sz w:val="24"/>
        </w:rPr>
        <w:t>Covenants Agreement</w:t>
      </w:r>
      <w:r>
        <w:rPr>
          <w:rFonts w:ascii="Times New Roman" w:hAnsi="Times New Roman"/>
          <w:color w:val="000000"/>
          <w:sz w:val="20"/>
        </w:rPr>
        <w:t>”</w:t>
      </w:r>
      <w:r>
        <w:rPr>
          <w:rFonts w:ascii="Times New Roman" w:hAnsi="Times New Roman"/>
          <w:color w:val="000000"/>
          <w:sz w:val="24"/>
        </w:rPr>
        <w:t>) previously entered into between the Company and Executive and made effective as of July 18, 2022.</w:t>
      </w:r>
    </w:p>
    <w:p>
      <w:pPr>
        <w:pStyle w:val="TextBody"/>
        <w:bidi w:val="0"/>
        <w:spacing w:before="240" w:after="283"/>
        <w:ind w:left="720" w:right="706" w:firstLine="72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pPr>
      <w:r>
        <w:rPr>
          <w:rFonts w:ascii="Times New Roman" w:hAnsi="Times New Roman"/>
          <w:b/>
          <w:color w:val="000000"/>
          <w:sz w:val="24"/>
          <w:u w:val="single"/>
        </w:rPr>
        <w:t>OUTSIDE ACTIVITIES</w:t>
      </w:r>
      <w:r>
        <w:rPr>
          <w:rFonts w:ascii="Times New Roman" w:hAnsi="Times New Roman"/>
          <w:color w:val="000000"/>
          <w:sz w:val="24"/>
        </w:rPr>
        <w:t>. Except with the prior written consent of the Board,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pStyle w:val="TextBody"/>
        <w:bidi w:val="0"/>
        <w:spacing w:before="241" w:after="283"/>
        <w:ind w:left="720" w:right="706" w:firstLine="72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41" w:after="283"/>
        <w:jc w:val="both"/>
        <w:rPr/>
      </w:pPr>
      <w:r>
        <w:rPr>
          <w:rFonts w:ascii="Times New Roman" w:hAnsi="Times New Roman"/>
          <w:b/>
          <w:color w:val="000000"/>
          <w:sz w:val="24"/>
          <w:u w:val="single"/>
        </w:rPr>
        <w:t>NO CONFLICT WITH EXISTING OBLIGATIONS</w:t>
      </w:r>
      <w:r>
        <w:rPr>
          <w:rFonts w:ascii="Times New Roman" w:hAnsi="Times New Roman"/>
          <w:color w:val="000000"/>
          <w:sz w:val="24"/>
        </w:rPr>
        <w:t>. Executive represents that Executive’s performance of all the terms of this 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pStyle w:val="TextBody"/>
        <w:bidi w:val="0"/>
        <w:spacing w:before="239" w:after="283"/>
        <w:ind w:left="720" w:right="706" w:firstLine="72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39" w:after="283"/>
        <w:jc w:val="both"/>
        <w:rPr/>
      </w:pPr>
      <w:r>
        <w:rPr>
          <w:rFonts w:ascii="Times New Roman" w:hAnsi="Times New Roman"/>
          <w:b/>
          <w:color w:val="000000"/>
          <w:sz w:val="24"/>
          <w:u w:val="single"/>
        </w:rPr>
        <w:t>TERMINATION OF EMPLOYMENT</w:t>
      </w:r>
      <w:r>
        <w:rPr>
          <w:rFonts w:ascii="Times New Roman" w:hAnsi="Times New Roman"/>
          <w:color w:val="000000"/>
          <w:sz w:val="24"/>
        </w:rPr>
        <w:t>. The parties acknowledge that Executive’s employment relationship with the Company shall be at-will. Either Executive or the Company may terminate the employment relationship at any time, with or without “Cause” (as defined in Section 6.3(a) below). The provisions in this Section govern the amount of compensation, if any, to be provided to Executive upon termination of employment and do not alter this at-will status.</w:t>
      </w:r>
    </w:p>
    <w:p>
      <w:pPr>
        <w:pStyle w:val="TextBody"/>
        <w:bidi w:val="0"/>
        <w:spacing w:before="240" w:after="283"/>
        <w:ind w:left="720" w:right="763" w:firstLine="1440"/>
        <w:jc w:val="left"/>
        <w:rPr>
          <w:rFonts w:ascii="Times New Roman" w:hAnsi="Times New Roman"/>
          <w:b/>
          <w:color w:val="000000"/>
          <w:sz w:val="24"/>
        </w:rPr>
      </w:pPr>
      <w:r>
        <w:rPr>
          <w:rFonts w:ascii="Times New Roman" w:hAnsi="Times New Roman"/>
          <w:b/>
          <w:color w:val="000000"/>
          <w:sz w:val="24"/>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4"/>
          <w:u w:val="single"/>
        </w:rPr>
        <w:t>Termination by the Company Without Cause or Resignation by</w:t>
      </w:r>
      <w:r>
        <w:rPr>
          <w:color w:val="000000"/>
        </w:rPr>
        <w:t xml:space="preserve"> </w:t>
      </w:r>
      <w:r>
        <w:rPr>
          <w:rFonts w:ascii="Times New Roman" w:hAnsi="Times New Roman"/>
          <w:b/>
          <w:color w:val="000000"/>
          <w:sz w:val="24"/>
          <w:u w:val="single"/>
        </w:rPr>
        <w:t>Executive for Good Reason (not in Connection with a Change in Control)</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shall have the right to terminate Executive’s employment with the Company pursuant to this Section 6.1 at any time without Cause by giving notice as described in Section 6.7 of this Agreement. A termination pursuant to Section 6.5 or 6.6 below is not a termination without “Cause” for purposes of receiving the Non-CIC Severance Benefits described in (and as defined in) this Section 6.1 or the CIC Severance Benefits described in (and as defined in) Section 6.2.</w:t>
      </w:r>
    </w:p>
    <w:p>
      <w:pPr>
        <w:pStyle w:val="TextBody"/>
        <w:bidi w:val="0"/>
        <w:spacing w:before="60" w:after="283"/>
        <w:ind w:left="720" w:right="706" w:firstLine="216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 xml:space="preserve">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60" w:after="283"/>
        <w:ind w:left="720" w:right="706" w:hanging="0"/>
        <w:jc w:val="both"/>
        <w:rPr/>
      </w:pPr>
      <w:r>
        <w:rPr>
          <w:rFonts w:ascii="Times New Roman" w:hAnsi="Times New Roman"/>
          <w:color w:val="000000"/>
          <w:sz w:val="24"/>
        </w:rPr>
        <w:t>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and Executive complies with the obligations in Section 6.1(c) below, Executive shall also be eligible to receive the following “</w:t>
      </w:r>
      <w:r>
        <w:rPr>
          <w:rFonts w:ascii="Times New Roman" w:hAnsi="Times New Roman"/>
          <w:b/>
          <w:i/>
          <w:color w:val="000000"/>
          <w:sz w:val="24"/>
        </w:rPr>
        <w:t>Non-CIC Severance Benefits</w:t>
      </w:r>
      <w:r>
        <w:rPr>
          <w:rFonts w:ascii="Times New Roman" w:hAnsi="Times New Roman"/>
          <w:color w:val="000000"/>
          <w:sz w:val="24"/>
        </w:rPr>
        <w:t>:”</w:t>
      </w:r>
    </w:p>
    <w:p>
      <w:pPr>
        <w:pStyle w:val="TextBody"/>
        <w:bidi w:val="0"/>
        <w:spacing w:before="239" w:after="283"/>
        <w:ind w:left="720" w:right="706" w:firstLine="288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The Company will pay Executive an amount equal to Executive’s then current Base Salary for six (6) months, less all applicable withholdings and deductions, paid in equal installments beginning on the Company’s first regularly scheduled payroll date following the Release Effective Date (as defined in Section 6.1(c) below), with the remaining installments occurring on the Company’s regularly scheduled payroll dates thereafter; and</w:t>
      </w:r>
    </w:p>
    <w:p>
      <w:pPr>
        <w:pStyle w:val="TextBody"/>
        <w:bidi w:val="0"/>
        <w:spacing w:before="60" w:after="283"/>
        <w:ind w:left="720" w:right="706" w:firstLine="288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60" w:after="283"/>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Non-CIC COBRA 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or ERISA for benefits under plans and policies arising under Executive’s employment by the Company.</w:t>
      </w:r>
    </w:p>
    <w:p>
      <w:pPr>
        <w:pStyle w:val="TextBody"/>
        <w:bidi w:val="0"/>
        <w:spacing w:before="241" w:after="283"/>
        <w:ind w:left="720" w:right="706" w:firstLine="216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1" w:after="283"/>
        <w:jc w:val="both"/>
        <w:rPr/>
      </w:pPr>
      <w:r>
        <w:rPr>
          <w:rFonts w:ascii="Times New Roman" w:hAnsi="Times New Roman"/>
          <w:color w:val="000000"/>
          <w:sz w:val="24"/>
        </w:rPr>
        <w:t>Executive will be paid all of the Accrued Obligations on the Company’s first payroll date after Executive’s date of termination from employment or earlier if required by law. Executive shall receive the Non-CIC Severance Benefits pursuant to Section 6.1(b) or the CIC Severance Benefits pursuant to Section 6.2(a) of this Agreement if: (i) by the sixtieth (60</w:t>
      </w:r>
      <w:r>
        <w:rPr>
          <w:rFonts w:ascii="Times New Roman" w:hAnsi="Times New Roman"/>
          <w:color w:val="000000"/>
          <w:sz w:val="16"/>
        </w:rPr>
        <w:t>th</w:t>
      </w:r>
      <w:r>
        <w:rPr>
          <w:rFonts w:ascii="Times New Roman" w:hAnsi="Times New Roman"/>
          <w:color w:val="000000"/>
          <w:sz w:val="24"/>
        </w:rPr>
        <w:t>)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Times New Roman" w:hAnsi="Times New Roman"/>
          <w:b/>
          <w:i/>
          <w:color w:val="000000"/>
          <w:sz w:val="24"/>
        </w:rPr>
        <w:t>Release</w:t>
      </w:r>
      <w:r>
        <w:rPr>
          <w:color w:val="000000"/>
        </w:rPr>
        <w:t>”</w:t>
      </w:r>
      <w:r>
        <w:rPr>
          <w:rFonts w:ascii="Times New Roman" w:hAnsi="Times New Roman"/>
          <w:color w:val="000000"/>
          <w:sz w:val="24"/>
        </w:rPr>
        <w:t>), which will include a non-competition clause, which cannot be revoked in whole or part by such date (the date that the Release can no longer be revoked is referred to as the “</w:t>
      </w:r>
      <w:r>
        <w:rPr>
          <w:rFonts w:ascii="Times New Roman" w:hAnsi="Times New Roman"/>
          <w:b/>
          <w:i/>
          <w:color w:val="000000"/>
          <w:sz w:val="24"/>
        </w:rPr>
        <w:t>Release Effective Date</w:t>
      </w:r>
      <w:r>
        <w:rPr>
          <w:color w:val="000000"/>
        </w:rPr>
        <w:t>”</w:t>
      </w:r>
      <w:r>
        <w:rPr>
          <w:rFonts w:ascii="Times New Roman" w:hAnsi="Times New Roman"/>
          <w:color w:val="000000"/>
          <w:sz w:val="24"/>
        </w:rPr>
        <w:t>);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 (iv) Executive complies with all post-termination obligations under this Agreement and the Covenants Agreement; and (v) Executive complies with the terms of the Release, including without limitation any non-disparagement and confidentiality provisions contained in the Release.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239" w:after="283"/>
        <w:ind w:left="720" w:right="706" w:firstLine="216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39" w:after="283"/>
        <w:jc w:val="both"/>
        <w:rPr/>
      </w:pPr>
      <w:r>
        <w:rPr>
          <w:rFonts w:ascii="Times New Roman" w:hAnsi="Times New Roman"/>
          <w:color w:val="000000"/>
          <w:sz w:val="24"/>
        </w:rPr>
        <w:t>For purposes of this Agreement, “</w:t>
      </w:r>
      <w:r>
        <w:rPr>
          <w:rFonts w:ascii="Times New Roman" w:hAnsi="Times New Roman"/>
          <w:b/>
          <w:i/>
          <w:color w:val="000000"/>
          <w:sz w:val="24"/>
        </w:rPr>
        <w:t>Accrued Obligations</w:t>
      </w:r>
      <w:r>
        <w:rPr>
          <w:color w:val="000000"/>
        </w:rPr>
        <w:t xml:space="preserve">” </w:t>
      </w:r>
      <w:r>
        <w:rPr>
          <w:rFonts w:ascii="Times New Roman" w:hAnsi="Times New Roman"/>
          <w:color w:val="000000"/>
          <w:sz w:val="24"/>
        </w:rPr>
        <w:t>are (i) Executive’s accrued but unpaid salary and accrued but unused vacation days, each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pStyle w:val="TextBody"/>
        <w:bidi w:val="0"/>
        <w:spacing w:before="60" w:after="283"/>
        <w:ind w:left="720" w:right="720" w:firstLine="216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CIC Severance Benefits and Non-CIC Severance Benefits.</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For purposes of this Agreement, “</w:t>
      </w:r>
      <w:r>
        <w:rPr>
          <w:rFonts w:ascii="Times New Roman" w:hAnsi="Times New Roman"/>
          <w:b/>
          <w:i/>
          <w:color w:val="000000"/>
          <w:sz w:val="24"/>
        </w:rPr>
        <w:t>Good Reason</w:t>
      </w:r>
      <w:r>
        <w:rPr>
          <w:color w:val="000000"/>
        </w:rPr>
        <w:t xml:space="preserve">” </w:t>
      </w:r>
      <w:r>
        <w:rPr>
          <w:rFonts w:ascii="Times New Roman" w:hAnsi="Times New Roman"/>
          <w:color w:val="000000"/>
          <w:sz w:val="24"/>
        </w:rPr>
        <w:t xml:space="preserve">shall mean the occurrence of any of the following events without Executive’s consent: (i) a material reduction in Executive’s Base Salary of at least 10%, other than pursuant to a reduction proportionately affecting all of the Company’s other senior level executive employees; (ii) a material reduction in Executive’s duties, authority and responsibilities relative to Executive’s duties, authority, and responsibilities in effect immediately prior to such reduction; (iii) the relocation of Executive’s principal place of employment, without Executive’s consent, in a manner that lengthens Executive’s one-way commute distance by fifty (50) or more miles from Executive’s then-current principal place of employment immediately prior to such relocation; or (iv) any material breach of this Agreement by the Company; </w:t>
      </w:r>
      <w:r>
        <w:rPr>
          <w:rFonts w:ascii="Times New Roman" w:hAnsi="Times New Roman"/>
          <w:i/>
          <w:color w:val="000000"/>
          <w:sz w:val="24"/>
        </w:rPr>
        <w:t xml:space="preserve">provided, however, </w:t>
      </w:r>
      <w:r>
        <w:rPr>
          <w:rFonts w:ascii="Times New Roman" w:hAnsi="Times New Roman"/>
          <w:color w:val="000000"/>
          <w:sz w:val="24"/>
        </w:rPr>
        <w:t>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hAnsi="Times New Roman"/>
          <w:b/>
          <w:i/>
          <w:color w:val="000000"/>
          <w:sz w:val="24"/>
        </w:rPr>
        <w:t>Cure Period</w:t>
      </w:r>
      <w:r>
        <w:rPr>
          <w:color w:val="000000"/>
        </w:rPr>
        <w:t>”</w:t>
      </w:r>
      <w:r>
        <w:rPr>
          <w:rFonts w:ascii="Times New Roman" w:hAnsi="Times New Roman"/>
          <w:color w:val="000000"/>
          <w:sz w:val="24"/>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ind w:left="720" w:right="821" w:firstLine="1440"/>
        <w:jc w:val="left"/>
        <w:rPr>
          <w:rFonts w:ascii="Times New Roman" w:hAnsi="Times New Roman"/>
          <w:b/>
          <w:color w:val="000000"/>
          <w:sz w:val="24"/>
        </w:rPr>
      </w:pPr>
      <w:r>
        <w:rPr>
          <w:rFonts w:ascii="Times New Roman" w:hAnsi="Times New Roman"/>
          <w:b/>
          <w:color w:val="000000"/>
          <w:sz w:val="24"/>
        </w:rPr>
        <w:t>6.2</w:t>
      </w:r>
    </w:p>
    <w:p>
      <w:pPr>
        <w:pStyle w:val="TextBody"/>
        <w:bidi w:val="0"/>
        <w:spacing w:before="238" w:after="283"/>
        <w:jc w:val="left"/>
        <w:rPr/>
      </w:pPr>
      <w:r>
        <w:rPr>
          <w:rFonts w:ascii="Times New Roman" w:hAnsi="Times New Roman"/>
          <w:b/>
          <w:color w:val="000000"/>
          <w:sz w:val="24"/>
          <w:u w:val="single"/>
        </w:rPr>
        <w:t>Termination by the Company without Cause or Resignation by</w:t>
      </w:r>
      <w:r>
        <w:rPr>
          <w:color w:val="000000"/>
        </w:rPr>
        <w:t xml:space="preserve"> </w:t>
      </w:r>
      <w:r>
        <w:rPr>
          <w:rFonts w:ascii="Times New Roman" w:hAnsi="Times New Roman"/>
          <w:b/>
          <w:color w:val="000000"/>
          <w:sz w:val="24"/>
          <w:u w:val="single"/>
        </w:rPr>
        <w:t>Executive for Good Reason (in connection with a Change in Control)</w:t>
      </w:r>
      <w:r>
        <w:rPr>
          <w:rFonts w:ascii="Times New Roman" w:hAnsi="Times New Roman"/>
          <w:color w:val="000000"/>
          <w:sz w:val="24"/>
        </w:rPr>
        <w:t>.</w:t>
      </w:r>
    </w:p>
    <w:p>
      <w:pPr>
        <w:pStyle w:val="TextBody"/>
        <w:bidi w:val="0"/>
        <w:spacing w:before="60" w:after="283"/>
        <w:ind w:left="720" w:right="706" w:firstLine="216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60" w:after="283"/>
        <w:jc w:val="both"/>
        <w:rPr/>
      </w:pPr>
      <w:r>
        <w:rPr>
          <w:rFonts w:ascii="Times New Roman" w:hAnsi="Times New Roman"/>
          <w:color w:val="000000"/>
          <w:sz w:val="24"/>
        </w:rPr>
        <w:t>In the event that Executive’s employment is terminated without Cause or Executive resigns for Good Reason within twelve (12) months following the effective date of a Change in Control (“</w:t>
      </w:r>
      <w:r>
        <w:rPr>
          <w:rFonts w:ascii="Times New Roman" w:hAnsi="Times New Roman"/>
          <w:b/>
          <w:i/>
          <w:color w:val="000000"/>
          <w:sz w:val="24"/>
        </w:rPr>
        <w:t>Change in Control Measurement Period</w:t>
      </w:r>
      <w:r>
        <w:rPr>
          <w:color w:val="000000"/>
        </w:rPr>
        <w:t>”</w:t>
      </w:r>
      <w:r>
        <w:rPr>
          <w:rFonts w:ascii="Times New Roman" w:hAnsi="Times New Roman"/>
          <w:color w:val="000000"/>
          <w:sz w:val="24"/>
        </w:rPr>
        <w:t>) of the Company, then Executive shall be entitled to the Accrued Obligations and, subject to Executive’s full compliance with Section 6.1(c) above, including but not limited to the Release requirement and Executive’s continued compliance with obligations to the Company under Executive’s Covenants Agreement, then Executive will be eligible for the following “</w:t>
      </w:r>
      <w:r>
        <w:rPr>
          <w:rFonts w:ascii="Times New Roman" w:hAnsi="Times New Roman"/>
          <w:b/>
          <w:i/>
          <w:color w:val="000000"/>
          <w:sz w:val="24"/>
        </w:rPr>
        <w:t>CIC Severance Benefits</w:t>
      </w:r>
      <w:r>
        <w:rPr>
          <w:rFonts w:ascii="Times New Roman" w:hAnsi="Times New Roman"/>
          <w:color w:val="000000"/>
          <w:sz w:val="24"/>
        </w:rPr>
        <w:t>:”</w:t>
      </w:r>
    </w:p>
    <w:p>
      <w:pPr>
        <w:pStyle w:val="TextBody"/>
        <w:bidi w:val="0"/>
        <w:spacing w:before="240" w:after="283"/>
        <w:ind w:left="720" w:right="720" w:firstLine="288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Company will pay Executive an amount equal to Executive’s then current Base Salary for twelve (12) months, less all applicable withholdings and deductions, paid in equal installments beginning on the Company’s first regularly scheduled payroll date following the Release Effective Date, with the remaining installments occurring on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240" w:after="283"/>
        <w:ind w:left="720" w:right="720" w:hanging="0"/>
        <w:jc w:val="both"/>
        <w:rPr>
          <w:rFonts w:ascii="Times New Roman" w:hAnsi="Times New Roman"/>
          <w:color w:val="000000"/>
          <w:sz w:val="24"/>
        </w:rPr>
      </w:pPr>
      <w:r>
        <w:rPr>
          <w:rFonts w:ascii="Times New Roman" w:hAnsi="Times New Roman"/>
          <w:color w:val="000000"/>
          <w:sz w:val="24"/>
        </w:rPr>
        <w:t>the Company’s regularly scheduled payroll dates thereafter;</w:t>
      </w:r>
    </w:p>
    <w:p>
      <w:pPr>
        <w:pStyle w:val="TextBody"/>
        <w:bidi w:val="0"/>
        <w:spacing w:before="60" w:after="283"/>
        <w:ind w:left="720" w:right="706" w:firstLine="288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60" w:after="283"/>
        <w:jc w:val="both"/>
        <w:rPr/>
      </w:pPr>
      <w:r>
        <w:rPr>
          <w:rFonts w:ascii="Times New Roman" w:hAnsi="Times New Roman"/>
          <w:color w:val="000000"/>
          <w:sz w:val="24"/>
        </w:rPr>
        <w:t>Provided Executive or Executive’s covered dependents, as the case may be, timely elects continued coverage under COBRA, or state continuation coverage (as applicable), under the Company’s group health plans following such termination, the Company will pay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hAnsi="Times New Roman"/>
          <w:b/>
          <w:i/>
          <w:color w:val="000000"/>
          <w:sz w:val="24"/>
        </w:rPr>
        <w:t>CIC COBRA Payment Period</w:t>
      </w:r>
      <w:r>
        <w:rPr>
          <w:color w:val="000000"/>
        </w:rPr>
        <w:t>”</w:t>
      </w:r>
      <w:r>
        <w:rPr>
          <w:rFonts w:ascii="Times New Roman" w:hAnsi="Times New Roman"/>
          <w:color w:val="000000"/>
          <w:sz w:val="24"/>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or ERISA for benefits under plans and policies arising under Executive’s employment by the Company;</w:t>
      </w:r>
    </w:p>
    <w:p>
      <w:pPr>
        <w:pStyle w:val="TextBody"/>
        <w:bidi w:val="0"/>
        <w:spacing w:before="241" w:after="283"/>
        <w:ind w:left="720" w:right="706" w:firstLine="288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Company will make a lump sum cash payment to Executive in an amount equal to one (1) times the Target Percentage for the year in which the termination occurs, subject to standard deductions and withholdings, which will be paid in a lump sum on the sixtieth (60th) day following Executive’s date of Separation from Service; and</w:t>
      </w:r>
    </w:p>
    <w:p>
      <w:pPr>
        <w:pStyle w:val="TextBody"/>
        <w:bidi w:val="0"/>
        <w:spacing w:before="238" w:after="283"/>
        <w:ind w:left="720" w:right="720" w:firstLine="288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Effective as of Executive’s termination date, the vesting and exercisability of all outstanding equity awards held by Executive immediately prior to the termination date (if any) shall be accelerated in full.</w:t>
      </w:r>
    </w:p>
    <w:p>
      <w:pPr>
        <w:pStyle w:val="TextBody"/>
        <w:bidi w:val="0"/>
        <w:spacing w:before="241" w:after="283"/>
        <w:ind w:left="720" w:right="720" w:firstLine="216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1" w:after="283"/>
        <w:jc w:val="both"/>
        <w:rPr/>
      </w:pPr>
      <w:r>
        <w:rPr>
          <w:rFonts w:ascii="Times New Roman" w:hAnsi="Times New Roman"/>
          <w:color w:val="000000"/>
          <w:sz w:val="24"/>
        </w:rPr>
        <w:t>For purposes of this Agreement, a “</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shall have the meaning set forth in the 2021 Plan, as amended from time to time.</w:t>
      </w:r>
    </w:p>
    <w:p>
      <w:pPr>
        <w:pStyle w:val="TextBody"/>
        <w:bidi w:val="0"/>
        <w:spacing w:before="240" w:after="283"/>
        <w:ind w:left="2880" w:right="0" w:hanging="0"/>
        <w:jc w:val="left"/>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CIC Severance Benefits provided to Executive pursuant to this</w:t>
      </w:r>
    </w:p>
    <w:p>
      <w:pPr>
        <w:pStyle w:val="TextBody"/>
        <w:bidi w:val="0"/>
        <w:spacing w:before="60" w:after="283"/>
        <w:ind w:left="718" w:right="763" w:hanging="0"/>
        <w:jc w:val="left"/>
        <w:rPr>
          <w:rFonts w:ascii="Times New Roman" w:hAnsi="Times New Roman"/>
          <w:color w:val="000000"/>
          <w:sz w:val="24"/>
        </w:rPr>
      </w:pPr>
      <w:r>
        <w:rPr>
          <w:rFonts w:ascii="Times New Roman" w:hAnsi="Times New Roman"/>
          <w:color w:val="000000"/>
          <w:sz w:val="24"/>
        </w:rPr>
        <w:t>Section 6.2 are in lieu of, and not in addition to, any benefits to which Executive may otherwise be entitled under any Company severance plan, policy or program.</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pStyle w:val="TextBody"/>
        <w:bidi w:val="0"/>
        <w:spacing w:before="240" w:after="283"/>
        <w:ind w:left="2160" w:right="0" w:hanging="0"/>
        <w:jc w:val="both"/>
        <w:rPr>
          <w:rFonts w:ascii="Times New Roman" w:hAnsi="Times New Roman"/>
          <w:b/>
          <w:color w:val="000000"/>
          <w:sz w:val="24"/>
        </w:rPr>
      </w:pPr>
      <w:r>
        <w:rPr>
          <w:rFonts w:ascii="Times New Roman" w:hAnsi="Times New Roman"/>
          <w:b/>
          <w:color w:val="000000"/>
          <w:sz w:val="24"/>
        </w:rPr>
        <w:t>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Termination by the Company for Cause</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720" w:right="714" w:firstLine="1440"/>
        <w:jc w:val="both"/>
        <w:rPr>
          <w:rFonts w:ascii="Times New Roman" w:hAnsi="Times New Roman"/>
          <w:color w:val="000000"/>
          <w:sz w:val="24"/>
        </w:rPr>
      </w:pPr>
      <w:r>
        <w:rPr>
          <w:rFonts w:ascii="Times New Roman" w:hAnsi="Times New Roman"/>
          <w:color w:val="000000"/>
          <w:sz w:val="24"/>
        </w:rPr>
        <w:t>Subject to Section 6.3(b) below, the Company shall have the right to terminate Executive’s employment with the Company at any time for Cause by giving notice as described in Section 6.7 of this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 (v) refusal to follow or implement a clear and reasonable directive of the Company; (vi) negligence or incompetence in the performance of Executive’s duties after the expiration of ten (10) days without cure after written notice of such failure; or (vii) breach of fiduciary duty.</w:t>
      </w:r>
    </w:p>
    <w:p>
      <w:pPr>
        <w:pStyle w:val="TextBody"/>
        <w:bidi w:val="0"/>
        <w:spacing w:before="241" w:after="283"/>
        <w:ind w:left="720" w:right="706" w:firstLine="2160"/>
        <w:jc w:val="both"/>
        <w:rPr>
          <w:rFonts w:ascii="Times New Roman" w:hAnsi="Times New Roman"/>
          <w:b/>
          <w:color w:val="000000"/>
          <w:sz w:val="24"/>
        </w:rPr>
      </w:pPr>
      <w:r>
        <w:rPr>
          <w:rFonts w:ascii="Times New Roman" w:hAnsi="Times New Roman"/>
          <w:b/>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160" w:right="0" w:hanging="0"/>
        <w:jc w:val="left"/>
        <w:rPr>
          <w:rFonts w:ascii="Times New Roman" w:hAnsi="Times New Roman"/>
          <w:b/>
          <w:color w:val="000000"/>
          <w:sz w:val="24"/>
        </w:rPr>
      </w:pPr>
      <w:r>
        <w:rPr>
          <w:rFonts w:ascii="Times New Roman" w:hAnsi="Times New Roman"/>
          <w:b/>
          <w:color w:val="000000"/>
          <w:sz w:val="24"/>
        </w:rPr>
        <w:t>6.4</w:t>
      </w:r>
    </w:p>
    <w:p>
      <w:pPr>
        <w:pStyle w:val="TextBody"/>
        <w:bidi w:val="0"/>
        <w:spacing w:before="240" w:after="283"/>
        <w:jc w:val="left"/>
        <w:rPr/>
      </w:pPr>
      <w:r>
        <w:rPr>
          <w:rFonts w:ascii="Times New Roman" w:hAnsi="Times New Roman"/>
          <w:b/>
          <w:color w:val="000000"/>
          <w:sz w:val="24"/>
          <w:u w:val="single"/>
        </w:rPr>
        <w:t>Resignation by Executive (other than for Good Reason)</w:t>
      </w:r>
      <w:r>
        <w:rPr>
          <w:rFonts w:ascii="Times New Roman" w:hAnsi="Times New Roman"/>
          <w:color w:val="000000"/>
          <w:sz w:val="24"/>
        </w:rPr>
        <w:t>.</w:t>
      </w:r>
    </w:p>
    <w:p>
      <w:pPr>
        <w:pStyle w:val="TextBody"/>
        <w:bidi w:val="0"/>
        <w:spacing w:before="238" w:after="283"/>
        <w:ind w:left="720" w:right="720" w:firstLine="216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Executive may resign for any reason from Executive’s employment with the Company at any time by giving notice as described in Section 6.7.</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pStyle w:val="TextBody"/>
        <w:bidi w:val="0"/>
        <w:spacing w:before="242" w:after="283"/>
        <w:ind w:left="2160" w:right="0" w:hanging="0"/>
        <w:jc w:val="left"/>
        <w:rPr>
          <w:rFonts w:ascii="Times New Roman" w:hAnsi="Times New Roman"/>
          <w:b/>
          <w:color w:val="000000"/>
          <w:sz w:val="24"/>
        </w:rPr>
      </w:pPr>
      <w:r>
        <w:rPr>
          <w:rFonts w:ascii="Times New Roman" w:hAnsi="Times New Roman"/>
          <w:b/>
          <w:color w:val="000000"/>
          <w:sz w:val="24"/>
        </w:rPr>
        <w:t>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left"/>
        <w:rPr/>
      </w:pPr>
      <w:r>
        <w:rPr>
          <w:rFonts w:ascii="Times New Roman" w:hAnsi="Times New Roman"/>
          <w:b/>
          <w:color w:val="000000"/>
          <w:sz w:val="24"/>
          <w:u w:val="single"/>
        </w:rPr>
        <w:t>Termination by Virtue of Death or Disability of Executive</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ind w:left="720" w:right="706" w:firstLine="216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w:t>
      </w:r>
    </w:p>
    <w:p>
      <w:pPr>
        <w:pStyle w:val="TextBody"/>
        <w:bidi w:val="0"/>
        <w:spacing w:before="61" w:after="283"/>
        <w:ind w:left="2880" w:right="0" w:hanging="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61" w:after="283"/>
        <w:jc w:val="both"/>
        <w:rPr>
          <w:rFonts w:ascii="Times New Roman" w:hAnsi="Times New Roman"/>
          <w:color w:val="000000"/>
          <w:sz w:val="24"/>
        </w:rPr>
      </w:pPr>
      <w:r>
        <w:rPr>
          <w:rFonts w:ascii="Times New Roman" w:hAnsi="Times New Roman"/>
          <w:color w:val="000000"/>
          <w:sz w:val="24"/>
        </w:rPr>
        <w:t>Subject to applicable state and federal law, the Company shall at all</w:t>
      </w:r>
    </w:p>
    <w:p>
      <w:pPr>
        <w:pStyle w:val="TextBody"/>
        <w:bidi w:val="0"/>
        <w:spacing w:before="60" w:after="283"/>
        <w:ind w:left="718" w:right="712" w:hanging="0"/>
        <w:jc w:val="both"/>
        <w:rPr>
          <w:rFonts w:ascii="Times New Roman" w:hAnsi="Times New Roman"/>
          <w:sz w:val="20"/>
        </w:rPr>
      </w:pPr>
      <w:r>
        <w:rPr>
          <w:rFonts w:ascii="Times New Roman" w:hAnsi="Times New Roman"/>
          <w:color w:val="000000"/>
          <w:sz w:val="24"/>
        </w:rPr>
        <w:t>times have the right, upon written notice to the Executive, to terminate this Agreement based on Executive’s Disability (as defined below). Termination by the Company of Executive’s employment based on “</w:t>
      </w:r>
      <w:r>
        <w:rPr>
          <w:rFonts w:ascii="Times New Roman" w:hAnsi="Times New Roman"/>
          <w:b/>
          <w:i/>
          <w:color w:val="000000"/>
          <w:sz w:val="24"/>
        </w:rPr>
        <w:t>Disability</w:t>
      </w:r>
      <w:r>
        <w:rPr>
          <w:rFonts w:ascii="Times New Roman" w:hAnsi="Times New Roman"/>
          <w:color w:val="000000"/>
          <w:sz w:val="20"/>
        </w:rPr>
        <w:t xml:space="preserve">” </w:t>
      </w:r>
      <w:r>
        <w:rPr>
          <w:rFonts w:ascii="Times New Roman" w:hAnsi="Times New Roman"/>
          <w:color w:val="000000"/>
          <w:sz w:val="24"/>
        </w:rPr>
        <w:t>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w:t>
      </w:r>
    </w:p>
    <w:p>
      <w:pPr>
        <w:pStyle w:val="TextBody"/>
        <w:bidi w:val="0"/>
        <w:spacing w:before="240" w:after="283"/>
        <w:ind w:left="720" w:right="706" w:firstLine="1440"/>
        <w:jc w:val="both"/>
        <w:rPr>
          <w:rFonts w:ascii="Times New Roman" w:hAnsi="Times New Roman"/>
          <w:b/>
          <w:color w:val="000000"/>
          <w:sz w:val="24"/>
        </w:rPr>
      </w:pPr>
      <w:r>
        <w:rPr>
          <w:rFonts w:ascii="Times New Roman" w:hAnsi="Times New Roman"/>
          <w:b/>
          <w:color w:val="000000"/>
          <w:sz w:val="24"/>
        </w:rPr>
        <w:t>6.6</w:t>
      </w:r>
    </w:p>
    <w:p>
      <w:pPr>
        <w:pStyle w:val="TextBody"/>
        <w:bidi w:val="0"/>
        <w:spacing w:before="240" w:after="283"/>
        <w:jc w:val="both"/>
        <w:rPr/>
      </w:pPr>
      <w:r>
        <w:rPr>
          <w:rFonts w:ascii="Times New Roman" w:hAnsi="Times New Roman"/>
          <w:b/>
          <w:color w:val="000000"/>
          <w:sz w:val="24"/>
          <w:u w:val="single"/>
        </w:rPr>
        <w:t>Termination Due to Discontinuance of Business</w:t>
      </w:r>
      <w:r>
        <w:rPr>
          <w:rFonts w:ascii="Times New Roman" w:hAnsi="Times New Roman"/>
          <w:color w:val="000000"/>
          <w:sz w:val="24"/>
        </w:rPr>
        <w:t xml:space="preserve">. Anything in this Agreement to the contrary notwithstanding, in the event the Company’s business is discontinued because rendered impracticable by substantial financial losses, lack of funding, legal decisions,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administrative rulings, declaration of war, dissolution, national or local economic depression or crisis or any reasons beyond the control of the Company, then this Agreement shall terminate as of the day the Company determines to cease operation with the same force and effect as if such day of the month were originally set as the termination date hereof. In the event this Agreement is terminated pursuant to this Section 6.6, Executive will not receive the Non-CIC Severance Benefits, the CIC Severance Benefits, or any other severance compensation or benefit, except that, pursuant to the Company’s standard payroll policies, the Company shall provide to Executive the Accrued Obligations.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2160" w:right="0" w:hanging="0"/>
        <w:jc w:val="left"/>
        <w:rPr>
          <w:rFonts w:ascii="Times New Roman" w:hAnsi="Times New Roman"/>
          <w:b/>
          <w:color w:val="000000"/>
          <w:sz w:val="24"/>
        </w:rPr>
      </w:pPr>
      <w:r>
        <w:rPr>
          <w:rFonts w:ascii="Times New Roman" w:hAnsi="Times New Roman"/>
          <w:b/>
          <w:color w:val="000000"/>
          <w:sz w:val="24"/>
        </w:rPr>
        <w:t>6.7</w:t>
      </w:r>
    </w:p>
    <w:p>
      <w:pPr>
        <w:pStyle w:val="TextBody"/>
        <w:bidi w:val="0"/>
        <w:spacing w:before="241" w:after="283"/>
        <w:jc w:val="left"/>
        <w:rPr/>
      </w:pPr>
      <w:r>
        <w:rPr>
          <w:rFonts w:ascii="Times New Roman" w:hAnsi="Times New Roman"/>
          <w:b/>
          <w:color w:val="000000"/>
          <w:sz w:val="24"/>
          <w:u w:val="single"/>
        </w:rPr>
        <w:t>Notice; Effective Date of Termination</w:t>
      </w:r>
      <w:r>
        <w:rPr>
          <w:rFonts w:ascii="Times New Roman" w:hAnsi="Times New Roman"/>
          <w:color w:val="000000"/>
          <w:sz w:val="24"/>
        </w:rPr>
        <w:t>.</w:t>
      </w:r>
    </w:p>
    <w:p>
      <w:pPr>
        <w:pStyle w:val="TextBody"/>
        <w:bidi w:val="0"/>
        <w:spacing w:before="240" w:after="283"/>
        <w:ind w:left="720" w:right="720" w:firstLine="2160"/>
        <w:jc w:val="left"/>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left"/>
        <w:rPr/>
      </w:pPr>
      <w:r>
        <w:rPr>
          <w:rFonts w:ascii="Times New Roman" w:hAnsi="Times New Roman"/>
          <w:color w:val="000000"/>
          <w:sz w:val="24"/>
        </w:rPr>
        <w:t>Termination of Executive’s employment (the “</w:t>
      </w:r>
      <w:r>
        <w:rPr>
          <w:rFonts w:ascii="Times New Roman" w:hAnsi="Times New Roman"/>
          <w:b/>
          <w:i/>
          <w:color w:val="000000"/>
          <w:sz w:val="24"/>
        </w:rPr>
        <w:t>Separation Date</w:t>
      </w:r>
      <w:r>
        <w:rPr>
          <w:color w:val="000000"/>
        </w:rPr>
        <w:t>”</w:t>
      </w:r>
      <w:r>
        <w:rPr>
          <w:rFonts w:ascii="Times New Roman" w:hAnsi="Times New Roman"/>
          <w:color w:val="000000"/>
          <w:sz w:val="24"/>
        </w:rPr>
        <w:t>) pursuant to this Agreement shall be effective on the earliest of:</w:t>
      </w:r>
    </w:p>
    <w:p>
      <w:pPr>
        <w:pStyle w:val="TextBody"/>
        <w:bidi w:val="0"/>
        <w:spacing w:before="238" w:after="283"/>
        <w:ind w:left="720" w:right="706" w:firstLine="288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pStyle w:val="TextBody"/>
        <w:bidi w:val="0"/>
        <w:spacing w:before="242" w:after="283"/>
        <w:ind w:left="3600" w:right="0" w:hanging="0"/>
        <w:jc w:val="left"/>
        <w:rPr>
          <w:rFonts w:ascii="Times New Roman" w:hAnsi="Times New Roman"/>
          <w:b/>
          <w:color w:val="000000"/>
          <w:sz w:val="24"/>
        </w:rPr>
      </w:pPr>
      <w:r>
        <w:rPr>
          <w:rFonts w:ascii="Times New Roman" w:hAnsi="Times New Roman"/>
          <w:b/>
          <w:color w:val="000000"/>
          <w:sz w:val="24"/>
        </w:rPr>
        <w:t>(ii)</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immediately upon Executive’s death;</w:t>
      </w:r>
    </w:p>
    <w:p>
      <w:pPr>
        <w:pStyle w:val="TextBody"/>
        <w:bidi w:val="0"/>
        <w:spacing w:before="240" w:after="283"/>
        <w:ind w:left="720" w:right="706" w:firstLine="288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240" w:after="283"/>
        <w:jc w:val="both"/>
        <w:rPr/>
      </w:pPr>
      <w:r>
        <w:rPr>
          <w:rFonts w:ascii="Times New Roman" w:hAnsi="Times New Roman"/>
          <w:color w:val="000000"/>
          <w:sz w:val="24"/>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Times New Roman" w:hAnsi="Times New Roman"/>
          <w:i/>
          <w:color w:val="000000"/>
          <w:sz w:val="24"/>
        </w:rPr>
        <w:t xml:space="preserve">provided </w:t>
      </w:r>
      <w:r>
        <w:rPr>
          <w:rFonts w:ascii="Times New Roman" w:hAnsi="Times New Roman"/>
          <w:color w:val="000000"/>
          <w:sz w:val="24"/>
        </w:rPr>
        <w:t>that Executive has not returned to the full-time performance of Executive’s duties prior to such date;</w:t>
      </w:r>
    </w:p>
    <w:p>
      <w:pPr>
        <w:pStyle w:val="TextBody"/>
        <w:bidi w:val="0"/>
        <w:spacing w:before="237" w:after="283"/>
        <w:ind w:left="720" w:right="720" w:firstLine="288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237" w:after="283"/>
        <w:jc w:val="both"/>
        <w:rPr/>
      </w:pPr>
      <w:r>
        <w:rPr>
          <w:rFonts w:ascii="Times New Roman" w:hAnsi="Times New Roman"/>
          <w:color w:val="000000"/>
          <w:sz w:val="24"/>
        </w:rPr>
        <w:t xml:space="preserve">except as addressed by Section 6.7(a)(v), thirty (30) days (or such shorter period agreed to by the CEO and Executive in writing) after Executive gives written notice to the Company of Executive’s resignation for any reason, </w:t>
      </w:r>
      <w:r>
        <w:rPr>
          <w:rFonts w:ascii="Times New Roman" w:hAnsi="Times New Roman"/>
          <w:i/>
          <w:color w:val="000000"/>
          <w:sz w:val="24"/>
        </w:rPr>
        <w:t xml:space="preserve">provided </w:t>
      </w:r>
      <w:r>
        <w:rPr>
          <w:rFonts w:ascii="Times New Roman" w:hAnsi="Times New Roman"/>
          <w:color w:val="000000"/>
          <w:sz w:val="24"/>
        </w:rPr>
        <w:t>that the Company may set a Separation Date at any time between the date of notice and the date of resignation, in which case Executive’s resignation shall be effective as of such other date. Executive will receive compensation through any required notice period; or</w:t>
      </w:r>
    </w:p>
    <w:p>
      <w:pPr>
        <w:pStyle w:val="TextBody"/>
        <w:bidi w:val="0"/>
        <w:spacing w:before="60" w:after="283"/>
        <w:ind w:left="720" w:right="706" w:firstLine="2880"/>
        <w:jc w:val="left"/>
        <w:rPr>
          <w:rFonts w:ascii="Times New Roman" w:hAnsi="Times New Roman"/>
          <w:b/>
          <w:color w:val="000000"/>
          <w:sz w:val="24"/>
        </w:rPr>
      </w:pPr>
      <w:r>
        <w:rPr>
          <w:rFonts w:ascii="Times New Roman" w:hAnsi="Times New Roman"/>
          <w:b/>
          <w:color w:val="000000"/>
          <w:sz w:val="24"/>
        </w:rPr>
        <w:t>(v)</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for a termination for Good Reason, immediately upon Executive’s full satisfaction of the requirements of Section 6.1(g).</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notice of a termination under subsection (a)(i) is given orally, at the other party’s request, the party giving notice must provide written confirmation of such notice within five (5) business days of the request in compliance with the requirement of Section 7.1 below. In the event of a termination for Cause or a resignation for Good Reason, written confirmation shall specify the subsection(s) of the definition of Cause or the definition of Good Reason relied on to support the decision to terminate.</w:t>
      </w:r>
    </w:p>
    <w:p>
      <w:pPr>
        <w:pStyle w:val="TextBody"/>
        <w:bidi w:val="0"/>
        <w:spacing w:before="240" w:after="283"/>
        <w:ind w:left="720" w:right="706" w:firstLine="1440"/>
        <w:jc w:val="both"/>
        <w:rPr>
          <w:rFonts w:ascii="Times New Roman" w:hAnsi="Times New Roman"/>
          <w:b/>
          <w:color w:val="000000"/>
          <w:sz w:val="24"/>
        </w:rPr>
      </w:pPr>
      <w:r>
        <w:rPr>
          <w:rFonts w:ascii="Times New Roman" w:hAnsi="Times New Roman"/>
          <w:b/>
          <w:color w:val="000000"/>
          <w:sz w:val="24"/>
        </w:rPr>
        <w:t>6.8</w:t>
      </w:r>
    </w:p>
    <w:p>
      <w:pPr>
        <w:pStyle w:val="TextBody"/>
        <w:bidi w:val="0"/>
        <w:spacing w:before="240" w:after="283"/>
        <w:jc w:val="both"/>
        <w:rPr/>
      </w:pPr>
      <w:r>
        <w:rPr>
          <w:rFonts w:ascii="Times New Roman" w:hAnsi="Times New Roman"/>
          <w:b/>
          <w:color w:val="000000"/>
          <w:sz w:val="24"/>
          <w:u w:val="single"/>
        </w:rPr>
        <w:t>Cooperation With Company After Termination of Employment</w:t>
      </w:r>
      <w:r>
        <w:rPr>
          <w:rFonts w:ascii="Times New Roman" w:hAnsi="Times New Roman"/>
          <w:color w:val="000000"/>
          <w:sz w:val="24"/>
        </w:rPr>
        <w:t>.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pStyle w:val="TextBody"/>
        <w:bidi w:val="0"/>
        <w:spacing w:before="240" w:after="283"/>
        <w:ind w:left="720" w:right="720" w:firstLine="1440"/>
        <w:jc w:val="both"/>
        <w:rPr>
          <w:rFonts w:ascii="Times New Roman" w:hAnsi="Times New Roman"/>
          <w:b/>
          <w:color w:val="000000"/>
          <w:sz w:val="24"/>
        </w:rPr>
      </w:pPr>
      <w:r>
        <w:rPr>
          <w:rFonts w:ascii="Times New Roman" w:hAnsi="Times New Roman"/>
          <w:b/>
          <w:color w:val="000000"/>
          <w:sz w:val="24"/>
        </w:rPr>
        <w:t>6.9</w:t>
      </w:r>
    </w:p>
    <w:p>
      <w:pPr>
        <w:pStyle w:val="TextBody"/>
        <w:bidi w:val="0"/>
        <w:spacing w:before="240" w:after="283"/>
        <w:jc w:val="both"/>
        <w:rPr/>
      </w:pPr>
      <w:r>
        <w:rPr>
          <w:rFonts w:ascii="Times New Roman" w:hAnsi="Times New Roman"/>
          <w:b/>
          <w:color w:val="000000"/>
          <w:sz w:val="24"/>
          <w:u w:val="single"/>
        </w:rPr>
        <w:t>Effect of Termination</w:t>
      </w:r>
      <w:r>
        <w:rPr>
          <w:rFonts w:ascii="Times New Roman" w:hAnsi="Times New Roman"/>
          <w:color w:val="000000"/>
          <w:sz w:val="24"/>
        </w:rPr>
        <w:t>. Executive agrees that should Executive’s employment be terminated for any reason, Executive shall be deemed to have resigned from any and all positions with the Company and its subsidiaries.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240" w:after="283"/>
        <w:ind w:left="2160" w:right="0" w:hanging="0"/>
        <w:jc w:val="left"/>
        <w:rPr>
          <w:rFonts w:ascii="Times New Roman" w:hAnsi="Times New Roman"/>
          <w:b/>
          <w:color w:val="000000"/>
          <w:sz w:val="24"/>
        </w:rPr>
      </w:pPr>
      <w:r>
        <w:rPr>
          <w:rFonts w:ascii="Times New Roman" w:hAnsi="Times New Roman"/>
          <w:b/>
          <w:color w:val="000000"/>
          <w:sz w:val="24"/>
        </w:rPr>
        <w:t>6.10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4"/>
          <w:u w:val="single"/>
        </w:rPr>
        <w:t>Application of Section 409A</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rPr>
        <w:t>It is intended that all of the compensation payable under this Agreement, to the greatest extent possible, either complies with the requirements of Section 409A of the Internal Revenue Code of 1986, as amended (the “</w:t>
      </w:r>
      <w:r>
        <w:rPr>
          <w:rFonts w:ascii="Times New Roman" w:hAnsi="Times New Roman"/>
          <w:b/>
          <w:i/>
          <w:color w:val="000000"/>
          <w:sz w:val="24"/>
        </w:rPr>
        <w:t>Code</w:t>
      </w:r>
      <w:r>
        <w:rPr>
          <w:color w:val="000000"/>
        </w:rPr>
        <w:t>”</w:t>
      </w:r>
      <w:r>
        <w:rPr>
          <w:rFonts w:ascii="Times New Roman" w:hAnsi="Times New Roman"/>
          <w:color w:val="000000"/>
          <w:sz w:val="24"/>
        </w:rPr>
        <w:t>) and the regulations and other guidance thereunder and any state law of similar effect (collectively, “</w:t>
      </w:r>
      <w:r>
        <w:rPr>
          <w:rFonts w:ascii="Times New Roman" w:hAnsi="Times New Roman"/>
          <w:b/>
          <w:i/>
          <w:color w:val="000000"/>
          <w:sz w:val="24"/>
        </w:rPr>
        <w:t>Section 409A</w:t>
      </w:r>
      <w:r>
        <w:rPr>
          <w:color w:val="000000"/>
        </w:rPr>
        <w:t>”</w:t>
      </w:r>
      <w:r>
        <w:rPr>
          <w:rFonts w:ascii="Times New Roman" w:hAnsi="Times New Roman"/>
          <w:color w:val="000000"/>
          <w:sz w:val="24"/>
        </w:rPr>
        <w:t>) or satisfies one or more of the exemptions from the application of Section 409A, and this Agreement will be construed in a manner consistent with such intention, incorporating by reference all required definitions and payment terms.</w:t>
      </w:r>
    </w:p>
    <w:p>
      <w:pPr>
        <w:pStyle w:val="TextBody"/>
        <w:bidi w:val="0"/>
        <w:spacing w:before="241" w:after="283"/>
        <w:ind w:left="720" w:right="706" w:firstLine="216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pStyle w:val="TextBody"/>
        <w:bidi w:val="0"/>
        <w:spacing w:before="237" w:after="283"/>
        <w:ind w:left="720" w:right="706" w:firstLine="216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6.10(c); and (ii) commence paying the balance of the severance benefits in accordance with the applicable payment schedule set forth in Sections 6.1 and 6.2. No interest shall be due on any amounts deferred pursuant to this Section 6.10(c).</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w:t>
      </w:r>
    </w:p>
    <w:p>
      <w:pPr>
        <w:pStyle w:val="TextBody"/>
        <w:bidi w:val="0"/>
        <w:spacing w:before="241" w:after="283"/>
        <w:ind w:left="720" w:right="706" w:firstLine="216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 compliance with Section 409A.</w:t>
      </w:r>
    </w:p>
    <w:p>
      <w:pPr>
        <w:pStyle w:val="TextBody"/>
        <w:bidi w:val="0"/>
        <w:spacing w:before="238" w:after="283"/>
        <w:ind w:left="2160" w:right="0" w:hanging="0"/>
        <w:jc w:val="left"/>
        <w:rPr>
          <w:rFonts w:ascii="Times New Roman" w:hAnsi="Times New Roman"/>
          <w:b/>
          <w:color w:val="000000"/>
          <w:sz w:val="24"/>
        </w:rPr>
      </w:pPr>
      <w:r>
        <w:rPr>
          <w:rFonts w:ascii="Times New Roman" w:hAnsi="Times New Roman"/>
          <w:b/>
          <w:color w:val="000000"/>
          <w:sz w:val="24"/>
        </w:rPr>
        <w:t>6.11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left"/>
        <w:rPr/>
      </w:pPr>
      <w:r>
        <w:rPr>
          <w:rFonts w:ascii="Times New Roman" w:hAnsi="Times New Roman"/>
          <w:b/>
          <w:color w:val="000000"/>
          <w:sz w:val="24"/>
          <w:u w:val="single"/>
        </w:rPr>
        <w:t>Excise Tax Adjustment</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any payment or benefit Executive will or may receive from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240" w:after="283"/>
        <w:ind w:left="720" w:right="706" w:hanging="0"/>
        <w:jc w:val="both"/>
        <w:rPr/>
      </w:pPr>
      <w:r>
        <w:rPr>
          <w:rFonts w:ascii="Times New Roman" w:hAnsi="Times New Roman"/>
          <w:color w:val="000000"/>
          <w:sz w:val="24"/>
        </w:rPr>
        <w:t>Company or otherwise (a “</w:t>
      </w:r>
      <w:r>
        <w:rPr>
          <w:rFonts w:ascii="Times New Roman" w:hAnsi="Times New Roman"/>
          <w:b/>
          <w:i/>
          <w:color w:val="000000"/>
          <w:sz w:val="24"/>
        </w:rPr>
        <w:t>280G Payment</w:t>
      </w:r>
      <w:r>
        <w:rPr>
          <w:color w:val="000000"/>
        </w:rPr>
        <w:t>”</w:t>
      </w:r>
      <w:r>
        <w:rPr>
          <w:rFonts w:ascii="Times New Roman" w:hAnsi="Times New Roman"/>
          <w:color w:val="000000"/>
          <w:sz w:val="24"/>
        </w:rPr>
        <w:t>) would (i) constitute a “parachute payment” within the meaning of Section 280G of the Code, and (ii) but for this Section,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then any such 280G Payment provided pursuant to this Agreement (a “</w:t>
      </w:r>
      <w:r>
        <w:rPr>
          <w:rFonts w:ascii="Times New Roman" w:hAnsi="Times New Roman"/>
          <w:b/>
          <w:i/>
          <w:color w:val="000000"/>
          <w:sz w:val="24"/>
        </w:rPr>
        <w:t>Payment</w:t>
      </w:r>
      <w:r>
        <w:rPr>
          <w:color w:val="000000"/>
        </w:rPr>
        <w:t>”</w:t>
      </w:r>
      <w:r>
        <w:rPr>
          <w:rFonts w:ascii="Times New Roman" w:hAnsi="Times New Roman"/>
          <w:color w:val="000000"/>
          <w:sz w:val="24"/>
        </w:rPr>
        <w:t>) shall be equal to the Reduced Amount. The “</w:t>
      </w:r>
      <w:r>
        <w:rPr>
          <w:rFonts w:ascii="Times New Roman" w:hAnsi="Times New Roman"/>
          <w:b/>
          <w:i/>
          <w:color w:val="000000"/>
          <w:sz w:val="24"/>
        </w:rPr>
        <w:t>Reduced Amount</w:t>
      </w:r>
      <w:r>
        <w:rPr>
          <w:color w:val="000000"/>
        </w:rPr>
        <w:t xml:space="preserve">” </w:t>
      </w:r>
      <w:r>
        <w:rPr>
          <w:rFonts w:ascii="Times New Roman" w:hAnsi="Times New Roman"/>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4"/>
        </w:rPr>
        <w:t>Pro Rata Reduction Method</w:t>
      </w:r>
      <w:r>
        <w:rPr>
          <w:color w:val="000000"/>
        </w:rPr>
        <w:t>”</w:t>
      </w:r>
      <w:r>
        <w:rPr>
          <w:rFonts w:ascii="Times New Roman" w:hAnsi="Times New Roman"/>
          <w:color w:val="000000"/>
          <w:sz w:val="24"/>
        </w:rPr>
        <w:t>).</w:t>
      </w:r>
    </w:p>
    <w:p>
      <w:pPr>
        <w:pStyle w:val="TextBody"/>
        <w:bidi w:val="0"/>
        <w:spacing w:before="241" w:after="283"/>
        <w:ind w:left="720" w:right="706" w:firstLine="216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w:t>
      </w:r>
    </w:p>
    <w:p>
      <w:pPr>
        <w:pStyle w:val="TextBody"/>
        <w:bidi w:val="0"/>
        <w:ind w:left="718" w:right="714" w:hanging="0"/>
        <w:jc w:val="both"/>
        <w:rPr>
          <w:rFonts w:ascii="Times New Roman" w:hAnsi="Times New Roman"/>
          <w:sz w:val="20"/>
        </w:rPr>
      </w:pPr>
      <w:r>
        <w:rPr>
          <w:rFonts w:ascii="Times New Roman" w:hAnsi="Times New Roman"/>
          <w:color w:val="000000"/>
          <w:sz w:val="24"/>
        </w:rPr>
        <w:t>(B) as a second priority, Payments that are contingent on future events (</w:t>
      </w:r>
      <w:r>
        <w:rPr>
          <w:rFonts w:ascii="Times New Roman" w:hAnsi="Times New Roman"/>
          <w:i/>
          <w:color w:val="000000"/>
          <w:sz w:val="24"/>
        </w:rPr>
        <w:t>e.g.</w:t>
      </w:r>
      <w:r>
        <w:rPr>
          <w:rFonts w:ascii="Times New Roman" w:hAnsi="Times New Roman"/>
          <w:color w:val="000000"/>
          <w:sz w:val="24"/>
        </w:rPr>
        <w:t>, being terminated without Cause), shall be reduced (or eliminated) before Payments that are not contingent on future</w:t>
      </w:r>
    </w:p>
    <w:p>
      <w:pPr>
        <w:pStyle w:val="TextBody"/>
        <w:bidi w:val="0"/>
        <w:spacing w:before="60" w:after="283"/>
        <w:ind w:left="718" w:right="715" w:hanging="0"/>
        <w:jc w:val="both"/>
        <w:rPr>
          <w:rFonts w:ascii="Times New Roman" w:hAnsi="Times New Roman"/>
          <w:color w:val="000000"/>
          <w:sz w:val="24"/>
        </w:rPr>
      </w:pPr>
      <w:r>
        <w:rPr>
          <w:rFonts w:ascii="Times New Roman" w:hAnsi="Times New Roman"/>
          <w:color w:val="000000"/>
          <w:sz w:val="24"/>
        </w:rPr>
        <w:t>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Executive receives a Payment for which the Reduced Amount was determined pursuant to clause (x) of Section 6.11(a) and the Internal Revenue Service determines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240" w:after="283"/>
        <w:ind w:left="720" w:right="706" w:hanging="0"/>
        <w:jc w:val="both"/>
        <w:rPr>
          <w:rFonts w:ascii="Times New Roman" w:hAnsi="Times New Roman"/>
          <w:color w:val="000000"/>
          <w:sz w:val="24"/>
        </w:rPr>
      </w:pPr>
      <w:r>
        <w:rPr>
          <w:rFonts w:ascii="Times New Roman" w:hAnsi="Times New Roman"/>
          <w:color w:val="000000"/>
          <w:sz w:val="24"/>
        </w:rPr>
        <w:t>Section 6.11(a), Executive shall have no obligation to return any portion of the Payment pursuant to the preceding sentence.</w:t>
      </w:r>
    </w:p>
    <w:p>
      <w:pPr>
        <w:pStyle w:val="TextBody"/>
        <w:bidi w:val="0"/>
        <w:spacing w:before="241" w:after="283"/>
        <w:ind w:left="1440" w:right="0" w:hanging="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241" w:after="283"/>
        <w:jc w:val="left"/>
        <w:rPr/>
      </w:pPr>
      <w:r>
        <w:rPr>
          <w:rFonts w:ascii="Times New Roman" w:hAnsi="Times New Roman"/>
          <w:b/>
          <w:color w:val="000000"/>
          <w:sz w:val="24"/>
          <w:u w:val="single"/>
        </w:rPr>
        <w:t>GENERAL PROVISIONS</w:t>
      </w:r>
      <w:r>
        <w:rPr>
          <w:rFonts w:ascii="Times New Roman" w:hAnsi="Times New Roman"/>
          <w:color w:val="000000"/>
          <w:sz w:val="24"/>
        </w:rPr>
        <w:t>.</w:t>
      </w:r>
    </w:p>
    <w:p>
      <w:pPr>
        <w:pStyle w:val="TextBody"/>
        <w:bidi w:val="0"/>
        <w:spacing w:before="237" w:after="283"/>
        <w:ind w:left="720" w:right="706" w:firstLine="14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237" w:after="283"/>
        <w:jc w:val="both"/>
        <w:rPr/>
      </w:pPr>
      <w:r>
        <w:rPr>
          <w:rFonts w:ascii="Times New Roman" w:hAnsi="Times New Roman"/>
          <w:b/>
          <w:color w:val="000000"/>
          <w:sz w:val="24"/>
          <w:u w:val="single"/>
        </w:rPr>
        <w:t>Notices</w:t>
      </w:r>
      <w:r>
        <w:rPr>
          <w:rFonts w:ascii="Times New Roman" w:hAnsi="Times New Roman"/>
          <w:color w:val="000000"/>
          <w:sz w:val="24"/>
        </w:rPr>
        <w:t>. Any notices required hereunder to be in writing shall be deemed effectively given: (a) upon personal delivery to the party to be notified, (b) when sent by electronic mail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Executive may designate by ten (10) days’ advance written notice to the other.</w:t>
      </w:r>
    </w:p>
    <w:p>
      <w:pPr>
        <w:pStyle w:val="TextBody"/>
        <w:bidi w:val="0"/>
        <w:spacing w:before="242" w:after="283"/>
        <w:ind w:left="720" w:right="706" w:firstLine="14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242" w:after="283"/>
        <w:jc w:val="both"/>
        <w:rPr/>
      </w:pPr>
      <w:r>
        <w:rPr>
          <w:rFonts w:ascii="Times New Roman" w:hAnsi="Times New Roman"/>
          <w:b/>
          <w:color w:val="000000"/>
          <w:sz w:val="24"/>
          <w:u w:val="single"/>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60" w:after="283"/>
        <w:ind w:left="720" w:right="706" w:firstLine="14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60" w:after="283"/>
        <w:jc w:val="both"/>
        <w:rPr/>
      </w:pPr>
      <w:r>
        <w:rPr>
          <w:rFonts w:ascii="Times New Roman" w:hAnsi="Times New Roman"/>
          <w:b/>
          <w:color w:val="000000"/>
          <w:sz w:val="24"/>
          <w:u w:val="single"/>
        </w:rPr>
        <w:t>Waiver</w:t>
      </w:r>
      <w:r>
        <w:rPr>
          <w:rFonts w:ascii="Times New Roman" w:hAnsi="Times New Roman"/>
          <w:color w:val="000000"/>
          <w:sz w:val="24"/>
        </w:rPr>
        <w:t>. If either party should waive any breach of any provisions of this Agreement, such party shall not thereby be deemed to have waived any preceding or succeeding breach of the same or any other provision of this Agreement.</w:t>
      </w:r>
    </w:p>
    <w:p>
      <w:pPr>
        <w:pStyle w:val="TextBody"/>
        <w:bidi w:val="0"/>
        <w:spacing w:before="240" w:after="283"/>
        <w:ind w:left="720" w:right="706" w:firstLine="14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240" w:after="283"/>
        <w:jc w:val="both"/>
        <w:rPr/>
      </w:pPr>
      <w:r>
        <w:rPr>
          <w:rFonts w:ascii="Times New Roman" w:hAnsi="Times New Roman"/>
          <w:b/>
          <w:color w:val="000000"/>
          <w:sz w:val="24"/>
          <w:u w:val="single"/>
        </w:rPr>
        <w:t>Complete Agreement</w:t>
      </w:r>
      <w:r>
        <w:rPr>
          <w:rFonts w:ascii="Times New Roman" w:hAnsi="Times New Roman"/>
          <w:color w:val="000000"/>
          <w:sz w:val="24"/>
        </w:rPr>
        <w:t>. This Agreement, and the Covenants Agreements, constitute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Covenants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pStyle w:val="TextBody"/>
        <w:bidi w:val="0"/>
        <w:spacing w:before="240" w:after="283"/>
        <w:ind w:left="720" w:right="706" w:firstLine="14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240" w:after="283"/>
        <w:jc w:val="both"/>
        <w:rPr/>
      </w:pPr>
      <w:r>
        <w:rPr>
          <w:rFonts w:ascii="Times New Roman" w:hAnsi="Times New Roman"/>
          <w:b/>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w:t>
      </w:r>
    </w:p>
    <w:p>
      <w:pPr>
        <w:pStyle w:val="TextBody"/>
        <w:bidi w:val="0"/>
        <w:spacing w:before="241" w:after="283"/>
        <w:ind w:left="720" w:right="720" w:firstLine="14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241" w:after="283"/>
        <w:jc w:val="both"/>
        <w:rPr/>
      </w:pPr>
      <w:r>
        <w:rPr>
          <w:rFonts w:ascii="Times New Roman" w:hAnsi="Times New Roman"/>
          <w:b/>
          <w:color w:val="000000"/>
          <w:sz w:val="24"/>
          <w:u w:val="single"/>
        </w:rPr>
        <w:t>Headings</w:t>
      </w:r>
      <w:r>
        <w:rPr>
          <w:rFonts w:ascii="Times New Roman" w:hAnsi="Times New Roman"/>
          <w:color w:val="000000"/>
          <w:sz w:val="24"/>
        </w:rPr>
        <w:t>. The headings of the sections hereof are inserted for convenience only and shall not be deemed to constitute a part hereof nor to affect the meaning thereof.</w:t>
      </w:r>
    </w:p>
    <w:p>
      <w:pPr>
        <w:pStyle w:val="TextBody"/>
        <w:bidi w:val="0"/>
        <w:spacing w:before="240" w:after="283"/>
        <w:ind w:left="720" w:right="706" w:firstLine="14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240" w:after="283"/>
        <w:jc w:val="both"/>
        <w:rPr/>
      </w:pPr>
      <w:r>
        <w:rPr>
          <w:rFonts w:ascii="Times New Roman" w:hAnsi="Times New Roman"/>
          <w:b/>
          <w:color w:val="000000"/>
          <w:sz w:val="24"/>
          <w:u w:val="single"/>
        </w:rPr>
        <w:t>Successors and Assigns</w:t>
      </w:r>
      <w:r>
        <w:rPr>
          <w:rFonts w:ascii="Times New Roman" w:hAnsi="Times New Roman"/>
          <w:color w:val="000000"/>
          <w:sz w:val="24"/>
        </w:rPr>
        <w:t xml:space="preserve">.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240" w:after="283"/>
        <w:ind w:left="720" w:right="706" w:hanging="0"/>
        <w:jc w:val="both"/>
        <w:rPr>
          <w:rFonts w:ascii="Times New Roman" w:hAnsi="Times New Roman"/>
          <w:color w:val="000000"/>
          <w:sz w:val="24"/>
        </w:rPr>
      </w:pPr>
      <w:r>
        <w:rPr>
          <w:rFonts w:ascii="Times New Roman" w:hAnsi="Times New Roman"/>
          <w:color w:val="000000"/>
          <w:sz w:val="24"/>
        </w:rPr>
        <w:t>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pStyle w:val="TextBody"/>
        <w:bidi w:val="0"/>
        <w:spacing w:before="239" w:after="283"/>
        <w:ind w:left="720" w:right="720" w:firstLine="1440"/>
        <w:jc w:val="both"/>
        <w:rPr>
          <w:rFonts w:ascii="Times New Roman" w:hAnsi="Times New Roman"/>
          <w:b/>
          <w:color w:val="000000"/>
          <w:sz w:val="24"/>
        </w:rPr>
      </w:pPr>
      <w:r>
        <w:rPr>
          <w:rFonts w:ascii="Times New Roman" w:hAnsi="Times New Roman"/>
          <w:b/>
          <w:color w:val="000000"/>
          <w:sz w:val="24"/>
        </w:rPr>
        <w:t>7.8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4"/>
          <w:u w:val="single"/>
        </w:rPr>
        <w:t>Choice of Law</w:t>
      </w:r>
      <w:r>
        <w:rPr>
          <w:rFonts w:ascii="Times New Roman" w:hAnsi="Times New Roman"/>
          <w:color w:val="000000"/>
          <w:sz w:val="24"/>
        </w:rPr>
        <w:t>. All questions concerning the construction, validity and interpretation of this Agreement will be governed by the law of the Commonwealth of Massachusetts.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160" w:right="0" w:hanging="0"/>
        <w:jc w:val="left"/>
        <w:rPr>
          <w:rFonts w:ascii="Times New Roman" w:hAnsi="Times New Roman"/>
          <w:b/>
          <w:color w:val="000000"/>
          <w:sz w:val="24"/>
        </w:rPr>
      </w:pPr>
      <w:r>
        <w:rPr>
          <w:rFonts w:ascii="Times New Roman" w:hAnsi="Times New Roman"/>
          <w:b/>
          <w:color w:val="000000"/>
          <w:sz w:val="24"/>
        </w:rPr>
        <w:t>7.9</w:t>
      </w:r>
    </w:p>
    <w:p>
      <w:pPr>
        <w:pStyle w:val="TextBody"/>
        <w:bidi w:val="0"/>
        <w:spacing w:before="240" w:after="283"/>
        <w:jc w:val="left"/>
        <w:rPr/>
      </w:pPr>
      <w:r>
        <w:rPr>
          <w:rFonts w:ascii="Times New Roman" w:hAnsi="Times New Roman"/>
          <w:b/>
          <w:color w:val="000000"/>
          <w:sz w:val="24"/>
          <w:u w:val="single"/>
        </w:rPr>
        <w:t>Resolution of Disputes</w:t>
      </w:r>
      <w:r>
        <w:rPr>
          <w:rFonts w:ascii="Times New Roman" w:hAnsi="Times New Roman"/>
          <w:color w:val="000000"/>
          <w:sz w:val="24"/>
        </w:rPr>
        <w:t>.</w:t>
      </w:r>
    </w:p>
    <w:p>
      <w:pPr>
        <w:pStyle w:val="TextBody"/>
        <w:bidi w:val="0"/>
        <w:spacing w:before="240" w:after="283"/>
        <w:ind w:left="720" w:right="720" w:firstLine="216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rPr>
        <w:t xml:space="preserve">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or Executive’s employment, or the termination of Executive’s employment, including but not limited to all statutory claims, will be resolved pursuant to the Federal Arbitration Act, 9 U.S.C. §1-16, and to the fullest extent permitted by law, by final, binding and confidential arbitration by a single arbitrator conducted in </w:t>
      </w:r>
      <w:r>
        <w:rPr>
          <w:rFonts w:ascii="Times New Roman" w:hAnsi="Times New Roman"/>
          <w:b/>
          <w:i/>
          <w:color w:val="000000"/>
          <w:sz w:val="24"/>
        </w:rPr>
        <w:t xml:space="preserve">Boston, Massachusetts </w:t>
      </w:r>
      <w:r>
        <w:rPr>
          <w:rFonts w:ascii="Times New Roman" w:hAnsi="Times New Roman"/>
          <w:color w:val="000000"/>
          <w:sz w:val="24"/>
        </w:rPr>
        <w:t>by Judicial Arbitration and Mediation Services Inc. (“</w:t>
      </w:r>
      <w:r>
        <w:rPr>
          <w:rFonts w:ascii="Times New Roman" w:hAnsi="Times New Roman"/>
          <w:b/>
          <w:i/>
          <w:color w:val="000000"/>
          <w:sz w:val="24"/>
        </w:rPr>
        <w:t>JAMS</w:t>
      </w:r>
      <w:r>
        <w:rPr>
          <w:color w:val="000000"/>
        </w:rPr>
        <w:t>”</w:t>
      </w:r>
      <w:r>
        <w:rPr>
          <w:rFonts w:ascii="Times New Roman" w:hAnsi="Times New Roman"/>
          <w:color w:val="000000"/>
          <w:sz w:val="24"/>
        </w:rPr>
        <w:t xml:space="preserve">) under the then applicable JAMS rules (at the following web address: </w:t>
      </w:r>
      <w:r>
        <w:rPr>
          <w:rFonts w:ascii="Times New Roman" w:hAnsi="Times New Roman"/>
          <w:color w:val="000000"/>
          <w:sz w:val="24"/>
          <w:u w:val="single"/>
        </w:rPr>
        <w:t>https://</w:t>
      </w:r>
      <w:r>
        <w:rPr>
          <w:rFonts w:ascii="Times New Roman" w:hAnsi="Times New Roman"/>
          <w:sz w:val="24"/>
        </w:rPr>
        <w:t>www.jamsadr.com/rules-employment-arbitration/);</w:t>
      </w:r>
      <w:r>
        <w:rPr>
          <w:color w:val="000000"/>
        </w:rPr>
        <w:t xml:space="preserve"> </w:t>
      </w:r>
      <w:r>
        <w:rPr>
          <w:rFonts w:ascii="Times New Roman" w:hAnsi="Times New Roman"/>
          <w:color w:val="000000"/>
          <w:sz w:val="24"/>
        </w:rPr>
        <w:t>provided, however, this arbitration provision shall not apply to sexual harassment claims to the extent prohibited by applicable law. A hard copy of the rules will be provided to Executive upon request.</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b/>
          <w:color w:val="000000"/>
          <w:sz w:val="24"/>
        </w:rPr>
        <w:t>By agreeing to this arbitration procedure, both Executive and the Company waive the right to resolve any such dispute through a trial by jury or judge or administrative proceeding</w:t>
      </w:r>
      <w:r>
        <w:rPr>
          <w:rFonts w:ascii="Times New Roman" w:hAnsi="Times New Roman"/>
          <w:color w:val="000000"/>
          <w:sz w:val="24"/>
        </w:rPr>
        <w:t>. In addition, all claims, 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Except as modified in the Covenants Agreements, each party is responsible for its own attorneys’ fees.</w:t>
      </w:r>
    </w:p>
    <w:p>
      <w:pPr>
        <w:pStyle w:val="TextBody"/>
        <w:bidi w:val="0"/>
        <w:spacing w:before="237" w:after="283"/>
        <w:ind w:left="720" w:right="706" w:firstLine="216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37" w:after="283"/>
        <w:jc w:val="both"/>
        <w:rPr/>
      </w:pPr>
      <w:r>
        <w:rPr>
          <w:rFonts w:ascii="Times New Roman" w:hAnsi="Times New Roman"/>
          <w:color w:val="000000"/>
          <w:sz w:val="24"/>
        </w:rPr>
        <w:t xml:space="preserve">Claims with respect to a threatened or actual breach of the Covenants Agreement or with respect to the Company’s contractual, common law or statutory rights regarding the protection of trade secrets and/or confidential and proprietary information, are expressly </w:t>
      </w:r>
      <w:r>
        <w:rPr>
          <w:rFonts w:ascii="Times New Roman" w:hAnsi="Times New Roman"/>
          <w:color w:val="000000"/>
          <w:sz w:val="24"/>
          <w:u w:val="single"/>
        </w:rPr>
        <w:t>excluded</w:t>
      </w:r>
      <w:r>
        <w:rPr>
          <w:color w:val="000000"/>
        </w:rPr>
        <w:t xml:space="preserve"> </w:t>
      </w:r>
      <w:r>
        <w:rPr>
          <w:rFonts w:ascii="Times New Roman" w:hAnsi="Times New Roman"/>
          <w:color w:val="000000"/>
          <w:sz w:val="24"/>
        </w:rPr>
        <w:t xml:space="preserve">from the requirements of this Section 7.9. Accordingly, nothing in this Section 7.9 is intended to prevent or shall prevent the Company from instituting legal action (including immediately seeking injunctive or other equitable relief) in a court of competent jurisdiction in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10.10</w:t>
      </w:r>
    </w:p>
    <w:p>
      <w:pPr>
        <w:pStyle w:val="TextBody"/>
        <w:bidi w:val="0"/>
        <w:spacing w:before="237" w:after="283"/>
        <w:ind w:left="720" w:right="706" w:hanging="0"/>
        <w:jc w:val="both"/>
        <w:rPr/>
      </w:pPr>
      <w:r>
        <w:rPr>
          <w:rFonts w:ascii="Times New Roman" w:hAnsi="Times New Roman"/>
          <w:color w:val="000000"/>
          <w:sz w:val="24"/>
        </w:rPr>
        <w:t>connection with Executive’s threatened or actual breach of the Covenants Agreement, or otherwise in connection with the Company’s contractual, common law or statutory rights regarding the protection of its trade secrets and confidential and proprietary information</w:t>
      </w:r>
      <w:r>
        <w:rPr>
          <w:rFonts w:ascii="Times New Roman" w:hAnsi="Times New Roman"/>
          <w:color w:val="000000"/>
          <w:sz w:val="23"/>
        </w:rPr>
        <w:t>.</w:t>
      </w:r>
    </w:p>
    <w:p>
      <w:pPr>
        <w:pStyle w:val="TextBody"/>
        <w:bidi w:val="0"/>
        <w:spacing w:before="240" w:after="283"/>
        <w:ind w:left="720" w:right="706" w:firstLine="216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extent applicable law prohibits mandatory arbitration of sexual harassment claims, in the event Executive intends to bring multiple claims, including a sexual harassment claim, the sexual harassment claim may be publicly-filed with a court, while any other claims will remain subject to mandatory arbitration.</w:t>
      </w:r>
    </w:p>
    <w:p>
      <w:pPr>
        <w:pStyle w:val="Heading1"/>
        <w:bidi w:val="0"/>
        <w:spacing w:before="240" w:after="283"/>
        <w:ind w:left="465" w:right="467" w:hanging="0"/>
        <w:jc w:val="center"/>
        <w:rPr>
          <w:rFonts w:ascii="Times New Roman" w:hAnsi="Times New Roman"/>
          <w:color w:val="000000"/>
          <w:sz w:val="24"/>
        </w:rPr>
      </w:pPr>
      <w:bookmarkStart w:id="41" w:name="xsignatures_to_follow_on_next_page_"/>
      <w:bookmarkEnd w:id="41"/>
      <w:r>
        <w:rPr>
          <w:rFonts w:ascii="Times New Roman" w:hAnsi="Times New Roman"/>
          <w:color w:val="000000"/>
          <w:sz w:val="24"/>
        </w:rPr>
        <w:t>[SIGNATURES TO FOLLOW ON NEXT 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ind w:left="720" w:right="763" w:firstLine="72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have executed this Employment Agreement on the day and year first written above.</w:t>
      </w:r>
    </w:p>
    <w:p>
      <w:pPr>
        <w:pStyle w:val="Heading1"/>
        <w:bidi w:val="0"/>
        <w:spacing w:before="240" w:after="283"/>
        <w:ind w:left="5040" w:right="0" w:hanging="0"/>
        <w:jc w:val="left"/>
        <w:rPr>
          <w:rFonts w:ascii="Times New Roman" w:hAnsi="Times New Roman"/>
          <w:color w:val="000000"/>
          <w:sz w:val="24"/>
        </w:rPr>
      </w:pPr>
      <w:bookmarkStart w:id="42" w:name="sensei_biotherapeutics__inc_"/>
      <w:bookmarkEnd w:id="42"/>
      <w:r>
        <w:rPr>
          <w:rFonts w:ascii="Times New Roman" w:hAnsi="Times New Roman"/>
          <w:color w:val="000000"/>
          <w:sz w:val="24"/>
        </w:rPr>
        <w:t>SENSEI BIOTHERAPEUTICS, INC.</w:t>
      </w:r>
    </w:p>
    <w:p>
      <w:pPr>
        <w:pStyle w:val="TextBody"/>
        <w:bidi w:val="0"/>
        <w:ind w:left="4320" w:right="0" w:firstLine="720"/>
        <w:jc w:val="left"/>
        <w:rPr/>
      </w:pPr>
      <w:r>
        <w:rPr/>
        <w:t> </w:t>
      </w:r>
    </w:p>
    <w:p>
      <w:pPr>
        <w:pStyle w:val="TextBody"/>
        <w:bidi w:val="0"/>
        <w:ind w:left="4320" w:right="0" w:firstLine="720"/>
        <w:jc w:val="left"/>
        <w:rPr>
          <w:rFonts w:ascii="Times New Roman" w:hAnsi="Times New Roman"/>
          <w:color w:val="000000"/>
          <w:sz w:val="24"/>
        </w:rPr>
      </w:pPr>
      <w:r>
        <w:rPr>
          <w:rFonts w:ascii="Times New Roman" w:hAnsi="Times New Roman"/>
          <w:color w:val="000000"/>
          <w:sz w:val="24"/>
        </w:rPr>
        <w:t xml:space="preserve">By: John Celebi </w:t>
      </w:r>
    </w:p>
    <w:p>
      <w:pPr>
        <w:pStyle w:val="TextBody"/>
        <w:bidi w:val="0"/>
        <w:ind w:left="4320" w:right="0" w:firstLine="720"/>
        <w:jc w:val="left"/>
        <w:rPr>
          <w:rFonts w:ascii="Times New Roman" w:hAnsi="Times New Roman"/>
          <w:color w:val="000000"/>
          <w:sz w:val="24"/>
          <w:u w:val="single"/>
        </w:rPr>
      </w:pPr>
      <w:r>
        <w:rPr>
          <w:rFonts w:ascii="Times New Roman" w:hAnsi="Times New Roman"/>
          <w:color w:val="000000"/>
          <w:sz w:val="24"/>
          <w:u w:val="single"/>
        </w:rPr>
        <w:t>/s/ John Celebi</w:t>
      </w:r>
    </w:p>
    <w:p>
      <w:pPr>
        <w:pStyle w:val="TextBody"/>
        <w:bidi w:val="0"/>
        <w:ind w:left="4320" w:right="0" w:firstLine="720"/>
        <w:jc w:val="left"/>
        <w:rPr>
          <w:rFonts w:ascii="Times New Roman" w:hAnsi="Times New Roman"/>
          <w:color w:val="000000"/>
          <w:sz w:val="24"/>
        </w:rPr>
      </w:pPr>
      <w:r>
        <w:rPr>
          <w:rFonts w:ascii="Times New Roman" w:hAnsi="Times New Roman"/>
          <w:color w:val="000000"/>
          <w:sz w:val="24"/>
        </w:rPr>
        <w:t>Its: President and CEO</w:t>
      </w:r>
    </w:p>
    <w:p>
      <w:pPr>
        <w:pStyle w:val="TextBody"/>
        <w:bidi w:val="0"/>
        <w:jc w:val="left"/>
        <w:rPr/>
      </w:pPr>
      <w:r>
        <w:rPr/>
        <w:t> </w:t>
      </w:r>
    </w:p>
    <w:p>
      <w:pPr>
        <w:pStyle w:val="TextBody"/>
        <w:bidi w:val="0"/>
        <w:spacing w:before="132" w:after="283"/>
        <w:jc w:val="left"/>
        <w:rPr/>
      </w:pPr>
      <w:r>
        <w:rPr/>
        <w:t> </w:t>
      </w:r>
    </w:p>
    <w:p>
      <w:pPr>
        <w:pStyle w:val="TextBody"/>
        <w:bidi w:val="0"/>
        <w:ind w:left="2160" w:right="2" w:hanging="0"/>
        <w:jc w:val="center"/>
        <w:rPr>
          <w:rFonts w:ascii="Times New Roman" w:hAnsi="Times New Roman"/>
          <w:sz w:val="20"/>
        </w:rPr>
      </w:pPr>
      <w:r>
        <w:rPr>
          <w:rFonts w:ascii="Times New Roman" w:hAnsi="Times New Roman"/>
          <w:color w:val="000000"/>
          <w:sz w:val="24"/>
        </w:rPr>
        <w:t xml:space="preserve">Executive: </w:t>
      </w:r>
      <w:r>
        <w:rPr>
          <w:rFonts w:ascii="Times New Roman" w:hAnsi="Times New Roman"/>
          <w:color w:val="000000"/>
          <w:sz w:val="24"/>
          <w:u w:val="single"/>
        </w:rPr>
        <w:t>/s/ Christopher Gerry</w:t>
      </w:r>
    </w:p>
    <w:p>
      <w:pPr>
        <w:pStyle w:val="TextBody"/>
        <w:bidi w:val="0"/>
        <w:ind w:left="2880" w:right="2" w:hanging="0"/>
        <w:jc w:val="center"/>
        <w:rPr>
          <w:rFonts w:ascii="Times New Roman" w:hAnsi="Times New Roman"/>
          <w:color w:val="000000"/>
          <w:sz w:val="24"/>
        </w:rPr>
      </w:pPr>
      <w:r>
        <w:rPr>
          <w:rFonts w:ascii="Times New Roman" w:hAnsi="Times New Roman"/>
          <w:color w:val="000000"/>
          <w:sz w:val="24"/>
        </w:rPr>
        <w:t>Christopher Gerry</w:t>
      </w:r>
    </w:p>
    <w:p>
      <w:pPr>
        <w:pStyle w:val="TextBody"/>
        <w:bidi w:val="0"/>
        <w:spacing w:before="138" w:after="283"/>
        <w:ind w:left="0" w:right="1036" w:hanging="0"/>
        <w:jc w:val="right"/>
        <w:rPr/>
      </w:pPr>
      <w:r>
        <w:rPr/>
        <w:t> </w:t>
      </w:r>
    </w:p>
    <w:p>
      <w:pPr>
        <w:pStyle w:val="TextBody"/>
        <w:bidi w:val="0"/>
        <w:spacing w:before="60" w:after="283"/>
        <w:ind w:left="720" w:right="763" w:firstLine="720"/>
        <w:jc w:val="left"/>
        <w:rPr>
          <w:rFonts w:ascii="Times New Roman" w:hAnsi="Times New Roman"/>
          <w:color w:val="000000"/>
          <w:sz w:val="24"/>
        </w:rPr>
      </w:pPr>
      <w:r>
        <w:rPr>
          <w:rFonts w:ascii="Times New Roman" w:hAnsi="Times New Roman"/>
          <w:color w:val="000000"/>
          <w:sz w:val="24"/>
        </w:rPr>
        <w:t xml:space="preserve">Date: 08/01/2024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snse-ex10_14.htm"/>
      <w:bookmarkStart w:id="44" w:name="kssnseex10_14"/>
      <w:bookmarkEnd w:id="43"/>
      <w:bookmarkEnd w:id="44"/>
      <w:r>
        <w:rPr/>
        <w:t> </w:t>
      </w:r>
      <w:r>
        <w:br w:type="page"/>
      </w:r>
    </w:p>
    <w:p>
      <w:pPr>
        <w:pStyle w:val="TextBody"/>
        <w:bidi w:val="0"/>
        <w:spacing w:before="14" w:after="283"/>
        <w:ind w:left="20" w:right="0" w:hanging="0"/>
        <w:jc w:val="right"/>
        <w:rPr>
          <w:rFonts w:ascii="Times New Roman" w:hAnsi="Times New Roman"/>
          <w:color w:val="7F7F7F"/>
          <w:sz w:val="20"/>
        </w:rPr>
      </w:pPr>
      <w:r>
        <w:rPr>
          <w:rFonts w:ascii="Times New Roman" w:hAnsi="Times New Roman"/>
          <w:color w:val="7F7F7F"/>
          <w:sz w:val="20"/>
        </w:rPr>
        <w:t>Exhibit 10.14</w:t>
      </w:r>
    </w:p>
    <w:p>
      <w:pPr>
        <w:pStyle w:val="TextBody"/>
        <w:bidi w:val="0"/>
        <w:spacing w:before="48" w:after="283"/>
        <w:jc w:val="left"/>
        <w:rPr/>
      </w:pPr>
      <w:r>
        <w:rPr/>
        <w:t> </w:t>
      </w:r>
    </w:p>
    <w:p>
      <w:pPr>
        <w:pStyle w:val="TextBody"/>
        <w:bidi w:val="0"/>
        <w:ind w:left="0" w:right="6840" w:hanging="0"/>
        <w:jc w:val="left"/>
        <w:rPr>
          <w:rFonts w:ascii="Times New Roman" w:hAnsi="Times New Roman"/>
          <w:color w:val="000000"/>
          <w:sz w:val="24"/>
        </w:rPr>
      </w:pPr>
      <w:r>
        <w:rPr>
          <w:rFonts w:ascii="Times New Roman" w:hAnsi="Times New Roman"/>
          <w:color w:val="000000"/>
          <w:sz w:val="24"/>
        </w:rPr>
        <w:t>February 17, 2026 Christopher W. Gerry</w:t>
      </w:r>
    </w:p>
    <w:p>
      <w:pPr>
        <w:pStyle w:val="Heading1"/>
        <w:bidi w:val="0"/>
        <w:spacing w:before="6" w:after="283"/>
        <w:jc w:val="left"/>
        <w:rPr>
          <w:rFonts w:ascii="Times New Roman" w:hAnsi="Times New Roman"/>
          <w:color w:val="000000"/>
          <w:sz w:val="24"/>
        </w:rPr>
      </w:pPr>
      <w:r>
        <w:rPr>
          <w:rFonts w:ascii="Times New Roman" w:hAnsi="Times New Roman"/>
          <w:color w:val="000000"/>
          <w:sz w:val="24"/>
        </w:rPr>
        <w:t>RE: AMENDMENT TO RETENTION AGREEMENT</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Dear Chris:</w:t>
      </w:r>
    </w:p>
    <w:p>
      <w:pPr>
        <w:pStyle w:val="TextBody"/>
        <w:bidi w:val="0"/>
        <w:spacing w:before="238" w:after="283"/>
        <w:ind w:left="0" w:right="352" w:hanging="0"/>
        <w:jc w:val="both"/>
        <w:rPr>
          <w:rFonts w:ascii="Times New Roman" w:hAnsi="Times New Roman"/>
          <w:color w:val="000000"/>
          <w:sz w:val="24"/>
        </w:rPr>
      </w:pPr>
      <w:r>
        <w:rPr>
          <w:rFonts w:ascii="Times New Roman" w:hAnsi="Times New Roman"/>
          <w:color w:val="000000"/>
          <w:sz w:val="24"/>
        </w:rPr>
        <w:t>This letter (this “Amendment”) amends that certain Retention Agreement and Offer of Additional Severance Eligibility between you and Sensei Biotherapeutics, Inc. (the “Company”) dated December 22, 2025 (the “Retention Agreement”). Capitalized terms not defined in this Amendment shall have the same meanings as set forth in the Retention Agreement or the Employment Agreement (as defined in the Retention Agreement).</w:t>
      </w:r>
    </w:p>
    <w:p>
      <w:pPr>
        <w:pStyle w:val="TextBody"/>
        <w:bidi w:val="0"/>
        <w:spacing w:before="238" w:after="283"/>
        <w:ind w:left="360" w:right="360" w:hanging="0"/>
        <w:jc w:val="left"/>
        <w:rPr>
          <w:rFonts w:ascii="Times New Roman" w:hAnsi="Times New Roman"/>
          <w:color w:val="000000"/>
          <w:sz w:val="24"/>
        </w:rPr>
      </w:pPr>
      <w:r>
        <w:rPr>
          <w:rFonts w:ascii="Times New Roman" w:hAnsi="Times New Roman"/>
          <w:color w:val="000000"/>
          <w:sz w:val="24"/>
        </w:rPr>
        <w:t>1.</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The section of the Retention Agreement titled “Second Retention Bonus” is hereby deleted in its entirety and replaced with the following:</w:t>
      </w:r>
    </w:p>
    <w:p>
      <w:pPr>
        <w:pStyle w:val="Heading2"/>
        <w:bidi w:val="0"/>
        <w:spacing w:before="229" w:after="283"/>
        <w:jc w:val="both"/>
        <w:rPr>
          <w:rFonts w:ascii="Times New Roman" w:hAnsi="Times New Roman"/>
          <w:i/>
          <w:color w:val="000000"/>
          <w:sz w:val="24"/>
        </w:rPr>
      </w:pPr>
      <w:r>
        <w:rPr>
          <w:rFonts w:ascii="Times New Roman" w:hAnsi="Times New Roman"/>
          <w:i/>
          <w:color w:val="000000"/>
          <w:sz w:val="24"/>
        </w:rPr>
        <w:t>Second Retention Bonus</w:t>
      </w:r>
    </w:p>
    <w:p>
      <w:pPr>
        <w:pStyle w:val="TextBody"/>
        <w:bidi w:val="0"/>
        <w:spacing w:before="237" w:after="283"/>
        <w:ind w:left="0" w:right="354" w:hanging="0"/>
        <w:jc w:val="both"/>
        <w:rPr>
          <w:rFonts w:ascii="Times New Roman" w:hAnsi="Times New Roman"/>
          <w:color w:val="000000"/>
          <w:sz w:val="24"/>
        </w:rPr>
      </w:pPr>
      <w:r>
        <w:rPr>
          <w:rFonts w:ascii="Times New Roman" w:hAnsi="Times New Roman"/>
          <w:color w:val="000000"/>
          <w:sz w:val="24"/>
        </w:rPr>
        <w:t>If you remain employed by the Company through the date of the Company’s next annual or special meeting of stockholders (the “Stockholder Meeting’), and provided you have not tendered your resignation before such date and the Company has not terminated your employment for Cause before the Stockholder Meeting, you will be entitled to receive a retention bonus equal to the sum of: (i) the aggregate of the cash severance payments described in Sections 6.2(a)(i) and 6.2(a)(iii) of the Employment Agreement, plus (ii) an amount equal to 1/12 of the Annual Bonus attributable to the 2026 calendar year, calculated at the full Modified Target Percentage, multiplied by the number of full months that you were employed by the Company in 2026 as of the Stockholder Meeting date (such total amount, the “Second Retention Bonus”). If earned, the Second Retention Bonus will be paid in a lump sum on the next regular payroll date following the Stockholder Meeting and will be subject to applicable payroll withholdings and deductions.</w:t>
      </w:r>
    </w:p>
    <w:p>
      <w:pPr>
        <w:pStyle w:val="TextBody"/>
        <w:bidi w:val="0"/>
        <w:spacing w:before="239" w:after="283"/>
        <w:ind w:left="0" w:right="350" w:hanging="0"/>
        <w:jc w:val="both"/>
        <w:rPr>
          <w:rFonts w:ascii="Times New Roman" w:hAnsi="Times New Roman"/>
          <w:color w:val="000000"/>
          <w:sz w:val="24"/>
        </w:rPr>
      </w:pPr>
      <w:r>
        <w:rPr>
          <w:rFonts w:ascii="Times New Roman" w:hAnsi="Times New Roman"/>
          <w:color w:val="000000"/>
          <w:sz w:val="24"/>
        </w:rPr>
        <w:t>If the Company terminates your employment without Cause or you terminate your employment for Good Reason, in either case, prior to the Stockholder Meeting, then, subject to your full compliance with Section 6.1(c) of the Employment Agreement, including but not limited to the Release requirement, and your continued compliance with your obligations to the Company under the Covenants Agreement, the Company will pay you the Second Retention Bonus (with clause (ii) above calculated based on the number of full months you were employed by the Company in 2026 as of the date of termination of your employment), less applicable taxes and withholdings. Such payment will be made on the next regular payroll date after the Release has become effective. For the avoidance of doubt, the Second Retention Bonus is in addition to (and not in lieu of) any severance benefits payable to you pursuant to the Employment Agreement in connection with such termination of employment.</w:t>
      </w:r>
    </w:p>
    <w:p>
      <w:pPr>
        <w:pStyle w:val="TextBody"/>
        <w:bidi w:val="0"/>
        <w:spacing w:before="240" w:after="283"/>
        <w:ind w:left="360" w:right="360" w:hanging="0"/>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section of the Retention Agreement titled “Additional Non-CIC Severance Benefit” is hereby deleted in its entirety.</w:t>
      </w:r>
    </w:p>
    <w:p>
      <w:pPr>
        <w:pStyle w:val="TextBody"/>
        <w:bidi w:val="0"/>
        <w:spacing w:before="80" w:after="283"/>
        <w:ind w:left="360" w:right="360" w:hanging="0"/>
        <w:jc w:val="left"/>
        <w:rPr>
          <w:rFonts w:ascii="Times New Roman" w:hAnsi="Times New Roman"/>
          <w:color w:val="000000"/>
          <w:sz w:val="24"/>
        </w:rPr>
      </w:pPr>
      <w:r>
        <w:rPr>
          <w:rFonts w:ascii="Times New Roman" w:hAnsi="Times New Roman"/>
          <w:color w:val="000000"/>
          <w:sz w:val="24"/>
        </w:rPr>
        <w:t>3.</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Except as expressly modified by this Amendment, all terms and conditions of the Retention Agreement remain in full force and effect.</w:t>
      </w:r>
    </w:p>
    <w:p>
      <w:pPr>
        <w:pStyle w:val="TextBody"/>
        <w:bidi w:val="0"/>
        <w:spacing w:before="239" w:after="283"/>
        <w:ind w:left="0" w:right="2721"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right"/>
        <w:rPr>
          <w:rFonts w:ascii="Times New Roman" w:hAnsi="Times New Roman"/>
          <w:color w:val="7F7F7F"/>
          <w:sz w:val="20"/>
        </w:rPr>
      </w:pPr>
      <w:r>
        <w:rPr>
          <w:rFonts w:ascii="Times New Roman" w:hAnsi="Times New Roman"/>
          <w:color w:val="7F7F7F"/>
          <w:sz w:val="20"/>
        </w:rPr>
        <w:t>Exhibit 10.14</w:t>
      </w:r>
    </w:p>
    <w:p>
      <w:pPr>
        <w:pStyle w:val="TextBody"/>
        <w:bidi w:val="0"/>
        <w:spacing w:before="239" w:after="283"/>
        <w:ind w:left="0" w:right="2721" w:hanging="0"/>
        <w:jc w:val="left"/>
        <w:rPr>
          <w:rFonts w:ascii="Times New Roman" w:hAnsi="Times New Roman"/>
          <w:color w:val="000000"/>
          <w:sz w:val="24"/>
        </w:rPr>
      </w:pPr>
      <w:r>
        <w:rPr>
          <w:rFonts w:ascii="Times New Roman" w:hAnsi="Times New Roman"/>
          <w:color w:val="000000"/>
          <w:sz w:val="24"/>
        </w:rPr>
        <w:t>If you would like to accept this Amendment, please sign below. Sincerely,</w:t>
      </w:r>
    </w:p>
    <w:p>
      <w:pPr>
        <w:pStyle w:val="TextBody"/>
        <w:bidi w:val="0"/>
        <w:jc w:val="left"/>
        <w:rPr>
          <w:rFonts w:ascii="Times New Roman" w:hAnsi="Times New Roman"/>
          <w:color w:val="000000"/>
          <w:sz w:val="24"/>
        </w:rPr>
      </w:pPr>
      <w:r>
        <w:rPr>
          <w:rFonts w:ascii="Times New Roman" w:hAnsi="Times New Roman"/>
          <w:color w:val="000000"/>
          <w:sz w:val="24"/>
        </w:rPr>
        <w:t>/s/ Bob Holmen</w:t>
      </w:r>
    </w:p>
    <w:p>
      <w:pPr>
        <w:pStyle w:val="TextBody"/>
        <w:bidi w:val="0"/>
        <w:spacing w:before="6"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Name: Bob Holmen</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Title: Chairman of the Board</w:t>
      </w:r>
    </w:p>
    <w:p>
      <w:pPr>
        <w:pStyle w:val="TextBody"/>
        <w:bidi w:val="0"/>
        <w:jc w:val="left"/>
        <w:rPr/>
      </w:pPr>
      <w:r>
        <w:rPr/>
        <w:t> </w:t>
      </w:r>
    </w:p>
    <w:p>
      <w:pPr>
        <w:pStyle w:val="TextBody"/>
        <w:bidi w:val="0"/>
        <w:spacing w:before="204"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Accepted and Agreed:</w:t>
      </w:r>
    </w:p>
    <w:p>
      <w:pPr>
        <w:pStyle w:val="TextBody"/>
        <w:bidi w:val="0"/>
        <w:jc w:val="left"/>
        <w:rPr/>
      </w:pPr>
      <w:r>
        <w:rPr/>
        <w:t> </w:t>
      </w:r>
    </w:p>
    <w:p>
      <w:pPr>
        <w:pStyle w:val="TextBody"/>
        <w:bidi w:val="0"/>
        <w:spacing w:before="179" w:after="283"/>
        <w:jc w:val="left"/>
        <w:rPr>
          <w:rFonts w:ascii="Times New Roman" w:hAnsi="Times New Roman"/>
          <w:color w:val="000000"/>
          <w:sz w:val="24"/>
        </w:rPr>
      </w:pPr>
      <w:r>
        <w:rPr>
          <w:rFonts w:ascii="Times New Roman" w:hAnsi="Times New Roman"/>
          <w:color w:val="000000"/>
          <w:sz w:val="24"/>
        </w:rPr>
        <w:t>/s/ Christopher Gerry</w:t>
      </w:r>
    </w:p>
    <w:p>
      <w:pPr>
        <w:pStyle w:val="TextBody"/>
        <w:bidi w:val="0"/>
        <w:spacing w:before="127" w:after="283"/>
        <w:jc w:val="left"/>
        <w:rPr>
          <w:rFonts w:ascii="Times New Roman" w:hAnsi="Times New Roman"/>
          <w:color w:val="000000"/>
          <w:sz w:val="24"/>
        </w:rPr>
      </w:pPr>
      <w:r>
        <w:rPr>
          <w:rFonts w:ascii="Times New Roman" w:hAnsi="Times New Roman"/>
          <w:color w:val="000000"/>
          <w:sz w:val="24"/>
        </w:rPr>
        <w:t>Christopher W. Gerry</w:t>
      </w:r>
    </w:p>
    <w:p>
      <w:pPr>
        <w:pStyle w:val="TextBody"/>
        <w:bidi w:val="0"/>
        <w:jc w:val="left"/>
        <w:rPr/>
      </w:pPr>
      <w:r>
        <w:rPr/>
        <w:t> </w:t>
      </w:r>
    </w:p>
    <w:p>
      <w:pPr>
        <w:pStyle w:val="TextBody"/>
        <w:bidi w:val="0"/>
        <w:spacing w:before="127" w:after="283"/>
        <w:jc w:val="left"/>
        <w:rPr>
          <w:rFonts w:ascii="Times New Roman" w:hAnsi="Times New Roman"/>
          <w:color w:val="000000"/>
          <w:sz w:val="24"/>
        </w:rPr>
      </w:pPr>
      <w:r>
        <w:rPr>
          <w:rFonts w:ascii="Times New Roman" w:hAnsi="Times New Roman"/>
          <w:color w:val="000000"/>
          <w:sz w:val="24"/>
        </w:rPr>
        <w:t>Date:2/17/2026</w:t>
      </w:r>
    </w:p>
    <w:p>
      <w:pPr>
        <w:pStyle w:val="TextBody"/>
        <w:bidi w:val="0"/>
        <w:jc w:val="left"/>
        <w:rPr/>
      </w:pPr>
      <w:r>
        <w:rPr/>
        <w:t> </w:t>
      </w:r>
    </w:p>
    <w:p>
      <w:pPr>
        <w:pStyle w:val="TextBody"/>
        <w:bidi w:val="0"/>
        <w:spacing w:before="18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snse-ex10_15.htm"/>
      <w:bookmarkStart w:id="46" w:name="kssnseex10_15"/>
      <w:bookmarkEnd w:id="45"/>
      <w:bookmarkEnd w:id="46"/>
      <w:r>
        <w:rPr/>
        <w:t> </w:t>
      </w:r>
      <w:r>
        <w:br w:type="page"/>
      </w:r>
    </w:p>
    <w:p>
      <w:pPr>
        <w:pStyle w:val="TextBody"/>
        <w:bidi w:val="0"/>
        <w:spacing w:before="14" w:after="283"/>
        <w:ind w:left="20" w:right="0" w:hanging="0"/>
        <w:jc w:val="right"/>
        <w:rPr>
          <w:rFonts w:ascii="Times New Roman" w:hAnsi="Times New Roman"/>
          <w:color w:val="7F7F7F"/>
          <w:sz w:val="20"/>
        </w:rPr>
      </w:pPr>
      <w:r>
        <w:rPr>
          <w:rFonts w:ascii="Times New Roman" w:hAnsi="Times New Roman"/>
          <w:color w:val="7F7F7F"/>
          <w:sz w:val="20"/>
        </w:rPr>
        <w:t>Exhibit 10.15</w:t>
      </w:r>
    </w:p>
    <w:p>
      <w:pPr>
        <w:pStyle w:val="TextBody"/>
        <w:bidi w:val="0"/>
        <w:spacing w:before="48" w:after="283"/>
        <w:jc w:val="left"/>
        <w:rPr/>
      </w:pPr>
      <w:r>
        <w:rPr/>
        <w:t> </w:t>
      </w:r>
    </w:p>
    <w:p>
      <w:pPr>
        <w:pStyle w:val="TextBody"/>
        <w:bidi w:val="0"/>
        <w:ind w:left="0" w:right="7403" w:hanging="0"/>
        <w:jc w:val="left"/>
        <w:rPr>
          <w:rFonts w:ascii="Times New Roman" w:hAnsi="Times New Roman"/>
          <w:color w:val="000000"/>
          <w:sz w:val="24"/>
        </w:rPr>
      </w:pPr>
      <w:r>
        <w:rPr>
          <w:rFonts w:ascii="Times New Roman" w:hAnsi="Times New Roman"/>
          <w:color w:val="000000"/>
          <w:sz w:val="24"/>
        </w:rPr>
        <w:t>February 17, 2026 Josiah Craver</w:t>
      </w:r>
    </w:p>
    <w:p>
      <w:pPr>
        <w:pStyle w:val="Heading1"/>
        <w:bidi w:val="0"/>
        <w:spacing w:before="6" w:after="283"/>
        <w:jc w:val="left"/>
        <w:rPr>
          <w:rFonts w:ascii="Times New Roman" w:hAnsi="Times New Roman"/>
          <w:color w:val="000000"/>
          <w:sz w:val="24"/>
        </w:rPr>
      </w:pPr>
      <w:r>
        <w:rPr>
          <w:rFonts w:ascii="Times New Roman" w:hAnsi="Times New Roman"/>
          <w:color w:val="000000"/>
          <w:sz w:val="24"/>
        </w:rPr>
        <w:t>RE: AMENDMENT TO RETENTION AGREEMENT</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Dear Josiah:</w:t>
      </w:r>
    </w:p>
    <w:p>
      <w:pPr>
        <w:pStyle w:val="TextBody"/>
        <w:bidi w:val="0"/>
        <w:spacing w:before="238" w:after="283"/>
        <w:ind w:left="0" w:right="351" w:hanging="0"/>
        <w:jc w:val="both"/>
        <w:rPr>
          <w:rFonts w:ascii="Times New Roman" w:hAnsi="Times New Roman"/>
          <w:color w:val="000000"/>
          <w:sz w:val="24"/>
        </w:rPr>
      </w:pPr>
      <w:r>
        <w:rPr>
          <w:rFonts w:ascii="Times New Roman" w:hAnsi="Times New Roman"/>
          <w:color w:val="000000"/>
          <w:sz w:val="24"/>
        </w:rPr>
        <w:t>This letter (this “Amendment”) amends that certain Retention Agreement and Offer of Additional Severance Eligibility between you and Sensei Biotherapeutics, Inc. (the “Company”) dated December 22, 2025 (the “Retention Agreement”). Capitalized terms not defined in this Amendment shall have the same meanings as set forth in the Retention Agreement or the Employment Agreement (as defined in the Retention Agreement).</w:t>
      </w:r>
    </w:p>
    <w:p>
      <w:pPr>
        <w:pStyle w:val="TextBody"/>
        <w:bidi w:val="0"/>
        <w:spacing w:before="238" w:after="283"/>
        <w:ind w:left="360" w:right="346" w:hanging="0"/>
        <w:jc w:val="left"/>
        <w:rPr>
          <w:rFonts w:ascii="Times New Roman" w:hAnsi="Times New Roman"/>
          <w:color w:val="000000"/>
          <w:sz w:val="24"/>
        </w:rPr>
      </w:pPr>
      <w:r>
        <w:rPr>
          <w:rFonts w:ascii="Times New Roman" w:hAnsi="Times New Roman"/>
          <w:color w:val="000000"/>
          <w:sz w:val="24"/>
        </w:rPr>
        <w:t>1.</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The section of the Retention Agreement titled “Second Retention Bonus” is hereby deleted in its entirety and replaced with the following:</w:t>
      </w:r>
    </w:p>
    <w:p>
      <w:pPr>
        <w:pStyle w:val="Heading2"/>
        <w:bidi w:val="0"/>
        <w:spacing w:before="229" w:after="283"/>
        <w:jc w:val="both"/>
        <w:rPr>
          <w:rFonts w:ascii="Times New Roman" w:hAnsi="Times New Roman"/>
          <w:i/>
          <w:color w:val="000000"/>
          <w:sz w:val="24"/>
        </w:rPr>
      </w:pPr>
      <w:r>
        <w:rPr>
          <w:rFonts w:ascii="Times New Roman" w:hAnsi="Times New Roman"/>
          <w:i/>
          <w:color w:val="000000"/>
          <w:sz w:val="24"/>
        </w:rPr>
        <w:t>Second Retention Bonus</w:t>
      </w:r>
    </w:p>
    <w:p>
      <w:pPr>
        <w:pStyle w:val="TextBody"/>
        <w:bidi w:val="0"/>
        <w:spacing w:before="237" w:after="283"/>
        <w:ind w:left="0" w:right="351" w:hanging="0"/>
        <w:jc w:val="both"/>
        <w:rPr>
          <w:rFonts w:ascii="Times New Roman" w:hAnsi="Times New Roman"/>
          <w:color w:val="000000"/>
          <w:sz w:val="24"/>
        </w:rPr>
      </w:pPr>
      <w:r>
        <w:rPr>
          <w:rFonts w:ascii="Times New Roman" w:hAnsi="Times New Roman"/>
          <w:color w:val="000000"/>
          <w:sz w:val="24"/>
        </w:rPr>
        <w:t>If you remain employed by the Company through the date of the Company’s next annual or special meeting of stockholders (the “Stockholder Meeting’), and provided you have not tendered your resignation before such date and the Company has not terminated your employment for Cause before the Stockholder Meeting, you will be entitled to receive a retention bonus equal to the sum of: (i) the aggregate of the cash severance payments described in Sections 6.2(a)(i) and 6.2(a)(iii) of the Employment Agreement, plus (ii) an amount equal to 1/12 of the Annual Bonus attributable to the 2026 calendar year, calculated at the full Modified Target Percentage, multiplied by the number of full months that you were employed by the Company in 2026 as of the Stockholder Meeting date (such total amount, the “Second Retention Bonus”). If earned, the Second Retention Bonus will be paid in a lump sum on the next regular payroll date following the Stockholder Meeting and will be subject to applicable payroll withholdings and deductions.</w:t>
      </w:r>
    </w:p>
    <w:p>
      <w:pPr>
        <w:pStyle w:val="TextBody"/>
        <w:bidi w:val="0"/>
        <w:spacing w:before="241" w:after="283"/>
        <w:ind w:left="0" w:right="357" w:hanging="0"/>
        <w:jc w:val="both"/>
        <w:rPr>
          <w:rFonts w:ascii="Times New Roman" w:hAnsi="Times New Roman"/>
          <w:color w:val="000000"/>
          <w:sz w:val="24"/>
        </w:rPr>
      </w:pPr>
      <w:r>
        <w:rPr>
          <w:rFonts w:ascii="Times New Roman" w:hAnsi="Times New Roman"/>
          <w:color w:val="000000"/>
          <w:sz w:val="24"/>
        </w:rPr>
        <w:t>If the Company terminates your employment without Cause or you terminate your employment for Good Reason, in either case, prior to the Stockholder Meeting, then, subject to your full compliance with Section 6.1(c) of the Employment Agreement, including but not limited to the Release requirement, and your continued compliance with your obligations to the Company under the Covenants Agreement, the Company will pay you the Second Retention Bonus (with clause (ii) above calculated based on the number of full months you were employed by the Company in 2026 as of the date of termination of your employment), less applicable taxes and withholdings. Such payment will be made on the next regular payroll date after the Release has become effective. For the avoidance of doubt, the Second Retention Bonus is in addition to (and not in lieu of) any severance benefits payable to you pursuant to the Employment Agreement in connection with such termination of employment.</w:t>
      </w:r>
    </w:p>
    <w:p>
      <w:pPr>
        <w:pStyle w:val="TextBody"/>
        <w:bidi w:val="0"/>
        <w:spacing w:before="239" w:after="283"/>
        <w:ind w:left="360" w:right="346" w:hanging="0"/>
        <w:jc w:val="left"/>
        <w:rPr>
          <w:rFonts w:ascii="Times New Roman" w:hAnsi="Times New Roman"/>
          <w:color w:val="000000"/>
          <w:sz w:val="24"/>
        </w:rPr>
      </w:pPr>
      <w:r>
        <w:rPr>
          <w:rFonts w:ascii="Times New Roman" w:hAnsi="Times New Roman"/>
          <w:color w:val="000000"/>
          <w:sz w:val="24"/>
        </w:rPr>
        <w:t>2.</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The section of the Retention Agreement titled “Additional Non-CIC Severance Benefit” is hereby deleted in its entirety.</w:t>
      </w:r>
    </w:p>
    <w:p>
      <w:pPr>
        <w:pStyle w:val="TextBody"/>
        <w:bidi w:val="0"/>
        <w:spacing w:before="80" w:after="283"/>
        <w:ind w:left="360" w:right="360" w:hanging="0"/>
        <w:jc w:val="left"/>
        <w:rPr>
          <w:rFonts w:ascii="Times New Roman" w:hAnsi="Times New Roman"/>
          <w:color w:val="000000"/>
          <w:sz w:val="24"/>
        </w:rPr>
      </w:pPr>
      <w:r>
        <w:rPr>
          <w:rFonts w:ascii="Times New Roman" w:hAnsi="Times New Roman"/>
          <w:color w:val="000000"/>
          <w:sz w:val="24"/>
        </w:rPr>
        <w:t>3.</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Except as expressly modified by this Amendment, all terms and conditions of the Retention Agreement remain in full force and effect.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If you would like to accept this Amendment, please sign below.</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right"/>
        <w:rPr>
          <w:rFonts w:ascii="Times New Roman" w:hAnsi="Times New Roman"/>
          <w:color w:val="7F7F7F"/>
          <w:sz w:val="20"/>
        </w:rPr>
      </w:pPr>
      <w:r>
        <w:rPr>
          <w:rFonts w:ascii="Times New Roman" w:hAnsi="Times New Roman"/>
          <w:color w:val="7F7F7F"/>
          <w:sz w:val="20"/>
        </w:rPr>
        <w:t>Exhibit 10.15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spacing w:before="6" w:after="283"/>
        <w:jc w:val="left"/>
        <w:rPr/>
      </w:pPr>
      <w:r>
        <w:rPr/>
        <w:t> </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/s/ Christopher Gerry</w:t>
      </w:r>
    </w:p>
    <w:p>
      <w:pPr>
        <w:pStyle w:val="TextBody"/>
        <w:bidi w:val="0"/>
        <w:spacing w:before="6"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Name: Christopher Gerry</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Title: President and General Counsel</w:t>
      </w:r>
    </w:p>
    <w:p>
      <w:pPr>
        <w:pStyle w:val="TextBody"/>
        <w:bidi w:val="0"/>
        <w:jc w:val="left"/>
        <w:rPr/>
      </w:pPr>
      <w:r>
        <w:rPr/>
        <w:t> </w:t>
      </w:r>
    </w:p>
    <w:p>
      <w:pPr>
        <w:pStyle w:val="TextBody"/>
        <w:bidi w:val="0"/>
        <w:spacing w:before="204"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Accepted and Agreed:</w:t>
      </w:r>
    </w:p>
    <w:p>
      <w:pPr>
        <w:pStyle w:val="TextBody"/>
        <w:bidi w:val="0"/>
        <w:jc w:val="left"/>
        <w:rPr/>
      </w:pPr>
      <w:r>
        <w:rPr/>
        <w:t> </w:t>
      </w:r>
    </w:p>
    <w:p>
      <w:pPr>
        <w:pStyle w:val="TextBody"/>
        <w:bidi w:val="0"/>
        <w:spacing w:before="179" w:after="283"/>
        <w:jc w:val="left"/>
        <w:rPr>
          <w:rFonts w:ascii="Times New Roman" w:hAnsi="Times New Roman"/>
          <w:color w:val="000000"/>
          <w:sz w:val="24"/>
        </w:rPr>
      </w:pPr>
      <w:r>
        <w:rPr>
          <w:rFonts w:ascii="Times New Roman" w:hAnsi="Times New Roman"/>
          <w:color w:val="000000"/>
          <w:sz w:val="24"/>
        </w:rPr>
        <w:t>/s/ Josiah Craver</w:t>
      </w:r>
    </w:p>
    <w:p>
      <w:pPr>
        <w:pStyle w:val="TextBody"/>
        <w:bidi w:val="0"/>
        <w:spacing w:before="127" w:after="283"/>
        <w:jc w:val="left"/>
        <w:rPr>
          <w:rFonts w:ascii="Times New Roman" w:hAnsi="Times New Roman"/>
          <w:color w:val="000000"/>
          <w:sz w:val="24"/>
        </w:rPr>
      </w:pPr>
      <w:r>
        <w:rPr>
          <w:rFonts w:ascii="Times New Roman" w:hAnsi="Times New Roman"/>
          <w:color w:val="000000"/>
          <w:sz w:val="24"/>
        </w:rPr>
        <w:t>Josiah Craver</w:t>
      </w:r>
    </w:p>
    <w:p>
      <w:pPr>
        <w:pStyle w:val="TextBody"/>
        <w:bidi w:val="0"/>
        <w:jc w:val="left"/>
        <w:rPr/>
      </w:pPr>
      <w:r>
        <w:rPr/>
        <w:t> </w:t>
      </w:r>
    </w:p>
    <w:p>
      <w:pPr>
        <w:pStyle w:val="TextBody"/>
        <w:bidi w:val="0"/>
        <w:spacing w:before="127" w:after="283"/>
        <w:jc w:val="left"/>
        <w:rPr>
          <w:rFonts w:ascii="Times New Roman" w:hAnsi="Times New Roman"/>
          <w:color w:val="000000"/>
          <w:sz w:val="24"/>
        </w:rPr>
      </w:pPr>
      <w:r>
        <w:rPr>
          <w:rFonts w:ascii="Times New Roman" w:hAnsi="Times New Roman"/>
          <w:color w:val="000000"/>
          <w:sz w:val="24"/>
        </w:rPr>
        <w:t>Date: 2/17/2026</w:t>
      </w:r>
    </w:p>
    <w:p>
      <w:pPr>
        <w:pStyle w:val="TextBody"/>
        <w:bidi w:val="0"/>
        <w:spacing w:before="127"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2"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bookmarkStart w:id="47" w:name="snse-ex10_19.htm"/>
      <w:bookmarkStart w:id="48" w:name="kssnseex10_19"/>
      <w:bookmarkEnd w:id="47"/>
      <w:bookmarkEnd w:id="48"/>
      <w:r>
        <w:rPr>
          <w:rFonts w:ascii="Times New Roman" w:hAnsi="Times New Roman"/>
          <w:color w:val="7F7F7F"/>
          <w:sz w:val="20"/>
        </w:rPr>
        <w:t>Exhibit 10.19</w:t>
      </w:r>
      <w:r>
        <w:br w:type="page"/>
      </w:r>
    </w:p>
    <w:p>
      <w:pPr>
        <w:pStyle w:val="TextBody"/>
        <w:bidi w:val="0"/>
        <w:jc w:val="right"/>
        <w:rPr/>
      </w:pPr>
      <w:r>
        <w:rPr/>
        <w:t> </w:t>
      </w:r>
    </w:p>
    <w:p>
      <w:pPr>
        <w:pStyle w:val="TextBody"/>
        <w:bidi w:val="0"/>
        <w:jc w:val="left"/>
        <w:rPr>
          <w:rFonts w:ascii="Times New Roman" w:hAnsi="Times New Roman"/>
          <w:i/>
          <w:color w:val="7F7F7F"/>
          <w:sz w:val="20"/>
        </w:rPr>
      </w:pPr>
      <w:r>
        <w:rPr>
          <w:rFonts w:ascii="Times New Roman" w:hAnsi="Times New Roman"/>
          <w:i/>
          <w:color w:val="7F7F7F"/>
          <w:sz w:val="20"/>
        </w:rPr>
        <w:t>CERTAIN INFORMATION HAS BEEN EXCLUDED FROM THIS AGREEMENT (INDICATED BY “[***]”) BECAUSE SUCH INFORMATION IS BOTH (A) NOT MATERIAL AND (B) THE TYPE THAT THE REGISTRANT CUSTOMARILY AND ACTUALLY TREATS AS PRIVATE OR CONFIDENTIAL.</w:t>
      </w:r>
    </w:p>
    <w:p>
      <w:pPr>
        <w:pStyle w:val="TextBody"/>
        <w:bidi w:val="0"/>
        <w:jc w:val="both"/>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EXCLUSIVE LICENSE AGREEMENT</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color w:val="252525"/>
          <w:sz w:val="24"/>
        </w:rPr>
      </w:pPr>
      <w:r>
        <w:rPr>
          <w:rFonts w:ascii="Times New Roman" w:hAnsi="Times New Roman"/>
          <w:color w:val="252525"/>
          <w:sz w:val="24"/>
        </w:rPr>
        <w:t>between</w:t>
      </w:r>
    </w:p>
    <w:p>
      <w:pPr>
        <w:pStyle w:val="TextBody"/>
        <w:bidi w:val="0"/>
        <w:spacing w:before="0" w:after="240"/>
        <w:jc w:val="center"/>
        <w:rPr/>
      </w:pPr>
      <w:r>
        <w:rPr/>
        <w:t> </w:t>
      </w:r>
    </w:p>
    <w:p>
      <w:pPr>
        <w:pStyle w:val="TextBody"/>
        <w:bidi w:val="0"/>
        <w:spacing w:before="0" w:after="240"/>
        <w:jc w:val="center"/>
        <w:rPr>
          <w:rFonts w:ascii="Times New Roman" w:hAnsi="Times New Roman"/>
          <w:color w:val="272727"/>
          <w:sz w:val="24"/>
        </w:rPr>
      </w:pPr>
      <w:r>
        <w:rPr>
          <w:rFonts w:ascii="Times New Roman" w:hAnsi="Times New Roman"/>
          <w:color w:val="272727"/>
          <w:sz w:val="24"/>
        </w:rPr>
        <w:t>THE REGENTS OF THE UNIVERSITY OF CALIFORNIA</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pPr>
      <w:r>
        <w:rPr/>
        <w:t> </w:t>
      </w:r>
    </w:p>
    <w:p>
      <w:pPr>
        <w:pStyle w:val="TextBody"/>
        <w:bidi w:val="0"/>
        <w:spacing w:before="0" w:after="240"/>
        <w:jc w:val="center"/>
        <w:rPr>
          <w:rFonts w:ascii="Times New Roman" w:hAnsi="Times New Roman"/>
          <w:color w:val="252525"/>
          <w:sz w:val="24"/>
        </w:rPr>
      </w:pPr>
      <w:r>
        <w:rPr>
          <w:rFonts w:ascii="Times New Roman" w:hAnsi="Times New Roman"/>
          <w:color w:val="252525"/>
          <w:sz w:val="24"/>
        </w:rPr>
        <w:t>INTELLIKINE, INC.</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w:t>
      </w:r>
    </w:p>
    <w:p>
      <w:pPr>
        <w:pStyle w:val="TextBody"/>
        <w:bidi w:val="0"/>
        <w:spacing w:before="0" w:after="240"/>
        <w:jc w:val="center"/>
        <w:rPr/>
      </w:pPr>
      <w:r>
        <w:rPr/>
        <w:t> </w:t>
      </w:r>
    </w:p>
    <w:p>
      <w:pPr>
        <w:pStyle w:val="TextBody"/>
        <w:bidi w:val="0"/>
        <w:spacing w:before="0" w:after="240"/>
        <w:jc w:val="center"/>
        <w:rPr>
          <w:rFonts w:ascii="Times New Roman" w:hAnsi="Times New Roman"/>
          <w:color w:val="232323"/>
          <w:sz w:val="24"/>
        </w:rPr>
      </w:pPr>
      <w:r>
        <w:rPr>
          <w:rFonts w:ascii="Times New Roman" w:hAnsi="Times New Roman"/>
          <w:color w:val="232323"/>
          <w:sz w:val="24"/>
        </w:rPr>
        <w:t>[***]</w:t>
      </w:r>
    </w:p>
    <w:p>
      <w:pPr>
        <w:pStyle w:val="TextBody"/>
        <w:bidi w:val="0"/>
        <w:spacing w:before="0" w:after="24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Intellikine License Agreement SV21274327 v25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TABLE OF CONTENTS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Article No.</w:t>
      </w:r>
      <w:r>
        <w:rPr>
          <w:rFonts w:ascii="Times New Roman" w:hAnsi="Times New Roman"/>
          <w:color w:val="000000"/>
          <w:sz w:val="20"/>
        </w:rPr>
        <w:t xml:space="preserve"> </w:t>
      </w:r>
      <w:r>
        <w:rPr>
          <w:rFonts w:ascii="Times New Roman" w:hAnsi="Times New Roman"/>
          <w:color w:val="000000"/>
          <w:sz w:val="24"/>
          <w:u w:val="single"/>
        </w:rPr>
        <w:t>Title</w:t>
      </w:r>
      <w:r>
        <w:rPr>
          <w:rFonts w:ascii="Times New Roman" w:hAnsi="Times New Roman"/>
          <w:color w:val="000000"/>
          <w:sz w:val="20"/>
        </w:rPr>
        <w:t xml:space="preserve"> </w:t>
      </w:r>
      <w:r>
        <w:rPr>
          <w:rFonts w:ascii="Times New Roman" w:hAnsi="Times New Roman"/>
          <w:color w:val="000000"/>
          <w:sz w:val="24"/>
        </w:rPr>
        <w:t>Page</w:t>
      </w:r>
    </w:p>
    <w:p>
      <w:pPr>
        <w:pStyle w:val="TextBody"/>
        <w:pBdr/>
        <w:bidi w:val="0"/>
        <w:spacing w:before="0" w:after="240"/>
        <w:ind w:left="0" w:right="0" w:hanging="1440"/>
        <w:jc w:val="left"/>
        <w:rPr>
          <w:rFonts w:ascii="Times New Roman" w:hAnsi="Times New Roman"/>
          <w:sz w:val="20"/>
        </w:rPr>
      </w:pPr>
      <w:r>
        <w:rPr>
          <w:rFonts w:ascii="Times New Roman" w:hAnsi="Times New Roman"/>
          <w:color w:val="000000"/>
          <w:sz w:val="24"/>
        </w:rPr>
        <w:t>(N/A)</w:t>
      </w:r>
      <w:r>
        <w:rPr>
          <w:rFonts w:ascii="Times New Roman" w:hAnsi="Times New Roman"/>
          <w:color w:val="000000"/>
          <w:sz w:val="20"/>
        </w:rPr>
        <w:t xml:space="preserve"> </w:t>
      </w:r>
      <w:r>
        <w:rPr>
          <w:rFonts w:ascii="Times New Roman" w:hAnsi="Times New Roman"/>
          <w:b/>
          <w:color w:val="000000"/>
          <w:sz w:val="24"/>
        </w:rPr>
        <w:t>BACKGROUND 1</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 DEFINITIONS 3</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 GRANT 11</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3. SUBLICENSES 13</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4. PAYMENT TERMS 17</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5. LICENSE ISSUE FEE 19</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6. LICENSE MAINTENANCE FEE 19</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7. SUBLICENSING REVENUE FEE 20</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8. EARNED ROYALTIES AND MINIMUM ANNUAL ROYALTIES 21</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9. MILESTONE PAYMENTS 23</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10. DUE DILIGENCE 24</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11. PROGRESS AND ROYALTY REPORTS 28</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12. BOOKS AND RECORDS 32</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13. TERM OF THIS AGREEMENT 32</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14. TERMINATION BY THE REGENTS 33</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15. TERMINATION BY LICENSEE 34</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16. DISPOSITION OF LICENSED PRODUCTS AND LICENSED SERVICES UPON TERMINATION OR EXPIRATION 34</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17. USE OF NAMES AND TRADEMARKS 35</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18. LIMITED WARRANTY 35</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19. LIMITATION OF LIABILITY 36</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20. PATENT PROSECTUTION AND MAINTENANCE 36</w:t>
      </w:r>
    </w:p>
    <w:p>
      <w:pPr>
        <w:pStyle w:val="TextBody"/>
        <w:pBdr/>
        <w:bidi w:val="0"/>
        <w:spacing w:before="0" w:after="240"/>
        <w:ind w:left="0" w:right="0" w:hanging="1440"/>
        <w:jc w:val="left"/>
        <w:rPr/>
      </w:pPr>
      <w:r>
        <w:rPr/>
        <w:t> </w:t>
      </w:r>
    </w:p>
    <w:p>
      <w:pPr>
        <w:pStyle w:val="TextBody"/>
        <w:pBdr/>
        <w:bidi w:val="0"/>
        <w:spacing w:before="0" w:after="240"/>
        <w:ind w:left="0" w:right="0" w:hanging="1440"/>
        <w:jc w:val="left"/>
        <w:rPr/>
      </w:pPr>
      <w:r>
        <w:rPr/>
        <w:t> </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21. PATENT MARKING 39</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22. PATENT INFRINGEMENT 39</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23. INDEMNIFICATION 41</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24. NOTICE; PAYMENTS 44</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25. ASSIGNABILITY 45</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26. WAIVER 46</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27. FORCE MAJEURE 46</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28. GOVERNING LAWS; VENUE; ATTORNEYS FEES 46</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29. GOVERNMENT APPROVAL OR REGISTRATION 46</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30. COMPLIANCE WITH LAWS 47</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31. CONFIDENTIALITY 47</w:t>
      </w:r>
    </w:p>
    <w:p>
      <w:pPr>
        <w:pStyle w:val="TextBody"/>
        <w:pBdr/>
        <w:bidi w:val="0"/>
        <w:spacing w:before="0" w:after="240"/>
        <w:ind w:left="0" w:right="0" w:hanging="1440"/>
        <w:jc w:val="left"/>
        <w:rPr>
          <w:rFonts w:ascii="Times New Roman" w:hAnsi="Times New Roman"/>
          <w:b/>
          <w:color w:val="000000"/>
          <w:sz w:val="24"/>
        </w:rPr>
      </w:pPr>
      <w:r>
        <w:rPr>
          <w:rFonts w:ascii="Times New Roman" w:hAnsi="Times New Roman"/>
          <w:b/>
          <w:color w:val="000000"/>
          <w:sz w:val="24"/>
        </w:rPr>
        <w:t>32. MISCELLANEOUS 49</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spacing w:before="122" w:after="283"/>
        <w:ind w:left="0" w:right="0" w:firstLine="72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EXCLUSIVE LICENSE AGREEMENT</w:t>
      </w:r>
    </w:p>
    <w:p>
      <w:pPr>
        <w:pStyle w:val="TextBody"/>
        <w:bidi w:val="0"/>
        <w:jc w:val="center"/>
        <w:rPr>
          <w:rFonts w:ascii="Times New Roman" w:hAnsi="Times New Roman"/>
          <w:color w:val="000000"/>
          <w:sz w:val="24"/>
        </w:rPr>
      </w:pPr>
      <w:r>
        <w:rPr>
          <w:rFonts w:ascii="Times New Roman" w:hAnsi="Times New Roman"/>
          <w:color w:val="000000"/>
          <w:sz w:val="24"/>
        </w:rPr>
        <w:t>for</w:t>
      </w:r>
    </w:p>
    <w:p>
      <w:pPr>
        <w:pStyle w:val="TextBody"/>
        <w:bidi w:val="0"/>
        <w:spacing w:before="0" w:after="240"/>
        <w:jc w:val="center"/>
        <w:rPr>
          <w:rFonts w:ascii="Times New Roman" w:hAnsi="Times New Roman"/>
          <w:color w:val="232323"/>
          <w:sz w:val="24"/>
        </w:rPr>
      </w:pPr>
      <w:r>
        <w:rPr>
          <w:rFonts w:ascii="Times New Roman" w:hAnsi="Times New Roman"/>
          <w:color w:val="232323"/>
          <w:sz w:val="24"/>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 xml:space="preserve">This license agreement (the </w:t>
      </w:r>
      <w:r>
        <w:rPr>
          <w:rFonts w:ascii="Times New Roman" w:hAnsi="Times New Roman"/>
          <w:color w:val="000000"/>
          <w:sz w:val="20"/>
        </w:rPr>
        <w:t>“</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is made effective as of August 10, 2007 (the </w:t>
      </w:r>
      <w:r>
        <w:rPr>
          <w:rFonts w:ascii="Times New Roman" w:hAnsi="Times New Roman"/>
          <w:color w:val="000000"/>
          <w:sz w:val="20"/>
          <w:u w:val="single"/>
        </w:rPr>
        <w:t>“</w:t>
      </w:r>
      <w:r>
        <w:rPr>
          <w:rFonts w:ascii="Times New Roman" w:hAnsi="Times New Roman"/>
          <w:color w:val="000000"/>
          <w:sz w:val="24"/>
          <w:u w:val="single"/>
        </w:rPr>
        <w:t>Effective Date”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by and between The Regents of the University of California, a California corporation having its statewide administrative offices at 1111 Franklin Street, 12th Floor, Oakland, California 94607-5200 (“</w:t>
      </w:r>
      <w:r>
        <w:rPr>
          <w:rFonts w:ascii="Times New Roman" w:hAnsi="Times New Roman"/>
          <w:color w:val="000000"/>
          <w:sz w:val="24"/>
          <w:u w:val="single"/>
        </w:rPr>
        <w:t>The Regents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 acting through its Office of Technology Management, University of California San Francisco, 185 Berry Street, Suite 4603, San Francisco, CA 94107 (“</w:t>
      </w:r>
      <w:r>
        <w:rPr>
          <w:rFonts w:ascii="Times New Roman" w:hAnsi="Times New Roman"/>
          <w:color w:val="000000"/>
          <w:sz w:val="24"/>
          <w:u w:val="single"/>
        </w:rPr>
        <w:t>UCSF</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and Intellikine, Inc., a Delaware corporation having a principal place of business at 575 Old Mill Road, San Marino, CA 91108 (the </w:t>
      </w:r>
      <w:r>
        <w:rPr>
          <w:rFonts w:ascii="Times New Roman" w:hAnsi="Times New Roman"/>
          <w:color w:val="000000"/>
          <w:sz w:val="20"/>
        </w:rPr>
        <w:t>“</w:t>
      </w:r>
      <w:r>
        <w:rPr>
          <w:rFonts w:ascii="Times New Roman" w:hAnsi="Times New Roman"/>
          <w:color w:val="000000"/>
          <w:sz w:val="24"/>
          <w:u w:val="single"/>
        </w:rPr>
        <w:t>Licensee</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BACKGROUND</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A. Certain inventions, generally characterized as [***]) (collectively, the </w:t>
      </w:r>
      <w:r>
        <w:rPr>
          <w:rFonts w:ascii="Times New Roman" w:hAnsi="Times New Roman"/>
          <w:color w:val="000000"/>
          <w:sz w:val="20"/>
        </w:rPr>
        <w:t>“</w:t>
      </w:r>
      <w:r>
        <w:rPr>
          <w:rFonts w:ascii="Times New Roman" w:hAnsi="Times New Roman"/>
          <w:color w:val="000000"/>
          <w:sz w:val="24"/>
          <w:u w:val="single"/>
        </w:rPr>
        <w:t>Invention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were made in the course of research at UCSF, by [***], all employees of UCSF, and [***], an employee of the Howard Hughes Medical Institute (“</w:t>
      </w:r>
      <w:r>
        <w:rPr>
          <w:rFonts w:ascii="Times New Roman" w:hAnsi="Times New Roman"/>
          <w:color w:val="000000"/>
          <w:sz w:val="24"/>
          <w:u w:val="single"/>
        </w:rPr>
        <w:t>HHMI</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and a member of the faculty of UCSF, (collectively, the </w:t>
      </w:r>
      <w:r>
        <w:rPr>
          <w:rFonts w:ascii="Times New Roman" w:hAnsi="Times New Roman"/>
          <w:color w:val="000000"/>
          <w:sz w:val="20"/>
        </w:rPr>
        <w:t>“</w:t>
      </w:r>
      <w:r>
        <w:rPr>
          <w:rFonts w:ascii="Times New Roman" w:hAnsi="Times New Roman"/>
          <w:color w:val="000000"/>
          <w:sz w:val="24"/>
          <w:u w:val="single"/>
        </w:rPr>
        <w:t>Inventors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 are claimed in the Patent Rights as defined below.</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B. The development of the Invention was sponsored in part by the United States Department of Health and Human Services and, as a consequence, this license is subject to overriding obligations to the United States Federal Government under 35 U.S.C. §§ 200-212 and applicable regulations including a non-exclusive, non-transferable, irrevocable, paid-up license to practice or have practiced the Invention for or on behalf of the United States Government throughout the world.</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C. HHMI assigned its rights in the Invention to The Regents under the terms of the interinstitutional agreement by The Regents with HHMI having UC Control No. [***] (the </w:t>
      </w:r>
      <w:r>
        <w:rPr>
          <w:rFonts w:ascii="Times New Roman" w:hAnsi="Times New Roman"/>
          <w:color w:val="000000"/>
          <w:sz w:val="20"/>
        </w:rPr>
        <w:t>“</w:t>
      </w:r>
      <w:r>
        <w:rPr>
          <w:rFonts w:ascii="Times New Roman" w:hAnsi="Times New Roman"/>
          <w:color w:val="000000"/>
          <w:sz w:val="24"/>
          <w:u w:val="single"/>
        </w:rPr>
        <w:t>HHMI Interinstitutional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 accordingly, The Regents has the authority to license the entire interest in the Invention and any patent rights claiming the Invention. Under the terms of the HHMI Interinstitutional Agreement, The Regents will provide HHMI with one copy of the fully executed Agreement, which will be maintained as confidential by HHMI pursuant to the terms of the HHMI Interinstitutional Agreement.</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D. Under the terms of the HHMI Interinstitutional Agreement, HHMI has reserved a non-exclusive, paid-up, royalty-free, irrevocable license, with no right to assign or sublicense others, to make and use the Invention for research purposes only.</w:t>
      </w:r>
    </w:p>
    <w:p>
      <w:pPr>
        <w:pStyle w:val="TextBody"/>
        <w:bidi w:val="0"/>
        <w:ind w:left="0" w:right="0" w:firstLine="720"/>
        <w:jc w:val="left"/>
        <w:rPr>
          <w:rFonts w:ascii="Times New Roman" w:hAnsi="Times New Roman"/>
          <w:sz w:val="20"/>
        </w:rPr>
      </w:pPr>
      <w:r>
        <w:rPr>
          <w:rFonts w:ascii="Times New Roman" w:hAnsi="Times New Roman"/>
          <w:color w:val="232323"/>
          <w:sz w:val="24"/>
        </w:rPr>
        <w:t xml:space="preserve">E. The Licensee has evaluated the Invention under a Secrecy Agreement with The Regents with an effective date of [***] (the </w:t>
      </w:r>
      <w:r>
        <w:rPr>
          <w:rFonts w:ascii="Times New Roman" w:hAnsi="Times New Roman"/>
          <w:color w:val="232323"/>
          <w:sz w:val="20"/>
        </w:rPr>
        <w:t>“</w:t>
      </w:r>
      <w:r>
        <w:rPr>
          <w:rFonts w:ascii="Times New Roman" w:hAnsi="Times New Roman"/>
          <w:color w:val="232323"/>
          <w:sz w:val="24"/>
          <w:u w:val="single"/>
        </w:rPr>
        <w:t>Secrecy Agreement</w:t>
      </w:r>
      <w:r>
        <w:rPr>
          <w:rFonts w:ascii="Times New Roman" w:hAnsi="Times New Roman"/>
          <w:color w:val="232323"/>
          <w:sz w:val="20"/>
        </w:rPr>
        <w:t>”</w:t>
      </w:r>
      <w:r>
        <w:rPr>
          <w:rFonts w:ascii="Times New Roman" w:hAnsi="Times New Roman"/>
          <w:color w:val="232323"/>
          <w:sz w:val="24"/>
        </w:rPr>
        <w:t>).</w:t>
      </w:r>
    </w:p>
    <w:p>
      <w:pPr>
        <w:pStyle w:val="TextBody"/>
        <w:bidi w:val="0"/>
        <w:ind w:left="0" w:right="0" w:firstLine="720"/>
        <w:jc w:val="left"/>
        <w:rPr>
          <w:rFonts w:ascii="Times New Roman" w:hAnsi="Times New Roman"/>
          <w:sz w:val="20"/>
        </w:rPr>
      </w:pPr>
      <w:r>
        <w:rPr>
          <w:rFonts w:ascii="Times New Roman" w:hAnsi="Times New Roman"/>
          <w:color w:val="242424"/>
          <w:sz w:val="24"/>
        </w:rPr>
        <w:t xml:space="preserve">F. The Licensee and The Regents have executed a Letter of Intent (UC Control No. [***]) with an effective date of [***] (the </w:t>
      </w:r>
      <w:r>
        <w:rPr>
          <w:rFonts w:ascii="Times New Roman" w:hAnsi="Times New Roman"/>
          <w:color w:val="242424"/>
          <w:sz w:val="20"/>
        </w:rPr>
        <w:t>“</w:t>
      </w:r>
      <w:r>
        <w:rPr>
          <w:rFonts w:ascii="Times New Roman" w:hAnsi="Times New Roman"/>
          <w:color w:val="242424"/>
          <w:sz w:val="24"/>
          <w:u w:val="single"/>
        </w:rPr>
        <w:t>Letter of Intent</w:t>
      </w:r>
      <w:r>
        <w:rPr>
          <w:rFonts w:ascii="Times New Roman" w:hAnsi="Times New Roman"/>
          <w:color w:val="242424"/>
          <w:sz w:val="20"/>
        </w:rPr>
        <w:t>”</w:t>
      </w:r>
      <w:r>
        <w:rPr>
          <w:rFonts w:ascii="Times New Roman" w:hAnsi="Times New Roman"/>
          <w:color w:val="242424"/>
          <w:sz w:val="24"/>
        </w:rPr>
        <w:t>).</w:t>
      </w:r>
    </w:p>
    <w:p>
      <w:pPr>
        <w:pStyle w:val="TextBody"/>
        <w:bidi w:val="0"/>
        <w:ind w:left="0" w:right="0" w:firstLine="720"/>
        <w:jc w:val="left"/>
        <w:rPr>
          <w:rFonts w:ascii="Times New Roman" w:hAnsi="Times New Roman"/>
          <w:color w:val="212121"/>
          <w:sz w:val="24"/>
        </w:rPr>
      </w:pPr>
      <w:r>
        <w:rPr>
          <w:rFonts w:ascii="Times New Roman" w:hAnsi="Times New Roman"/>
          <w:color w:val="212121"/>
          <w:sz w:val="24"/>
        </w:rPr>
        <w:t>H. The Licensee wishes to obtain certain rights from The Regents for the commercial development of the Invention, in accordance with the terms and conditions set forth herein and The Regents is willing to grant those rights to the Licensee so that the Invention may be developed and the benefits thereof enjoyed by the general public.</w:t>
      </w:r>
    </w:p>
    <w:p>
      <w:pPr>
        <w:pStyle w:val="TextBody"/>
        <w:bidi w:val="0"/>
        <w:ind w:left="0" w:right="0" w:firstLine="720"/>
        <w:jc w:val="left"/>
        <w:rPr>
          <w:rFonts w:ascii="Times New Roman" w:hAnsi="Times New Roman"/>
          <w:sz w:val="20"/>
        </w:rPr>
      </w:pPr>
      <w:r>
        <w:rPr>
          <w:rFonts w:ascii="Times New Roman" w:hAnsi="Times New Roman"/>
          <w:color w:val="232323"/>
          <w:sz w:val="24"/>
        </w:rPr>
        <w:t xml:space="preserve">I. The scope of such rights granted by The Regents is intended to extend to the scope </w:t>
      </w:r>
      <w:r>
        <w:rPr>
          <w:rFonts w:ascii="Times New Roman" w:hAnsi="Times New Roman"/>
          <w:color w:val="222222"/>
          <w:sz w:val="24"/>
        </w:rPr>
        <w:t>of the patents and patent applications in the Patent Rights, but only to the extent that The Regents has proprietary rights in and to the Valid Claims of such Patent Rights.</w:t>
      </w:r>
    </w:p>
    <w:p>
      <w:pPr>
        <w:pStyle w:val="TextBody"/>
        <w:bidi w:val="0"/>
        <w:ind w:left="0" w:right="0" w:firstLine="720"/>
        <w:jc w:val="left"/>
        <w:rPr>
          <w:rFonts w:ascii="Times New Roman" w:hAnsi="Times New Roman"/>
          <w:color w:val="222222"/>
          <w:sz w:val="24"/>
        </w:rPr>
      </w:pPr>
      <w:r>
        <w:rPr>
          <w:rFonts w:ascii="Times New Roman" w:hAnsi="Times New Roman"/>
          <w:color w:val="222222"/>
          <w:sz w:val="24"/>
        </w:rPr>
        <w:t>J. The Licensee is a “small business firm” as defined in 15 U.S.C. §632.</w:t>
      </w:r>
    </w:p>
    <w:p>
      <w:pPr>
        <w:pStyle w:val="TextBody"/>
        <w:bidi w:val="0"/>
        <w:ind w:left="0" w:right="0" w:firstLine="720"/>
        <w:jc w:val="left"/>
        <w:rPr>
          <w:rFonts w:ascii="Times New Roman" w:hAnsi="Times New Roman"/>
          <w:sz w:val="20"/>
        </w:rPr>
      </w:pPr>
      <w:r>
        <w:rPr>
          <w:rFonts w:ascii="Times New Roman" w:hAnsi="Times New Roman"/>
          <w:color w:val="222222"/>
          <w:sz w:val="24"/>
        </w:rPr>
        <w:t>K. Both parties hereto recognize and agree that Earned Royalties are due under this Agreement, with respect to</w:t>
      </w:r>
      <w:r>
        <w:rPr>
          <w:rFonts w:ascii="Times New Roman" w:hAnsi="Times New Roman"/>
          <w:color w:val="222222"/>
          <w:sz w:val="20"/>
        </w:rPr>
        <w:t xml:space="preserve"> </w:t>
      </w:r>
      <w:r>
        <w:rPr>
          <w:rFonts w:ascii="Times New Roman" w:hAnsi="Times New Roman"/>
          <w:color w:val="222222"/>
          <w:sz w:val="24"/>
        </w:rPr>
        <w:t>Products, services and methods and that such royalties will be paid with respect to both pending patent applications and issued patents, in accordance with the terms and conditions set forth herein.</w:t>
      </w:r>
    </w:p>
    <w:p>
      <w:pPr>
        <w:pStyle w:val="TextBody"/>
        <w:bidi w:val="0"/>
        <w:ind w:left="0" w:right="0" w:firstLine="720"/>
        <w:jc w:val="left"/>
        <w:rPr>
          <w:rFonts w:ascii="Times New Roman" w:hAnsi="Times New Roman"/>
          <w:color w:val="212121"/>
          <w:sz w:val="24"/>
        </w:rPr>
      </w:pPr>
      <w:r>
        <w:rPr>
          <w:rFonts w:ascii="Times New Roman" w:hAnsi="Times New Roman"/>
          <w:color w:val="212121"/>
          <w:sz w:val="24"/>
        </w:rPr>
        <w:t>L. The Licensee acknowledges that: (i) consideration for Technology Rights is being paid to The Regents due to the grant by The Regents to the Licensee of early access to the Invention; (ii) some of the technology in Technology Rights may become public without a decrease in consideration due to The Regents under this Agreement; and (iii) while the Licensee is subject to restriction as to dissemination of technology in Technology Rights, The Regents may make such technology available to others without restriction.</w:t>
      </w:r>
    </w:p>
    <w:p>
      <w:pPr>
        <w:pStyle w:val="TextBody"/>
        <w:bidi w:val="0"/>
        <w:spacing w:before="0" w:after="240"/>
        <w:jc w:val="left"/>
        <w:rPr>
          <w:rFonts w:ascii="Times New Roman" w:hAnsi="Times New Roman"/>
          <w:sz w:val="20"/>
        </w:rPr>
      </w:pPr>
      <w:r>
        <w:rPr>
          <w:rFonts w:ascii="Times New Roman" w:hAnsi="Times New Roman"/>
          <w:color w:val="232323"/>
          <w:sz w:val="24"/>
        </w:rPr>
        <w:t>M. [***</w:t>
      </w:r>
      <w:r>
        <w:rPr>
          <w:rFonts w:ascii="Times New Roman" w:hAnsi="Times New Roman"/>
          <w:color w:val="000000"/>
          <w:sz w:val="24"/>
        </w:rPr>
        <w:t>]</w:t>
      </w:r>
    </w:p>
    <w:p>
      <w:pPr>
        <w:pStyle w:val="TextBody"/>
        <w:bidi w:val="0"/>
        <w:ind w:left="0" w:right="0" w:firstLine="720"/>
        <w:jc w:val="left"/>
        <w:rPr>
          <w:rFonts w:ascii="Times New Roman" w:hAnsi="Times New Roman"/>
          <w:color w:val="272727"/>
          <w:sz w:val="24"/>
        </w:rPr>
      </w:pPr>
      <w:r>
        <w:rPr>
          <w:rFonts w:ascii="Times New Roman" w:hAnsi="Times New Roman"/>
          <w:color w:val="272727"/>
          <w:sz w:val="24"/>
        </w:rPr>
        <w:t>The parties hereto agree as follows:</w:t>
      </w:r>
    </w:p>
    <w:p>
      <w:pPr>
        <w:pStyle w:val="TextBody"/>
        <w:bidi w:val="0"/>
        <w:jc w:val="left"/>
        <w:rPr>
          <w:rFonts w:ascii="Times New Roman" w:hAnsi="Times New Roman"/>
          <w:color w:val="000000"/>
          <w:sz w:val="24"/>
        </w:rPr>
      </w:pPr>
      <w:r>
        <w:rPr>
          <w:rFonts w:ascii="Times New Roman" w:hAnsi="Times New Roman"/>
          <w:color w:val="000000"/>
          <w:sz w:val="24"/>
        </w:rPr>
        <w:t>1. DEFINITIONS; CERTAIN REFERENCES</w:t>
      </w:r>
    </w:p>
    <w:p>
      <w:pPr>
        <w:pStyle w:val="TextBody"/>
        <w:bidi w:val="0"/>
        <w:ind w:left="0" w:right="0" w:firstLine="720"/>
        <w:jc w:val="left"/>
        <w:rPr>
          <w:rFonts w:ascii="Times New Roman" w:hAnsi="Times New Roman"/>
          <w:sz w:val="20"/>
        </w:rPr>
      </w:pPr>
      <w:r>
        <w:rPr>
          <w:rFonts w:ascii="Times New Roman" w:hAnsi="Times New Roman"/>
          <w:color w:val="000000"/>
          <w:sz w:val="24"/>
        </w:rPr>
        <w:t>As used in this Agreement, the following terms, whether used in the singular or plural, will have the following meanings; other initially-capitalized terms used in this Agreement and not defined in this Article 1 will have such meaning for such term as is set forth for such term</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elsewhere in this Agreement; references in this Agreement to Articles and Sections are to Articles and Sections of this Agreement:</w:t>
      </w:r>
    </w:p>
    <w:p>
      <w:pPr>
        <w:pStyle w:val="TextBody"/>
        <w:bidi w:val="0"/>
        <w:ind w:left="0" w:right="0" w:firstLine="720"/>
        <w:jc w:val="left"/>
        <w:rPr>
          <w:rFonts w:ascii="Times New Roman" w:hAnsi="Times New Roman"/>
          <w:sz w:val="20"/>
        </w:rPr>
      </w:pPr>
      <w:r>
        <w:rPr>
          <w:rFonts w:ascii="Times New Roman" w:hAnsi="Times New Roman"/>
          <w:color w:val="000000"/>
          <w:sz w:val="24"/>
        </w:rPr>
        <w:t>1.1 “</w:t>
      </w:r>
      <w:r>
        <w:rPr>
          <w:rFonts w:ascii="Times New Roman" w:hAnsi="Times New Roman"/>
          <w:color w:val="000000"/>
          <w:sz w:val="24"/>
          <w:u w:val="single"/>
        </w:rPr>
        <w:t>action</w:t>
      </w:r>
      <w:r>
        <w:rPr>
          <w:rFonts w:ascii="Times New Roman" w:hAnsi="Times New Roman"/>
          <w:color w:val="000000"/>
          <w:sz w:val="20"/>
        </w:rPr>
        <w:t xml:space="preserve">” </w:t>
      </w:r>
      <w:r>
        <w:rPr>
          <w:rFonts w:ascii="Times New Roman" w:hAnsi="Times New Roman"/>
          <w:color w:val="000000"/>
          <w:sz w:val="24"/>
        </w:rPr>
        <w:t>means any action, litigation or suit brought in law or in equity.</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1.2 An </w:t>
      </w:r>
      <w:r>
        <w:rPr>
          <w:rFonts w:ascii="Times New Roman" w:hAnsi="Times New Roman"/>
          <w:color w:val="000000"/>
          <w:sz w:val="2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any entity which, now or at any time during the term of this agreement, directly or indirectly, Controls the Licensee, is Controlled by the Licensee or is under common Control with the Licensee, but only for so long as such Control continues, where “</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(a) having the actual, present capacity to elect a majority of the members of the Board of Directors, or other governing body, of such Affiliate; (b) having the power to direct at least fifty percent (50%) of the voting rights entitled to elect members of the Board of Directors or other governing body of such Affiliate, or (c) in any Country where local law will not permit foreign equity participation of a majority of such voting rights, then Control will mean ownership or control, directly or indirectly, of the maximum percentage of such outstanding stock or other equity interest or voting rights as is permitted by local law for foreign equity participation.</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0"/>
        </w:rPr>
        <w:t>“</w:t>
      </w:r>
      <w:r>
        <w:rPr>
          <w:rFonts w:ascii="Times New Roman" w:hAnsi="Times New Roman"/>
          <w:color w:val="000000"/>
          <w:sz w:val="24"/>
          <w:u w:val="single"/>
        </w:rPr>
        <w:t>Annual License Maintenance Fee</w:t>
      </w:r>
      <w:r>
        <w:rPr>
          <w:rFonts w:ascii="Times New Roman" w:hAnsi="Times New Roman"/>
          <w:color w:val="000000"/>
          <w:sz w:val="20"/>
        </w:rPr>
        <w:t xml:space="preserve">” </w:t>
      </w:r>
      <w:r>
        <w:rPr>
          <w:rFonts w:ascii="Times New Roman" w:hAnsi="Times New Roman"/>
          <w:color w:val="000000"/>
          <w:sz w:val="24"/>
        </w:rPr>
        <w:t>has the meaning assigned to it in Article 6.</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0"/>
        </w:rPr>
        <w:t>“</w:t>
      </w:r>
      <w:r>
        <w:rPr>
          <w:rFonts w:ascii="Times New Roman" w:hAnsi="Times New Roman"/>
          <w:color w:val="000000"/>
          <w:sz w:val="24"/>
          <w:u w:val="single"/>
        </w:rPr>
        <w:t>Biological Material</w:t>
      </w:r>
      <w:r>
        <w:rPr>
          <w:rFonts w:ascii="Times New Roman" w:hAnsi="Times New Roman"/>
          <w:color w:val="000000"/>
          <w:sz w:val="20"/>
        </w:rPr>
        <w:t xml:space="preserve">” </w:t>
      </w:r>
      <w:r>
        <w:rPr>
          <w:rFonts w:ascii="Times New Roman" w:hAnsi="Times New Roman"/>
          <w:color w:val="000000"/>
          <w:sz w:val="24"/>
        </w:rPr>
        <w:t>has the meaning assigned to it in Section 31.6.</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0"/>
        </w:rPr>
        <w:t>“</w:t>
      </w:r>
      <w:r>
        <w:rPr>
          <w:rFonts w:ascii="Times New Roman" w:hAnsi="Times New Roman"/>
          <w:color w:val="000000"/>
          <w:sz w:val="24"/>
          <w:u w:val="single"/>
        </w:rPr>
        <w:t>Claims</w:t>
      </w:r>
      <w:r>
        <w:rPr>
          <w:rFonts w:ascii="Times New Roman" w:hAnsi="Times New Roman"/>
          <w:color w:val="000000"/>
          <w:sz w:val="20"/>
        </w:rPr>
        <w:t xml:space="preserve">” </w:t>
      </w:r>
      <w:r>
        <w:rPr>
          <w:rFonts w:ascii="Times New Roman" w:hAnsi="Times New Roman"/>
          <w:color w:val="000000"/>
          <w:sz w:val="24"/>
        </w:rPr>
        <w:t>has the meaning assigned to it in Section 23.l.</w:t>
      </w:r>
    </w:p>
    <w:p>
      <w:pPr>
        <w:pStyle w:val="TextBody"/>
        <w:bidi w:val="0"/>
        <w:ind w:left="0" w:right="0" w:firstLine="720"/>
        <w:jc w:val="left"/>
        <w:rPr>
          <w:rFonts w:ascii="Times New Roman" w:hAnsi="Times New Roman"/>
          <w:sz w:val="20"/>
        </w:rPr>
      </w:pPr>
      <w:r>
        <w:rPr>
          <w:rFonts w:ascii="Times New Roman" w:hAnsi="Times New Roman"/>
          <w:color w:val="000000"/>
          <w:sz w:val="24"/>
        </w:rPr>
        <w:t>1.6 “</w:t>
      </w:r>
      <w:r>
        <w:rPr>
          <w:rFonts w:ascii="Times New Roman" w:hAnsi="Times New Roman"/>
          <w:color w:val="000000"/>
          <w:sz w:val="24"/>
          <w:u w:val="single"/>
        </w:rPr>
        <w:t>Combined Product or Service</w:t>
      </w:r>
      <w:r>
        <w:rPr>
          <w:rFonts w:ascii="Times New Roman" w:hAnsi="Times New Roman"/>
          <w:color w:val="000000"/>
          <w:sz w:val="20"/>
        </w:rPr>
        <w:t xml:space="preserve">” </w:t>
      </w:r>
      <w:r>
        <w:rPr>
          <w:rFonts w:ascii="Times New Roman" w:hAnsi="Times New Roman"/>
          <w:color w:val="000000"/>
          <w:sz w:val="24"/>
        </w:rPr>
        <w:t xml:space="preserve">means a combined Product or Service that contains or uses a Licensed Product, Licensed Method, or Licensed Service, and at Least one other Product or process (a </w:t>
      </w:r>
      <w:r>
        <w:rPr>
          <w:rFonts w:ascii="Times New Roman" w:hAnsi="Times New Roman"/>
          <w:color w:val="000000"/>
          <w:sz w:val="20"/>
        </w:rPr>
        <w:t>“</w:t>
      </w:r>
      <w:r>
        <w:rPr>
          <w:rFonts w:ascii="Times New Roman" w:hAnsi="Times New Roman"/>
          <w:color w:val="000000"/>
          <w:sz w:val="24"/>
          <w:u w:val="single"/>
        </w:rPr>
        <w:t>Combination Component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together, where (a) such Combination Component is not itself a Licensed Product, Licensed Method, or Licensed Service, (b) if such Combination Component(s) were removed from such combined Product or Service, the manufacture, use, Sale or import of the resulting Product or Service in or into a particular Country would infringe, but for a license, the same Valid Claim in the Country where such manufacture, use, Sale or import occurs as such combined Product or Service, (c) such Combination Component and such Licensed Product, Licensed Method, or Licensed Service are Sold separately, or if not at the time being Sold by any party can be Sold separately, whether in either case by Licensee or by any Sublicensee or by any other party, (d) such Combination Component does not, by itself or together with a Licensed Product, Licensed Method, or Licensed Service, function so as to achieve the same purpose for which such Licensed Product, Licensed Method, Licensed Service is Sold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sz w:val="20"/>
        </w:rPr>
      </w:pPr>
      <w:r>
        <w:rPr>
          <w:rFonts w:ascii="Times New Roman" w:hAnsi="Times New Roman"/>
          <w:color w:val="000000"/>
          <w:sz w:val="24"/>
        </w:rPr>
        <w:t>1.7 “</w:t>
      </w:r>
      <w:r>
        <w:rPr>
          <w:rFonts w:ascii="Times New Roman" w:hAnsi="Times New Roman"/>
          <w:color w:val="000000"/>
          <w:sz w:val="24"/>
          <w:u w:val="single"/>
        </w:rPr>
        <w:t>Country</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color w:val="000000"/>
          <w:sz w:val="24"/>
          <w:u w:val="single"/>
        </w:rPr>
        <w:t>Countries</w:t>
      </w:r>
      <w:r>
        <w:rPr>
          <w:rFonts w:ascii="Times New Roman" w:hAnsi="Times New Roman"/>
          <w:color w:val="000000"/>
          <w:sz w:val="20"/>
        </w:rPr>
        <w:t xml:space="preserve">” </w:t>
      </w:r>
      <w:r>
        <w:rPr>
          <w:rFonts w:ascii="Times New Roman" w:hAnsi="Times New Roman"/>
          <w:color w:val="000000"/>
          <w:sz w:val="24"/>
        </w:rPr>
        <w:t xml:space="preserve">means a state or nation or other geographically-defined </w:t>
      </w:r>
      <w:r>
        <w:rPr>
          <w:rFonts w:ascii="Times New Roman" w:hAnsi="Times New Roman"/>
          <w:color w:val="212121"/>
          <w:sz w:val="24"/>
        </w:rPr>
        <w:t>jurisdiction, as relevant.</w:t>
      </w:r>
    </w:p>
    <w:p>
      <w:pPr>
        <w:pStyle w:val="TextBody"/>
        <w:bidi w:val="0"/>
        <w:ind w:left="0" w:right="0" w:firstLine="720"/>
        <w:jc w:val="left"/>
        <w:rPr>
          <w:rFonts w:ascii="Times New Roman" w:hAnsi="Times New Roman"/>
          <w:sz w:val="20"/>
        </w:rPr>
      </w:pPr>
      <w:r>
        <w:rPr>
          <w:rFonts w:ascii="Times New Roman" w:hAnsi="Times New Roman"/>
          <w:color w:val="000000"/>
          <w:sz w:val="24"/>
        </w:rPr>
        <w:t>1.8 “</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means United States dollars.</w:t>
      </w:r>
    </w:p>
    <w:p>
      <w:pPr>
        <w:pStyle w:val="TextBody"/>
        <w:bidi w:val="0"/>
        <w:ind w:left="0" w:right="0" w:firstLine="720"/>
        <w:jc w:val="left"/>
        <w:rPr>
          <w:rFonts w:ascii="Times New Roman" w:hAnsi="Times New Roman"/>
          <w:sz w:val="20"/>
        </w:rPr>
      </w:pPr>
      <w:r>
        <w:rPr>
          <w:rFonts w:ascii="Times New Roman" w:hAnsi="Times New Roman"/>
          <w:color w:val="000000"/>
          <w:sz w:val="24"/>
        </w:rPr>
        <w:t>1.9 “</w:t>
      </w:r>
      <w:r>
        <w:rPr>
          <w:rFonts w:ascii="Times New Roman" w:hAnsi="Times New Roman"/>
          <w:color w:val="000000"/>
          <w:sz w:val="24"/>
          <w:u w:val="single"/>
        </w:rPr>
        <w:t>Earned Royalties</w:t>
      </w:r>
      <w:r>
        <w:rPr>
          <w:rFonts w:ascii="Times New Roman" w:hAnsi="Times New Roman"/>
          <w:color w:val="000000"/>
          <w:sz w:val="20"/>
        </w:rPr>
        <w:t xml:space="preserve">” </w:t>
      </w:r>
      <w:r>
        <w:rPr>
          <w:rFonts w:ascii="Times New Roman" w:hAnsi="Times New Roman"/>
          <w:color w:val="000000"/>
          <w:sz w:val="24"/>
        </w:rPr>
        <w:t>has the meaning assigned to it in Article 8.</w:t>
      </w:r>
    </w:p>
    <w:p>
      <w:pPr>
        <w:pStyle w:val="TextBody"/>
        <w:bidi w:val="0"/>
        <w:ind w:left="0" w:right="0" w:firstLine="720"/>
        <w:jc w:val="left"/>
        <w:rPr>
          <w:rFonts w:ascii="Times New Roman" w:hAnsi="Times New Roman"/>
          <w:sz w:val="20"/>
        </w:rPr>
      </w:pPr>
      <w:r>
        <w:rPr>
          <w:rFonts w:ascii="Times New Roman" w:hAnsi="Times New Roman"/>
          <w:color w:val="000000"/>
          <w:sz w:val="24"/>
        </w:rPr>
        <w:t>1.10 “</w:t>
      </w:r>
      <w:r>
        <w:rPr>
          <w:rFonts w:ascii="Times New Roman" w:hAnsi="Times New Roman"/>
          <w:color w:val="000000"/>
          <w:sz w:val="24"/>
          <w:u w:val="single"/>
        </w:rPr>
        <w:t>Exploitation</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color w:val="000000"/>
          <w:sz w:val="24"/>
          <w:u w:val="single"/>
        </w:rPr>
        <w:t>Exploited</w:t>
      </w:r>
      <w:r>
        <w:rPr>
          <w:rFonts w:ascii="Times New Roman" w:hAnsi="Times New Roman"/>
          <w:color w:val="000000"/>
          <w:sz w:val="20"/>
        </w:rPr>
        <w:t xml:space="preserve">” </w:t>
      </w:r>
      <w:r>
        <w:rPr>
          <w:rFonts w:ascii="Times New Roman" w:hAnsi="Times New Roman"/>
          <w:color w:val="000000"/>
          <w:sz w:val="24"/>
        </w:rPr>
        <w:t xml:space="preserve">means any use which is permitted by this Agreement </w:t>
      </w:r>
      <w:r>
        <w:rPr>
          <w:rFonts w:ascii="Times New Roman" w:hAnsi="Times New Roman"/>
          <w:color w:val="242424"/>
          <w:sz w:val="24"/>
        </w:rPr>
        <w:t>but which does not give rise to Net Sales.</w:t>
      </w:r>
    </w:p>
    <w:p>
      <w:pPr>
        <w:pStyle w:val="TextBody"/>
        <w:bidi w:val="0"/>
        <w:ind w:left="0" w:right="0" w:firstLine="720"/>
        <w:jc w:val="left"/>
        <w:rPr>
          <w:rFonts w:ascii="Times New Roman" w:hAnsi="Times New Roman"/>
          <w:sz w:val="20"/>
        </w:rPr>
      </w:pPr>
      <w:r>
        <w:rPr>
          <w:rFonts w:ascii="Times New Roman" w:hAnsi="Times New Roman"/>
          <w:color w:val="000000"/>
          <w:sz w:val="24"/>
        </w:rPr>
        <w:t>1.11 “</w:t>
      </w:r>
      <w:r>
        <w:rPr>
          <w:rFonts w:ascii="Times New Roman" w:hAnsi="Times New Roman"/>
          <w:color w:val="000000"/>
          <w:sz w:val="24"/>
          <w:u w:val="single"/>
        </w:rPr>
        <w:t>FDA</w:t>
      </w:r>
      <w:r>
        <w:rPr>
          <w:rFonts w:ascii="Times New Roman" w:hAnsi="Times New Roman"/>
          <w:color w:val="000000"/>
          <w:sz w:val="20"/>
        </w:rPr>
        <w:t xml:space="preserve">” </w:t>
      </w:r>
      <w:r>
        <w:rPr>
          <w:rFonts w:ascii="Times New Roman" w:hAnsi="Times New Roman"/>
          <w:color w:val="000000"/>
          <w:sz w:val="24"/>
        </w:rPr>
        <w:t>means the United States Food &amp; Drug Administration.</w:t>
      </w:r>
    </w:p>
    <w:p>
      <w:pPr>
        <w:pStyle w:val="TextBody"/>
        <w:bidi w:val="0"/>
        <w:ind w:left="0" w:right="0" w:firstLine="720"/>
        <w:jc w:val="left"/>
        <w:rPr>
          <w:rFonts w:ascii="Times New Roman" w:hAnsi="Times New Roman"/>
          <w:sz w:val="20"/>
        </w:rPr>
      </w:pPr>
      <w:r>
        <w:rPr>
          <w:rFonts w:ascii="Times New Roman" w:hAnsi="Times New Roman"/>
          <w:color w:val="000000"/>
          <w:sz w:val="24"/>
        </w:rPr>
        <w:t>1.12 “</w:t>
      </w:r>
      <w:r>
        <w:rPr>
          <w:rFonts w:ascii="Times New Roman" w:hAnsi="Times New Roman"/>
          <w:color w:val="000000"/>
          <w:sz w:val="24"/>
          <w:u w:val="single"/>
        </w:rPr>
        <w:t>Field of Use</w:t>
      </w:r>
      <w:r>
        <w:rPr>
          <w:rFonts w:ascii="Times New Roman" w:hAnsi="Times New Roman"/>
          <w:color w:val="000000"/>
          <w:sz w:val="20"/>
        </w:rPr>
        <w:t xml:space="preserve">” </w:t>
      </w:r>
      <w:r>
        <w:rPr>
          <w:rFonts w:ascii="Times New Roman" w:hAnsi="Times New Roman"/>
          <w:color w:val="000000"/>
          <w:sz w:val="24"/>
        </w:rPr>
        <w:t>means all fields and all uses.</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1.13 </w:t>
      </w:r>
      <w:r>
        <w:rPr>
          <w:rFonts w:ascii="Times New Roman" w:hAnsi="Times New Roman"/>
          <w:color w:val="000000"/>
          <w:sz w:val="20"/>
        </w:rPr>
        <w:t>“</w:t>
      </w:r>
      <w:r>
        <w:rPr>
          <w:rFonts w:ascii="Times New Roman" w:hAnsi="Times New Roman"/>
          <w:color w:val="000000"/>
          <w:sz w:val="24"/>
          <w:u w:val="single"/>
        </w:rPr>
        <w:t>foreign</w:t>
      </w:r>
      <w:r>
        <w:rPr>
          <w:rFonts w:ascii="Times New Roman" w:hAnsi="Times New Roman"/>
          <w:color w:val="000000"/>
          <w:sz w:val="20"/>
        </w:rPr>
        <w:t xml:space="preserve">” </w:t>
      </w:r>
      <w:r>
        <w:rPr>
          <w:rFonts w:ascii="Times New Roman" w:hAnsi="Times New Roman"/>
          <w:color w:val="000000"/>
          <w:sz w:val="24"/>
        </w:rPr>
        <w:t>means outside of the United Stales.</w:t>
      </w:r>
    </w:p>
    <w:p>
      <w:pPr>
        <w:pStyle w:val="TextBody"/>
        <w:bidi w:val="0"/>
        <w:ind w:left="0" w:right="0" w:firstLine="720"/>
        <w:jc w:val="left"/>
        <w:rPr>
          <w:rFonts w:ascii="Times New Roman" w:hAnsi="Times New Roman"/>
          <w:sz w:val="20"/>
        </w:rPr>
      </w:pPr>
      <w:r>
        <w:rPr>
          <w:rFonts w:ascii="Times New Roman" w:hAnsi="Times New Roman"/>
          <w:color w:val="000000"/>
          <w:sz w:val="24"/>
        </w:rPr>
        <w:t>1.14 “</w:t>
      </w:r>
      <w:r>
        <w:rPr>
          <w:rFonts w:ascii="Times New Roman" w:hAnsi="Times New Roman"/>
          <w:color w:val="000000"/>
          <w:sz w:val="24"/>
          <w:u w:val="single"/>
        </w:rPr>
        <w:t>Gross Invoice Price</w:t>
      </w:r>
      <w:r>
        <w:rPr>
          <w:rFonts w:ascii="Times New Roman" w:hAnsi="Times New Roman"/>
          <w:color w:val="000000"/>
          <w:sz w:val="20"/>
        </w:rPr>
        <w:t xml:space="preserve">” </w:t>
      </w:r>
      <w:r>
        <w:rPr>
          <w:rFonts w:ascii="Times New Roman" w:hAnsi="Times New Roman"/>
          <w:color w:val="000000"/>
          <w:sz w:val="24"/>
        </w:rPr>
        <w:t>means the Gross Invoice Price charged by, and the value of any other consideration owed to, under legally binding written or oral agreements, the Licensee or Direct Sublicensee or Secondary Sublicensee, as relevant, with respect to the Sale or other disposition of a Licensed Product or Licensed Service, or from a Combined Product or Service, as the case may be.</w:t>
      </w:r>
    </w:p>
    <w:p>
      <w:pPr>
        <w:pStyle w:val="TextBody"/>
        <w:bidi w:val="0"/>
        <w:ind w:left="0" w:right="0" w:firstLine="720"/>
        <w:jc w:val="left"/>
        <w:rPr>
          <w:rFonts w:ascii="Times New Roman" w:hAnsi="Times New Roman"/>
          <w:sz w:val="20"/>
        </w:rPr>
      </w:pPr>
      <w:r>
        <w:rPr>
          <w:rFonts w:ascii="Times New Roman" w:hAnsi="Times New Roman"/>
          <w:color w:val="000000"/>
          <w:sz w:val="24"/>
        </w:rPr>
        <w:t>1.15 “</w:t>
      </w:r>
      <w:r>
        <w:rPr>
          <w:rFonts w:ascii="Times New Roman" w:hAnsi="Times New Roman"/>
          <w:color w:val="000000"/>
          <w:sz w:val="24"/>
          <w:u w:val="single"/>
        </w:rPr>
        <w:t>HHMI Indemnitees</w:t>
      </w:r>
      <w:r>
        <w:rPr>
          <w:rFonts w:ascii="Times New Roman" w:hAnsi="Times New Roman"/>
          <w:color w:val="000000"/>
          <w:sz w:val="20"/>
        </w:rPr>
        <w:t xml:space="preserve">” </w:t>
      </w:r>
      <w:r>
        <w:rPr>
          <w:rFonts w:ascii="Times New Roman" w:hAnsi="Times New Roman"/>
          <w:color w:val="000000"/>
          <w:sz w:val="24"/>
        </w:rPr>
        <w:t>has the meaning assigned to it in Section 23.1.</w:t>
      </w:r>
    </w:p>
    <w:p>
      <w:pPr>
        <w:pStyle w:val="TextBody"/>
        <w:bidi w:val="0"/>
        <w:ind w:left="0" w:right="0" w:firstLine="720"/>
        <w:jc w:val="left"/>
        <w:rPr>
          <w:rFonts w:ascii="Times New Roman" w:hAnsi="Times New Roman"/>
          <w:sz w:val="20"/>
        </w:rPr>
      </w:pPr>
      <w:r>
        <w:rPr>
          <w:rFonts w:ascii="Times New Roman" w:hAnsi="Times New Roman"/>
          <w:color w:val="000000"/>
          <w:sz w:val="24"/>
        </w:rPr>
        <w:t>1.16 “</w:t>
      </w:r>
      <w:r>
        <w:rPr>
          <w:rFonts w:ascii="Times New Roman" w:hAnsi="Times New Roman"/>
          <w:color w:val="000000"/>
          <w:sz w:val="24"/>
          <w:u w:val="single"/>
        </w:rPr>
        <w:t>Infringement Notice</w:t>
      </w:r>
      <w:r>
        <w:rPr>
          <w:rFonts w:ascii="Times New Roman" w:hAnsi="Times New Roman"/>
          <w:color w:val="000000"/>
          <w:sz w:val="20"/>
        </w:rPr>
        <w:t xml:space="preserve">” </w:t>
      </w:r>
      <w:r>
        <w:rPr>
          <w:rFonts w:ascii="Times New Roman" w:hAnsi="Times New Roman"/>
          <w:color w:val="000000"/>
          <w:sz w:val="24"/>
        </w:rPr>
        <w:t>has the meaning assigned to it in Section 22.1.</w:t>
      </w:r>
    </w:p>
    <w:p>
      <w:pPr>
        <w:pStyle w:val="TextBody"/>
        <w:bidi w:val="0"/>
        <w:ind w:left="0" w:right="0" w:firstLine="720"/>
        <w:jc w:val="left"/>
        <w:rPr>
          <w:rFonts w:ascii="Times New Roman" w:hAnsi="Times New Roman"/>
          <w:sz w:val="20"/>
        </w:rPr>
      </w:pPr>
      <w:r>
        <w:rPr>
          <w:rFonts w:ascii="Times New Roman" w:hAnsi="Times New Roman"/>
          <w:color w:val="000000"/>
          <w:sz w:val="24"/>
        </w:rPr>
        <w:t>1.17 “</w:t>
      </w:r>
      <w:r>
        <w:rPr>
          <w:rFonts w:ascii="Times New Roman" w:hAnsi="Times New Roman"/>
          <w:color w:val="000000"/>
          <w:sz w:val="24"/>
          <w:u w:val="single"/>
        </w:rPr>
        <w:t>Joint Venture</w:t>
      </w:r>
      <w:r>
        <w:rPr>
          <w:rFonts w:ascii="Times New Roman" w:hAnsi="Times New Roman"/>
          <w:color w:val="000000"/>
          <w:sz w:val="20"/>
        </w:rPr>
        <w:t xml:space="preserve">” </w:t>
      </w:r>
      <w:r>
        <w:rPr>
          <w:rFonts w:ascii="Times New Roman" w:hAnsi="Times New Roman"/>
          <w:color w:val="000000"/>
          <w:sz w:val="24"/>
        </w:rPr>
        <w:t>means any separate entity established pursuant to an agreement between a third party and the Licensee and/or any Sublicensee to constitute a vehicle for a joint venture, in which the separate entity manufactures, uses, purchases, Sells or acquires Licensed Products from the Licensee or front such Sublicensee.</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1.18 </w:t>
      </w:r>
      <w:r>
        <w:rPr>
          <w:rFonts w:ascii="Times New Roman" w:hAnsi="Times New Roman"/>
          <w:color w:val="000000"/>
          <w:sz w:val="20"/>
        </w:rPr>
        <w:t>“</w:t>
      </w:r>
      <w:r>
        <w:rPr>
          <w:rFonts w:ascii="Times New Roman" w:hAnsi="Times New Roman"/>
          <w:color w:val="000000"/>
          <w:sz w:val="24"/>
          <w:u w:val="single"/>
        </w:rPr>
        <w:t>Know-How</w:t>
      </w:r>
      <w:r>
        <w:rPr>
          <w:rFonts w:ascii="Times New Roman" w:hAnsi="Times New Roman"/>
          <w:color w:val="000000"/>
          <w:sz w:val="20"/>
        </w:rPr>
        <w:t xml:space="preserve">” </w:t>
      </w:r>
      <w:r>
        <w:rPr>
          <w:rFonts w:ascii="Times New Roman" w:hAnsi="Times New Roman"/>
          <w:color w:val="000000"/>
          <w:sz w:val="24"/>
        </w:rPr>
        <w:t xml:space="preserve">means any unpatented proprietary information that exists as of the Effective Date, including without limitation, ideas, concepts, formulas, methods, designs, plans, and any information relating to research and development plans, preclinical and clinical data, chemical synthesis, scale-up and manufacturing, toxicology, regulatory, stability, and biochemical or cellular screening data obtained in UCSF laboratories as of the Effective Date and which are described in </w:t>
      </w:r>
      <w:r>
        <w:rPr>
          <w:rFonts w:ascii="Times New Roman" w:hAnsi="Times New Roman"/>
          <w:color w:val="000000"/>
          <w:sz w:val="24"/>
          <w:u w:val="single"/>
        </w:rPr>
        <w:t>Appendix A</w:t>
      </w:r>
      <w:r>
        <w:rPr>
          <w:rFonts w:ascii="Times New Roman" w:hAnsi="Times New Roman"/>
          <w:color w:val="000000"/>
          <w:sz w:val="20"/>
        </w:rPr>
        <w:t xml:space="preserve"> </w:t>
      </w:r>
      <w:r>
        <w:rPr>
          <w:rFonts w:ascii="Times New Roman" w:hAnsi="Times New Roman"/>
          <w:color w:val="000000"/>
          <w:sz w:val="24"/>
        </w:rPr>
        <w:t>with respect to compounds under UC Case Nos.</w:t>
      </w:r>
      <w:r>
        <w:rPr>
          <w:rFonts w:ascii="Times New Roman" w:hAnsi="Times New Roman"/>
          <w:color w:val="000000"/>
          <w:sz w:val="20"/>
        </w:rPr>
        <w:t xml:space="preserve"> </w:t>
      </w:r>
      <w:r>
        <w:rPr>
          <w:rFonts w:ascii="Times New Roman" w:hAnsi="Times New Roman"/>
          <w:color w:val="000000"/>
          <w:sz w:val="24"/>
        </w:rPr>
        <w:t>[***] which have been synthesized by the Effective Date, and any other information relevant to manufacture, development, commercialization; all of which were developed solely in the laboratory of [***], by [***] or by others working under [***] direct supervision, at UCSF and embodied by the Patent Rights.</w:t>
      </w:r>
    </w:p>
    <w:p>
      <w:pPr>
        <w:pStyle w:val="TextBody"/>
        <w:bidi w:val="0"/>
        <w:ind w:left="0" w:right="0" w:firstLine="720"/>
        <w:jc w:val="left"/>
        <w:rPr>
          <w:rFonts w:ascii="Times New Roman" w:hAnsi="Times New Roman"/>
          <w:sz w:val="20"/>
        </w:rPr>
      </w:pPr>
      <w:r>
        <w:rPr>
          <w:rFonts w:ascii="Times New Roman" w:hAnsi="Times New Roman"/>
          <w:color w:val="000000"/>
          <w:sz w:val="24"/>
        </w:rPr>
        <w:t>1.19 “</w:t>
      </w:r>
      <w:r>
        <w:rPr>
          <w:rFonts w:ascii="Times New Roman" w:hAnsi="Times New Roman"/>
          <w:color w:val="000000"/>
          <w:sz w:val="24"/>
          <w:u w:val="single"/>
        </w:rPr>
        <w:t>License</w:t>
      </w:r>
      <w:r>
        <w:rPr>
          <w:rFonts w:ascii="Times New Roman" w:hAnsi="Times New Roman"/>
          <w:color w:val="000000"/>
          <w:sz w:val="20"/>
        </w:rPr>
        <w:t xml:space="preserve">” </w:t>
      </w:r>
      <w:r>
        <w:rPr>
          <w:rFonts w:ascii="Times New Roman" w:hAnsi="Times New Roman"/>
          <w:color w:val="000000"/>
          <w:sz w:val="24"/>
        </w:rPr>
        <w:t>has the meaning assigned to it in Section 2.1.</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sz w:val="20"/>
        </w:rPr>
      </w:pPr>
      <w:r>
        <w:rPr>
          <w:rFonts w:ascii="Times New Roman" w:hAnsi="Times New Roman"/>
          <w:color w:val="000000"/>
          <w:sz w:val="24"/>
        </w:rPr>
        <w:t>1.20 “</w:t>
      </w:r>
      <w:r>
        <w:rPr>
          <w:rFonts w:ascii="Times New Roman" w:hAnsi="Times New Roman"/>
          <w:color w:val="000000"/>
          <w:sz w:val="24"/>
          <w:u w:val="single"/>
        </w:rPr>
        <w:t>License Issue Fee</w:t>
      </w:r>
      <w:r>
        <w:rPr>
          <w:rFonts w:ascii="Times New Roman" w:hAnsi="Times New Roman"/>
          <w:color w:val="000000"/>
          <w:sz w:val="20"/>
        </w:rPr>
        <w:t xml:space="preserve">” </w:t>
      </w:r>
      <w:r>
        <w:rPr>
          <w:rFonts w:ascii="Times New Roman" w:hAnsi="Times New Roman"/>
          <w:color w:val="000000"/>
          <w:sz w:val="24"/>
        </w:rPr>
        <w:t>has the meaning assigned to it in Section 5.1.</w:t>
      </w:r>
    </w:p>
    <w:p>
      <w:pPr>
        <w:pStyle w:val="TextBody"/>
        <w:bidi w:val="0"/>
        <w:ind w:left="0" w:right="0" w:firstLine="720"/>
        <w:jc w:val="left"/>
        <w:rPr>
          <w:rFonts w:ascii="Times New Roman" w:hAnsi="Times New Roman"/>
          <w:sz w:val="20"/>
        </w:rPr>
      </w:pPr>
      <w:r>
        <w:rPr>
          <w:rFonts w:ascii="Times New Roman" w:hAnsi="Times New Roman"/>
          <w:color w:val="000000"/>
          <w:sz w:val="24"/>
        </w:rPr>
        <w:t>1.21 “</w:t>
      </w:r>
      <w:r>
        <w:rPr>
          <w:rFonts w:ascii="Times New Roman" w:hAnsi="Times New Roman"/>
          <w:color w:val="000000"/>
          <w:sz w:val="24"/>
          <w:u w:val="single"/>
        </w:rPr>
        <w:t>Licensed Method</w:t>
      </w:r>
      <w:r>
        <w:rPr>
          <w:rFonts w:ascii="Times New Roman" w:hAnsi="Times New Roman"/>
          <w:color w:val="000000"/>
          <w:sz w:val="20"/>
        </w:rPr>
        <w:t xml:space="preserve">” </w:t>
      </w:r>
      <w:r>
        <w:rPr>
          <w:rFonts w:ascii="Times New Roman" w:hAnsi="Times New Roman"/>
          <w:color w:val="000000"/>
          <w:sz w:val="24"/>
        </w:rPr>
        <w:t>means any process, art or method the use or practice of which in the relevant Country, but for the License, would infringe, or contribute to, or induce the infringement of, any of the Patent Rights if such relevant Patent Rights were issued and in effect and valid at the time of the infringing activity in such Country.</w:t>
      </w:r>
    </w:p>
    <w:p>
      <w:pPr>
        <w:pStyle w:val="TextBody"/>
        <w:bidi w:val="0"/>
        <w:ind w:left="0" w:right="0" w:firstLine="720"/>
        <w:jc w:val="left"/>
        <w:rPr>
          <w:rFonts w:ascii="Times New Roman" w:hAnsi="Times New Roman"/>
          <w:sz w:val="20"/>
        </w:rPr>
      </w:pPr>
      <w:r>
        <w:rPr>
          <w:rFonts w:ascii="Times New Roman" w:hAnsi="Times New Roman"/>
          <w:color w:val="000000"/>
          <w:sz w:val="24"/>
        </w:rPr>
        <w:t>1.22 “</w:t>
      </w:r>
      <w:r>
        <w:rPr>
          <w:rFonts w:ascii="Times New Roman" w:hAnsi="Times New Roman"/>
          <w:color w:val="000000"/>
          <w:sz w:val="24"/>
          <w:u w:val="single"/>
        </w:rPr>
        <w:t>Licensed Product</w:t>
      </w:r>
      <w:r>
        <w:rPr>
          <w:rFonts w:ascii="Times New Roman" w:hAnsi="Times New Roman"/>
          <w:color w:val="000000"/>
          <w:sz w:val="20"/>
        </w:rPr>
        <w:t xml:space="preserve">” </w:t>
      </w:r>
      <w:r>
        <w:rPr>
          <w:rFonts w:ascii="Times New Roman" w:hAnsi="Times New Roman"/>
          <w:color w:val="000000"/>
          <w:sz w:val="24"/>
        </w:rPr>
        <w:t>means any Product, including, without limitation, a Product for use or used in practicing a Licensed Method and any Product made by practicing a Licensed Method, and including [***] Licensed Products and [***] Licensed Products, as defined in Section 1.23 and 1.24 respectively, the manufacture, use, Sale, offer for Sale or import of which in each case in the relevant Country, but for the License, would infringe, or contribute to, or induce the infringement of, any of the Patent Rights if such relevant Patent Rights were issued and in effect and valid at the time of such infringing activity in the relevant Country.</w:t>
      </w:r>
    </w:p>
    <w:p>
      <w:pPr>
        <w:pStyle w:val="TextBody"/>
        <w:bidi w:val="0"/>
        <w:ind w:left="0" w:right="0" w:firstLine="720"/>
        <w:jc w:val="left"/>
        <w:rPr>
          <w:rFonts w:ascii="Times New Roman" w:hAnsi="Times New Roman"/>
          <w:sz w:val="20"/>
        </w:rPr>
      </w:pPr>
      <w:r>
        <w:rPr>
          <w:rFonts w:ascii="Times New Roman" w:hAnsi="Times New Roman"/>
          <w:color w:val="000000"/>
          <w:sz w:val="24"/>
        </w:rPr>
        <w:t>1.23 “[</w:t>
      </w:r>
      <w:r>
        <w:rPr>
          <w:rFonts w:ascii="Times New Roman" w:hAnsi="Times New Roman"/>
          <w:color w:val="000000"/>
          <w:sz w:val="24"/>
          <w:u w:val="single"/>
        </w:rPr>
        <w:t>***] Licensed Product</w:t>
      </w:r>
      <w:r>
        <w:rPr>
          <w:rFonts w:ascii="Times New Roman" w:hAnsi="Times New Roman"/>
          <w:color w:val="000000"/>
          <w:sz w:val="20"/>
        </w:rPr>
        <w:t xml:space="preserve">” </w:t>
      </w:r>
      <w:r>
        <w:rPr>
          <w:rFonts w:ascii="Times New Roman" w:hAnsi="Times New Roman"/>
          <w:color w:val="000000"/>
          <w:sz w:val="24"/>
        </w:rPr>
        <w:t>means a Licensed Product covered by a Valid Claim in any of the Patent Rights that claim priority to [***].</w:t>
      </w:r>
    </w:p>
    <w:p>
      <w:pPr>
        <w:pStyle w:val="TextBody"/>
        <w:bidi w:val="0"/>
        <w:ind w:left="0" w:right="0" w:firstLine="720"/>
        <w:jc w:val="left"/>
        <w:rPr>
          <w:rFonts w:ascii="Times New Roman" w:hAnsi="Times New Roman"/>
          <w:sz w:val="20"/>
        </w:rPr>
      </w:pPr>
      <w:r>
        <w:rPr>
          <w:rFonts w:ascii="Times New Roman" w:hAnsi="Times New Roman"/>
          <w:color w:val="000000"/>
          <w:sz w:val="24"/>
        </w:rPr>
        <w:t>1.24 “[</w:t>
      </w:r>
      <w:r>
        <w:rPr>
          <w:rFonts w:ascii="Times New Roman" w:hAnsi="Times New Roman"/>
          <w:color w:val="000000"/>
          <w:sz w:val="24"/>
          <w:u w:val="single"/>
        </w:rPr>
        <w:t>***] Licensed Product</w:t>
      </w:r>
      <w:r>
        <w:rPr>
          <w:rFonts w:ascii="Times New Roman" w:hAnsi="Times New Roman"/>
          <w:color w:val="000000"/>
          <w:sz w:val="20"/>
        </w:rPr>
        <w:t xml:space="preserve">” </w:t>
      </w:r>
      <w:r>
        <w:rPr>
          <w:rFonts w:ascii="Times New Roman" w:hAnsi="Times New Roman"/>
          <w:color w:val="000000"/>
          <w:sz w:val="24"/>
        </w:rPr>
        <w:t>means a Licensed Product covered by a Valid Claim in any of the Patent Rights that claim priority to [***].</w:t>
      </w:r>
    </w:p>
    <w:p>
      <w:pPr>
        <w:pStyle w:val="TextBody"/>
        <w:bidi w:val="0"/>
        <w:ind w:left="0" w:right="0" w:firstLine="720"/>
        <w:jc w:val="left"/>
        <w:rPr>
          <w:rFonts w:ascii="Times New Roman" w:hAnsi="Times New Roman"/>
          <w:sz w:val="20"/>
        </w:rPr>
      </w:pPr>
      <w:r>
        <w:rPr>
          <w:rFonts w:ascii="Times New Roman" w:hAnsi="Times New Roman"/>
          <w:color w:val="000000"/>
          <w:sz w:val="24"/>
        </w:rPr>
        <w:t>1.25 “</w:t>
      </w:r>
      <w:r>
        <w:rPr>
          <w:rFonts w:ascii="Times New Roman" w:hAnsi="Times New Roman"/>
          <w:color w:val="000000"/>
          <w:sz w:val="24"/>
          <w:u w:val="single"/>
        </w:rPr>
        <w:t>Licensed Service</w:t>
      </w:r>
      <w:r>
        <w:rPr>
          <w:rFonts w:ascii="Times New Roman" w:hAnsi="Times New Roman"/>
          <w:color w:val="000000"/>
          <w:sz w:val="20"/>
        </w:rPr>
        <w:t xml:space="preserve">” </w:t>
      </w:r>
      <w:r>
        <w:rPr>
          <w:rFonts w:ascii="Times New Roman" w:hAnsi="Times New Roman"/>
          <w:color w:val="000000"/>
          <w:sz w:val="24"/>
        </w:rPr>
        <w:t>means any Service provided for consideration (whether in cash or any other form), when such Service (a) involves the use of a Licensed Product, and/or (b) involves the practice of a Licensed Method, and/or (c) involves the use of Technology Rights.</w:t>
      </w:r>
    </w:p>
    <w:p>
      <w:pPr>
        <w:pStyle w:val="TextBody"/>
        <w:bidi w:val="0"/>
        <w:ind w:left="0" w:right="0" w:firstLine="720"/>
        <w:jc w:val="left"/>
        <w:rPr>
          <w:rFonts w:ascii="Times New Roman" w:hAnsi="Times New Roman"/>
          <w:sz w:val="20"/>
        </w:rPr>
      </w:pPr>
      <w:r>
        <w:rPr>
          <w:rFonts w:ascii="Times New Roman" w:hAnsi="Times New Roman"/>
          <w:color w:val="000000"/>
          <w:sz w:val="24"/>
        </w:rPr>
        <w:t>1.26 “</w:t>
      </w:r>
      <w:r>
        <w:rPr>
          <w:rFonts w:ascii="Times New Roman" w:hAnsi="Times New Roman"/>
          <w:color w:val="000000"/>
          <w:sz w:val="24"/>
          <w:u w:val="single"/>
        </w:rPr>
        <w:t>Milestone Payment</w:t>
      </w:r>
      <w:r>
        <w:rPr>
          <w:rFonts w:ascii="Times New Roman" w:hAnsi="Times New Roman"/>
          <w:color w:val="000000"/>
          <w:sz w:val="20"/>
        </w:rPr>
        <w:t xml:space="preserve">” </w:t>
      </w:r>
      <w:r>
        <w:rPr>
          <w:rFonts w:ascii="Times New Roman" w:hAnsi="Times New Roman"/>
          <w:color w:val="000000"/>
          <w:sz w:val="24"/>
        </w:rPr>
        <w:t>has the meaning assigned to it in Section 9.1.</w:t>
      </w:r>
    </w:p>
    <w:p>
      <w:pPr>
        <w:pStyle w:val="TextBody"/>
        <w:bidi w:val="0"/>
        <w:ind w:left="0" w:right="0" w:firstLine="720"/>
        <w:jc w:val="left"/>
        <w:rPr>
          <w:rFonts w:ascii="Times New Roman" w:hAnsi="Times New Roman"/>
          <w:sz w:val="20"/>
        </w:rPr>
      </w:pPr>
      <w:r>
        <w:rPr>
          <w:rFonts w:ascii="Times New Roman" w:hAnsi="Times New Roman"/>
          <w:color w:val="000000"/>
          <w:sz w:val="24"/>
        </w:rPr>
        <w:t>1.27 “</w:t>
      </w:r>
      <w:r>
        <w:rPr>
          <w:rFonts w:ascii="Times New Roman" w:hAnsi="Times New Roman"/>
          <w:color w:val="000000"/>
          <w:sz w:val="24"/>
          <w:u w:val="single"/>
        </w:rPr>
        <w:t>Minimum Annual Royalty</w:t>
      </w:r>
      <w:r>
        <w:rPr>
          <w:rFonts w:ascii="Times New Roman" w:hAnsi="Times New Roman"/>
          <w:color w:val="000000"/>
          <w:sz w:val="20"/>
        </w:rPr>
        <w:t xml:space="preserve">” </w:t>
      </w:r>
      <w:r>
        <w:rPr>
          <w:rFonts w:ascii="Times New Roman" w:hAnsi="Times New Roman"/>
          <w:color w:val="000000"/>
          <w:sz w:val="24"/>
        </w:rPr>
        <w:t>has the meaning assigned to it in Section 8.2.</w:t>
      </w:r>
    </w:p>
    <w:p>
      <w:pPr>
        <w:pStyle w:val="TextBody"/>
        <w:bidi w:val="0"/>
        <w:ind w:left="0" w:right="0" w:firstLine="720"/>
        <w:jc w:val="left"/>
        <w:rPr>
          <w:rFonts w:ascii="Times New Roman" w:hAnsi="Times New Roman"/>
          <w:sz w:val="20"/>
        </w:rPr>
      </w:pPr>
      <w:r>
        <w:rPr>
          <w:rFonts w:ascii="Times New Roman" w:hAnsi="Times New Roman"/>
          <w:color w:val="242424"/>
          <w:sz w:val="24"/>
        </w:rPr>
        <w:t>1.28 “</w:t>
      </w:r>
      <w:r>
        <w:rPr>
          <w:rFonts w:ascii="Times New Roman" w:hAnsi="Times New Roman"/>
          <w:color w:val="242424"/>
          <w:sz w:val="24"/>
          <w:u w:val="single"/>
        </w:rPr>
        <w:t>Net Sales</w:t>
      </w:r>
      <w:r>
        <w:rPr>
          <w:rFonts w:ascii="Times New Roman" w:hAnsi="Times New Roman"/>
          <w:color w:val="242424"/>
          <w:sz w:val="20"/>
        </w:rPr>
        <w:t xml:space="preserve">” </w:t>
      </w:r>
      <w:r>
        <w:rPr>
          <w:rFonts w:ascii="Times New Roman" w:hAnsi="Times New Roman"/>
          <w:color w:val="242424"/>
          <w:sz w:val="24"/>
        </w:rPr>
        <w:t xml:space="preserve">means, as relevant, (a) all proceeds actually received by the Licensee or </w:t>
      </w:r>
      <w:r>
        <w:rPr>
          <w:rFonts w:ascii="Times New Roman" w:hAnsi="Times New Roman"/>
          <w:color w:val="000000"/>
          <w:sz w:val="24"/>
        </w:rPr>
        <w:t xml:space="preserve">by a Sublicensee from the Sale of any Licensed Product, Licensed Method, or Licensed Service, or (b) all proceeds actually received by the Licensee or by a Sublicensee from the Sale of any Combined Product or Service, in the case of both (a) and (b) above subject to the provisions of subsections (1) through (3) which immediately follow subsection 1.28.7; less in each case the following items, but only to the extent that such item in each case actually pertains to the Sale of such Licensed Product, Licensed Method or Licensed Service, or Combined Product or Service, and are separately billed (the </w:t>
      </w:r>
      <w:r>
        <w:rPr>
          <w:rFonts w:ascii="Times New Roman" w:hAnsi="Times New Roman"/>
          <w:color w:val="000000"/>
          <w:sz w:val="20"/>
        </w:rPr>
        <w:t>“</w:t>
      </w:r>
      <w:r>
        <w:rPr>
          <w:rFonts w:ascii="Times New Roman" w:hAnsi="Times New Roman"/>
          <w:color w:val="000000"/>
          <w:sz w:val="24"/>
          <w:u w:val="single"/>
        </w:rPr>
        <w:t>Deductions</w:t>
      </w:r>
      <w:r>
        <w:rPr>
          <w:rFonts w:ascii="Times New Roman" w:hAnsi="Times New Roman"/>
          <w:color w:val="000000"/>
          <w:sz w:val="20"/>
        </w:rPr>
        <w:t>”</w:t>
      </w:r>
      <w:r>
        <w:rPr>
          <w:rFonts w:ascii="Times New Roman" w:hAnsi="Times New Roman"/>
          <w:color w:val="000000"/>
          <w:sz w:val="24"/>
        </w:rPr>
        <w:t>):</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1.28.1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1.28.2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pBdr/>
        <w:bidi w:val="0"/>
        <w:ind w:left="1440" w:right="0" w:hanging="720"/>
        <w:jc w:val="left"/>
        <w:rPr>
          <w:rFonts w:ascii="Times New Roman" w:hAnsi="Times New Roman"/>
          <w:sz w:val="20"/>
        </w:rPr>
      </w:pPr>
      <w:r>
        <w:rPr>
          <w:rFonts w:ascii="Times New Roman" w:hAnsi="Times New Roman"/>
          <w:color w:val="000000"/>
          <w:sz w:val="24"/>
        </w:rPr>
        <w:t>1.28.3 [***</w:t>
      </w:r>
      <w:r>
        <w:rPr>
          <w:rFonts w:ascii="Times New Roman" w:hAnsi="Times New Roman"/>
          <w:color w:val="202020"/>
          <w:sz w:val="24"/>
        </w:rPr>
        <w:t>]</w:t>
      </w:r>
    </w:p>
    <w:p>
      <w:pPr>
        <w:pStyle w:val="TextBody"/>
        <w:pBdr/>
        <w:bidi w:val="0"/>
        <w:ind w:left="1440" w:right="0" w:hanging="720"/>
        <w:jc w:val="left"/>
        <w:rPr>
          <w:rFonts w:ascii="Times New Roman" w:hAnsi="Times New Roman"/>
          <w:color w:val="232323"/>
          <w:sz w:val="24"/>
        </w:rPr>
      </w:pPr>
      <w:r>
        <w:rPr>
          <w:rFonts w:ascii="Times New Roman" w:hAnsi="Times New Roman"/>
          <w:color w:val="232323"/>
          <w:sz w:val="24"/>
        </w:rPr>
        <w:t>1.28.4 [***]</w:t>
      </w:r>
    </w:p>
    <w:p>
      <w:pPr>
        <w:pStyle w:val="TextBody"/>
        <w:pBdr/>
        <w:bidi w:val="0"/>
        <w:ind w:left="1440" w:right="0" w:hanging="720"/>
        <w:jc w:val="left"/>
        <w:rPr>
          <w:rFonts w:ascii="Times New Roman" w:hAnsi="Times New Roman"/>
          <w:color w:val="212121"/>
          <w:sz w:val="24"/>
        </w:rPr>
      </w:pPr>
      <w:r>
        <w:rPr>
          <w:rFonts w:ascii="Times New Roman" w:hAnsi="Times New Roman"/>
          <w:color w:val="212121"/>
          <w:sz w:val="24"/>
        </w:rPr>
        <w:t>1.28.5 [***]</w:t>
      </w:r>
    </w:p>
    <w:p>
      <w:pPr>
        <w:pStyle w:val="TextBody"/>
        <w:pBdr/>
        <w:bidi w:val="0"/>
        <w:ind w:left="1440" w:right="0" w:hanging="720"/>
        <w:jc w:val="left"/>
        <w:rPr>
          <w:rFonts w:ascii="Times New Roman" w:hAnsi="Times New Roman"/>
          <w:color w:val="222222"/>
          <w:sz w:val="24"/>
        </w:rPr>
      </w:pPr>
      <w:r>
        <w:rPr>
          <w:rFonts w:ascii="Times New Roman" w:hAnsi="Times New Roman"/>
          <w:color w:val="222222"/>
          <w:sz w:val="24"/>
        </w:rPr>
        <w:t>1.28.6 [***]</w:t>
      </w:r>
    </w:p>
    <w:p>
      <w:pPr>
        <w:pStyle w:val="TextBody"/>
        <w:bidi w:val="0"/>
        <w:ind w:left="1440" w:right="0" w:hanging="0"/>
        <w:jc w:val="left"/>
        <w:rPr>
          <w:rFonts w:ascii="Times New Roman" w:hAnsi="Times New Roman"/>
          <w:sz w:val="20"/>
        </w:rPr>
      </w:pPr>
      <w:r>
        <w:rPr>
          <w:rFonts w:ascii="Times New Roman" w:hAnsi="Times New Roman"/>
          <w:color w:val="242424"/>
          <w:sz w:val="24"/>
        </w:rPr>
        <w:t>1.28.7 [***</w:t>
      </w:r>
      <w:r>
        <w:rPr>
          <w:rFonts w:ascii="Times New Roman" w:hAnsi="Times New Roman"/>
          <w:color w:val="222222"/>
          <w:sz w:val="24"/>
        </w:rPr>
        <w:t>]</w:t>
      </w:r>
    </w:p>
    <w:p>
      <w:pPr>
        <w:pStyle w:val="TextBody"/>
        <w:bidi w:val="0"/>
        <w:ind w:left="0" w:right="0" w:firstLine="1440"/>
        <w:jc w:val="left"/>
        <w:rPr>
          <w:rFonts w:ascii="Times New Roman" w:hAnsi="Times New Roman"/>
          <w:color w:val="000000"/>
          <w:sz w:val="24"/>
        </w:rPr>
      </w:pPr>
      <w:r>
        <w:rPr>
          <w:rFonts w:ascii="Times New Roman" w:hAnsi="Times New Roman"/>
          <w:color w:val="000000"/>
          <w:sz w:val="24"/>
        </w:rPr>
        <w:t>(1) [***]</w:t>
      </w:r>
    </w:p>
    <w:p>
      <w:pPr>
        <w:pStyle w:val="TextBody"/>
        <w:bidi w:val="0"/>
        <w:ind w:left="0" w:right="0" w:firstLine="2160"/>
        <w:jc w:val="left"/>
        <w:rPr>
          <w:rFonts w:ascii="Times New Roman" w:hAnsi="Times New Roman"/>
          <w:color w:val="000000"/>
          <w:sz w:val="24"/>
        </w:rPr>
      </w:pPr>
      <w:r>
        <w:rPr>
          <w:rFonts w:ascii="Times New Roman" w:hAnsi="Times New Roman"/>
          <w:color w:val="000000"/>
          <w:sz w:val="24"/>
        </w:rPr>
        <w:t>[***]</w:t>
      </w:r>
    </w:p>
    <w:p>
      <w:pPr>
        <w:pStyle w:val="TextBody"/>
        <w:bidi w:val="0"/>
        <w:ind w:left="1440" w:right="0" w:firstLine="720"/>
        <w:jc w:val="left"/>
        <w:rPr>
          <w:rFonts w:ascii="Times New Roman" w:hAnsi="Times New Roman"/>
          <w:sz w:val="20"/>
        </w:rPr>
      </w:pPr>
      <w:r>
        <w:rPr>
          <w:rFonts w:ascii="Times New Roman" w:hAnsi="Times New Roman"/>
          <w:color w:val="000000"/>
          <w:sz w:val="24"/>
        </w:rPr>
        <w:t>(i) [</w:t>
      </w:r>
      <w:r>
        <w:rPr>
          <w:rFonts w:ascii="Times New Roman" w:hAnsi="Times New Roman"/>
          <w:color w:val="222222"/>
          <w:sz w:val="24"/>
        </w:rPr>
        <w:t>***</w:t>
      </w:r>
      <w:r>
        <w:rPr>
          <w:rFonts w:ascii="Times New Roman" w:hAnsi="Times New Roman"/>
          <w:color w:val="000000"/>
          <w:sz w:val="24"/>
        </w:rPr>
        <w:t>]</w:t>
      </w:r>
    </w:p>
    <w:p>
      <w:pPr>
        <w:pStyle w:val="TextBody"/>
        <w:bidi w:val="0"/>
        <w:ind w:left="2160" w:right="0" w:hanging="0"/>
        <w:jc w:val="left"/>
        <w:rPr>
          <w:rFonts w:ascii="Times New Roman" w:hAnsi="Times New Roman"/>
          <w:color w:val="000000"/>
          <w:sz w:val="24"/>
        </w:rPr>
      </w:pPr>
      <w:r>
        <w:rPr>
          <w:rFonts w:ascii="Times New Roman" w:hAnsi="Times New Roman"/>
          <w:color w:val="000000"/>
          <w:sz w:val="24"/>
        </w:rPr>
        <w:t>(ii) [***]</w:t>
      </w:r>
    </w:p>
    <w:p>
      <w:pPr>
        <w:pStyle w:val="TextBody"/>
        <w:bidi w:val="0"/>
        <w:ind w:left="1440" w:right="0" w:hanging="0"/>
        <w:jc w:val="left"/>
        <w:rPr>
          <w:rFonts w:ascii="Times New Roman" w:hAnsi="Times New Roman"/>
          <w:sz w:val="20"/>
        </w:rPr>
      </w:pPr>
      <w:r>
        <w:rPr>
          <w:rFonts w:ascii="Times New Roman" w:hAnsi="Times New Roman"/>
          <w:color w:val="212121"/>
          <w:sz w:val="24"/>
        </w:rPr>
        <w:t>(2) [***</w:t>
      </w:r>
      <w:r>
        <w:rPr>
          <w:rFonts w:ascii="Times New Roman" w:hAnsi="Times New Roman"/>
          <w:color w:val="000000"/>
          <w:sz w:val="24"/>
        </w:rPr>
        <w:t>]</w:t>
      </w:r>
    </w:p>
    <w:p>
      <w:pPr>
        <w:pStyle w:val="TextBody"/>
        <w:bidi w:val="0"/>
        <w:ind w:left="0" w:right="0" w:firstLine="1440"/>
        <w:jc w:val="left"/>
        <w:rPr>
          <w:rFonts w:ascii="Times New Roman" w:hAnsi="Times New Roman"/>
          <w:sz w:val="20"/>
        </w:rPr>
      </w:pPr>
      <w:r>
        <w:rPr>
          <w:rFonts w:ascii="Times New Roman" w:hAnsi="Times New Roman"/>
          <w:color w:val="222222"/>
          <w:sz w:val="24"/>
        </w:rPr>
        <w:t>(3) [***</w:t>
      </w:r>
      <w:r>
        <w:rPr>
          <w:rFonts w:ascii="Times New Roman" w:hAnsi="Times New Roman"/>
          <w:color w:val="000000"/>
          <w:sz w:val="24"/>
        </w:rPr>
        <w:t>]</w:t>
      </w:r>
    </w:p>
    <w:p>
      <w:pPr>
        <w:pStyle w:val="TextBody"/>
        <w:bidi w:val="0"/>
        <w:ind w:left="0" w:right="0" w:firstLine="720"/>
        <w:jc w:val="left"/>
        <w:rPr>
          <w:rFonts w:ascii="Times New Roman" w:hAnsi="Times New Roman"/>
          <w:sz w:val="20"/>
        </w:rPr>
      </w:pPr>
      <w:r>
        <w:rPr>
          <w:rFonts w:ascii="Times New Roman" w:hAnsi="Times New Roman"/>
          <w:color w:val="000000"/>
          <w:sz w:val="24"/>
        </w:rPr>
        <w:t>1.29 “</w:t>
      </w:r>
      <w:r>
        <w:rPr>
          <w:rFonts w:ascii="Times New Roman" w:hAnsi="Times New Roman"/>
          <w:color w:val="000000"/>
          <w:sz w:val="24"/>
          <w:u w:val="single"/>
        </w:rPr>
        <w:t>New Developments</w:t>
      </w:r>
      <w:r>
        <w:rPr>
          <w:rFonts w:ascii="Times New Roman" w:hAnsi="Times New Roman"/>
          <w:color w:val="000000"/>
          <w:sz w:val="20"/>
        </w:rPr>
        <w:t xml:space="preserve">” </w:t>
      </w:r>
      <w:r>
        <w:rPr>
          <w:rFonts w:ascii="Times New Roman" w:hAnsi="Times New Roman"/>
          <w:color w:val="000000"/>
          <w:sz w:val="24"/>
        </w:rPr>
        <w:t>means inventions, or claims to inventions, which constitute advancements, developments or improvements, whether or not patentable and whether or not the subject of any patent application, which are not sufficiently supported by the specification of a previously-filed patent or patent application within the Patent Rights to be entitled to the priority date of the previously-filed patent or patent application.</w:t>
      </w:r>
    </w:p>
    <w:p>
      <w:pPr>
        <w:pStyle w:val="TextBody"/>
        <w:bidi w:val="0"/>
        <w:ind w:left="0" w:right="0" w:firstLine="720"/>
        <w:jc w:val="left"/>
        <w:rPr>
          <w:rFonts w:ascii="Times New Roman" w:hAnsi="Times New Roman"/>
          <w:sz w:val="20"/>
        </w:rPr>
      </w:pPr>
      <w:r>
        <w:rPr>
          <w:rFonts w:ascii="Times New Roman" w:hAnsi="Times New Roman"/>
          <w:color w:val="000000"/>
          <w:sz w:val="24"/>
        </w:rPr>
        <w:t>1.30 “</w:t>
      </w:r>
      <w:r>
        <w:rPr>
          <w:rFonts w:ascii="Times New Roman" w:hAnsi="Times New Roman"/>
          <w:color w:val="000000"/>
          <w:sz w:val="24"/>
          <w:u w:val="single"/>
        </w:rPr>
        <w:t>Notice of Default</w:t>
      </w:r>
      <w:r>
        <w:rPr>
          <w:rFonts w:ascii="Times New Roman" w:hAnsi="Times New Roman"/>
          <w:color w:val="000000"/>
          <w:sz w:val="20"/>
        </w:rPr>
        <w:t xml:space="preserve">” </w:t>
      </w:r>
      <w:r>
        <w:rPr>
          <w:rFonts w:ascii="Times New Roman" w:hAnsi="Times New Roman"/>
          <w:color w:val="000000"/>
          <w:sz w:val="24"/>
        </w:rPr>
        <w:t>has the meaning assigned to it in Article 14.</w:t>
      </w:r>
    </w:p>
    <w:p>
      <w:pPr>
        <w:pStyle w:val="TextBody"/>
        <w:bidi w:val="0"/>
        <w:ind w:left="0" w:right="0" w:firstLine="720"/>
        <w:jc w:val="left"/>
        <w:rPr>
          <w:rFonts w:ascii="Times New Roman" w:hAnsi="Times New Roman"/>
          <w:sz w:val="20"/>
        </w:rPr>
      </w:pPr>
      <w:r>
        <w:rPr>
          <w:rFonts w:ascii="Times New Roman" w:hAnsi="Times New Roman"/>
          <w:color w:val="000000"/>
          <w:sz w:val="24"/>
        </w:rPr>
        <w:t>1.31 “</w:t>
      </w:r>
      <w:r>
        <w:rPr>
          <w:rFonts w:ascii="Times New Roman" w:hAnsi="Times New Roman"/>
          <w:color w:val="000000"/>
          <w:sz w:val="24"/>
          <w:u w:val="single"/>
        </w:rPr>
        <w:t>Original Materials</w:t>
      </w:r>
      <w:r>
        <w:rPr>
          <w:rFonts w:ascii="Times New Roman" w:hAnsi="Times New Roman"/>
          <w:color w:val="000000"/>
          <w:sz w:val="20"/>
        </w:rPr>
        <w:t xml:space="preserve">” </w:t>
      </w:r>
      <w:r>
        <w:rPr>
          <w:rFonts w:ascii="Times New Roman" w:hAnsi="Times New Roman"/>
          <w:color w:val="000000"/>
          <w:sz w:val="24"/>
        </w:rPr>
        <w:t xml:space="preserve">means physical material of one or more of the chemical compounds listed in </w:t>
      </w:r>
      <w:r>
        <w:rPr>
          <w:rFonts w:ascii="Times New Roman" w:hAnsi="Times New Roman"/>
          <w:color w:val="000000"/>
          <w:sz w:val="24"/>
          <w:u w:val="single"/>
        </w:rPr>
        <w:t>Appendix A</w:t>
      </w:r>
      <w:r>
        <w:rPr>
          <w:rFonts w:ascii="Times New Roman" w:hAnsi="Times New Roman"/>
          <w:color w:val="000000"/>
          <w:sz w:val="20"/>
        </w:rPr>
        <w:t xml:space="preserve"> </w:t>
      </w:r>
      <w:r>
        <w:rPr>
          <w:rFonts w:ascii="Times New Roman" w:hAnsi="Times New Roman"/>
          <w:color w:val="000000"/>
          <w:sz w:val="24"/>
        </w:rPr>
        <w:t>attached hereto and incorporated herein by reference that exists as of the Effective Date.</w:t>
      </w:r>
    </w:p>
    <w:p>
      <w:pPr>
        <w:pStyle w:val="TextBody"/>
        <w:bidi w:val="0"/>
        <w:ind w:left="0" w:right="0" w:firstLine="720"/>
        <w:jc w:val="left"/>
        <w:rPr>
          <w:rFonts w:ascii="Times New Roman" w:hAnsi="Times New Roman"/>
          <w:sz w:val="20"/>
        </w:rPr>
      </w:pPr>
      <w:r>
        <w:rPr>
          <w:rFonts w:ascii="Times New Roman" w:hAnsi="Times New Roman"/>
          <w:color w:val="000000"/>
          <w:sz w:val="24"/>
        </w:rPr>
        <w:t>1.32 “</w:t>
      </w:r>
      <w:r>
        <w:rPr>
          <w:rFonts w:ascii="Times New Roman" w:hAnsi="Times New Roman"/>
          <w:color w:val="000000"/>
          <w:sz w:val="24"/>
          <w:u w:val="single"/>
        </w:rPr>
        <w:t>Patent Prosecution Costs</w:t>
      </w:r>
      <w:r>
        <w:rPr>
          <w:rFonts w:ascii="Times New Roman" w:hAnsi="Times New Roman"/>
          <w:color w:val="000000"/>
          <w:sz w:val="20"/>
        </w:rPr>
        <w:t xml:space="preserve">” </w:t>
      </w:r>
      <w:r>
        <w:rPr>
          <w:rFonts w:ascii="Times New Roman" w:hAnsi="Times New Roman"/>
          <w:color w:val="000000"/>
          <w:sz w:val="24"/>
        </w:rPr>
        <w:t>means the costs of preparing, filing, prosecuting and maintaining all United States and foreign patent applications contemplated by this Agreement including, without limitation, patent prosecution costs for the Invention incurred by The Regents prior to the execution of this Agreement and any patent prosecution costs that may be incurred for patentability opinions, re-examination, re-issue, interferences, oppositions or inventorship determinations, and patent maintenance expenses, in each case during the term of this Agreement.</w:t>
      </w:r>
    </w:p>
    <w:p>
      <w:pPr>
        <w:pStyle w:val="TextBody"/>
        <w:bidi w:val="0"/>
        <w:spacing w:before="0" w:after="120"/>
        <w:ind w:left="0" w:right="0" w:firstLine="720"/>
        <w:jc w:val="left"/>
        <w:rPr>
          <w:rFonts w:ascii="Times New Roman" w:hAnsi="Times New Roman"/>
          <w:sz w:val="20"/>
        </w:rPr>
      </w:pPr>
      <w:r>
        <w:rPr>
          <w:rFonts w:ascii="Times New Roman" w:hAnsi="Times New Roman"/>
          <w:color w:val="000000"/>
          <w:sz w:val="24"/>
        </w:rPr>
        <w:t>1.33 “</w:t>
      </w:r>
      <w:r>
        <w:rPr>
          <w:rFonts w:ascii="Times New Roman" w:hAnsi="Times New Roman"/>
          <w:color w:val="000000"/>
          <w:sz w:val="24"/>
          <w:u w:val="single"/>
        </w:rPr>
        <w:t>Patent Rights</w:t>
      </w:r>
      <w:r>
        <w:rPr>
          <w:rFonts w:ascii="Times New Roman" w:hAnsi="Times New Roman"/>
          <w:color w:val="000000"/>
          <w:sz w:val="20"/>
        </w:rPr>
        <w:t xml:space="preserve">” </w:t>
      </w:r>
      <w:r>
        <w:rPr>
          <w:rFonts w:ascii="Times New Roman" w:hAnsi="Times New Roman"/>
          <w:color w:val="000000"/>
          <w:sz w:val="24"/>
        </w:rPr>
        <w:t>means the Valid Claims of, to the extent assigned to or otherwise obtained by The Regents, the following United States patents and patent applications:</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sz w:val="20"/>
        </w:rPr>
      </w:pPr>
      <w:r>
        <w:rPr>
          <w:rFonts w:ascii="Times New Roman" w:hAnsi="Times New Roman"/>
          <w:color w:val="000000"/>
          <w:sz w:val="24"/>
        </w:rPr>
        <w:t>[</w:t>
      </w:r>
      <w:r>
        <w:rPr>
          <w:rFonts w:ascii="Times New Roman" w:hAnsi="Times New Roman"/>
          <w:color w:val="292929"/>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Patent Rights will further include (a) the Valid Claims of, to the extent assigned to or otherwise obtained by The Regents, the corresponding foreign patents and patent applications (as may be requested by the Licensee of The Regents pursuant to Section 20.5) and (b) any reexaminations, extensions or restorations by existing or future extension or restoration mechanisms, including supplementary protection certificates or the equivalent thereof, reissues, substitutions, continuations, divisions, and continuation-in-part (but only those Valid Claims in the continuation-in-part that are entirely supported in the specification of the parent application and entitled to the priority date of the parent application), but excludes any rights in and to New Developments.</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1.34 </w:t>
      </w:r>
      <w:r>
        <w:rPr>
          <w:rFonts w:ascii="Times New Roman" w:hAnsi="Times New Roman"/>
          <w:color w:val="000000"/>
          <w:sz w:val="20"/>
        </w:rPr>
        <w:t>“</w:t>
      </w:r>
      <w:r>
        <w:rPr>
          <w:rFonts w:ascii="Times New Roman" w:hAnsi="Times New Roman"/>
          <w:color w:val="000000"/>
          <w:sz w:val="24"/>
          <w:u w:val="single"/>
        </w:rPr>
        <w:t>Product</w:t>
      </w:r>
      <w:r>
        <w:rPr>
          <w:rFonts w:ascii="Times New Roman" w:hAnsi="Times New Roman"/>
          <w:color w:val="000000"/>
          <w:sz w:val="20"/>
        </w:rPr>
        <w:t xml:space="preserve">” </w:t>
      </w:r>
      <w:r>
        <w:rPr>
          <w:rFonts w:ascii="Times New Roman" w:hAnsi="Times New Roman"/>
          <w:color w:val="000000"/>
          <w:sz w:val="24"/>
        </w:rPr>
        <w:t xml:space="preserve">means any kit, article of manufacture, composition of matter, material, </w:t>
      </w:r>
      <w:r>
        <w:rPr>
          <w:rFonts w:ascii="Times New Roman" w:hAnsi="Times New Roman"/>
          <w:color w:val="242424"/>
          <w:sz w:val="24"/>
        </w:rPr>
        <w:t>compound, component or other product.</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1.35 </w:t>
      </w:r>
      <w:r>
        <w:rPr>
          <w:rFonts w:ascii="Times New Roman" w:hAnsi="Times New Roman"/>
          <w:color w:val="000000"/>
          <w:sz w:val="20"/>
        </w:rPr>
        <w:t>“</w:t>
      </w:r>
      <w:r>
        <w:rPr>
          <w:rFonts w:ascii="Times New Roman" w:hAnsi="Times New Roman"/>
          <w:color w:val="000000"/>
          <w:sz w:val="24"/>
          <w:u w:val="single"/>
        </w:rPr>
        <w:t>Proprietary Information</w:t>
      </w:r>
      <w:r>
        <w:rPr>
          <w:rFonts w:ascii="Times New Roman" w:hAnsi="Times New Roman"/>
          <w:color w:val="000000"/>
          <w:sz w:val="20"/>
        </w:rPr>
        <w:t xml:space="preserve">” </w:t>
      </w:r>
      <w:r>
        <w:rPr>
          <w:rFonts w:ascii="Times New Roman" w:hAnsi="Times New Roman"/>
          <w:color w:val="000000"/>
          <w:sz w:val="24"/>
        </w:rPr>
        <w:t>has the meaning assigned to it in Section 31.1</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1.36 </w:t>
      </w:r>
      <w:r>
        <w:rPr>
          <w:rFonts w:ascii="Times New Roman" w:hAnsi="Times New Roman"/>
          <w:color w:val="000000"/>
          <w:sz w:val="20"/>
        </w:rPr>
        <w:t>“</w:t>
      </w:r>
      <w:r>
        <w:rPr>
          <w:rFonts w:ascii="Times New Roman" w:hAnsi="Times New Roman"/>
          <w:color w:val="000000"/>
          <w:sz w:val="24"/>
          <w:u w:val="single"/>
        </w:rPr>
        <w:t>Sale</w:t>
      </w:r>
      <w:r>
        <w:rPr>
          <w:rFonts w:ascii="Times New Roman" w:hAnsi="Times New Roman"/>
          <w:color w:val="000000"/>
          <w:sz w:val="24"/>
        </w:rPr>
        <w:t>,” “</w:t>
      </w:r>
      <w:r>
        <w:rPr>
          <w:rFonts w:ascii="Times New Roman" w:hAnsi="Times New Roman"/>
          <w:color w:val="000000"/>
          <w:sz w:val="24"/>
          <w:u w:val="single"/>
        </w:rPr>
        <w:t>Sell,</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0"/>
        </w:rPr>
        <w:t>“</w:t>
      </w:r>
      <w:r>
        <w:rPr>
          <w:rFonts w:ascii="Times New Roman" w:hAnsi="Times New Roman"/>
          <w:color w:val="000000"/>
          <w:sz w:val="24"/>
          <w:u w:val="single"/>
        </w:rPr>
        <w:t>Sold</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Sale</w:t>
      </w:r>
      <w:r>
        <w:rPr>
          <w:rFonts w:ascii="Times New Roman" w:hAnsi="Times New Roman"/>
          <w:color w:val="000000"/>
          <w:sz w:val="20"/>
        </w:rPr>
        <w:t xml:space="preserve">” </w:t>
      </w:r>
      <w:r>
        <w:rPr>
          <w:rFonts w:ascii="Times New Roman" w:hAnsi="Times New Roman"/>
          <w:color w:val="000000"/>
          <w:sz w:val="24"/>
        </w:rPr>
        <w:t>means the act of selling, leasing or otherwise transferring, providing, or furnishing or disposing for use, in each case for any consideration (regardless of the form of the consideration), which if non-cash will have the monetary value in dollars that would be obtained for such consideration in</w:t>
      </w:r>
      <w:r>
        <w:rPr>
          <w:rFonts w:ascii="Times New Roman" w:hAnsi="Times New Roman"/>
          <w:color w:val="C7C7C7"/>
          <w:sz w:val="20"/>
        </w:rPr>
        <w:t xml:space="preserve"> </w:t>
      </w:r>
      <w:r>
        <w:rPr>
          <w:rFonts w:ascii="Times New Roman" w:hAnsi="Times New Roman"/>
          <w:color w:val="000000"/>
          <w:sz w:val="24"/>
        </w:rPr>
        <w:t xml:space="preserve">an arms length transaction at the time of such transfer, provision, furnishing, or disposition, and provided that if either party hereto disputes in good faith the determination by the other party hereto as to such monetary value, the parties will discuss and resolve such matter promptly and in good faith. </w:t>
      </w:r>
      <w:r>
        <w:rPr>
          <w:rFonts w:ascii="Times New Roman" w:hAnsi="Times New Roman"/>
          <w:color w:val="000000"/>
          <w:sz w:val="20"/>
        </w:rPr>
        <w:t>“</w:t>
      </w:r>
      <w:r>
        <w:rPr>
          <w:rFonts w:ascii="Times New Roman" w:hAnsi="Times New Roman"/>
          <w:color w:val="000000"/>
          <w:sz w:val="24"/>
          <w:u w:val="single"/>
        </w:rPr>
        <w:t>Sell</w:t>
      </w:r>
      <w:r>
        <w:rPr>
          <w:rFonts w:ascii="Times New Roman" w:hAnsi="Times New Roman"/>
          <w:color w:val="000000"/>
          <w:sz w:val="20"/>
        </w:rPr>
        <w:t xml:space="preserve">” </w:t>
      </w:r>
      <w:r>
        <w:rPr>
          <w:rFonts w:ascii="Times New Roman" w:hAnsi="Times New Roman"/>
          <w:color w:val="000000"/>
          <w:sz w:val="24"/>
        </w:rPr>
        <w:t xml:space="preserve">means to make a Sale or to cause a Sale to be made. </w:t>
      </w:r>
      <w:r>
        <w:rPr>
          <w:rFonts w:ascii="Times New Roman" w:hAnsi="Times New Roman"/>
          <w:color w:val="000000"/>
          <w:sz w:val="20"/>
        </w:rPr>
        <w:t>“</w:t>
      </w:r>
      <w:r>
        <w:rPr>
          <w:rFonts w:ascii="Times New Roman" w:hAnsi="Times New Roman"/>
          <w:color w:val="000000"/>
          <w:sz w:val="24"/>
          <w:u w:val="single"/>
        </w:rPr>
        <w:t>Sold</w:t>
      </w:r>
      <w:r>
        <w:rPr>
          <w:rFonts w:ascii="Times New Roman" w:hAnsi="Times New Roman"/>
          <w:color w:val="000000"/>
          <w:sz w:val="20"/>
        </w:rPr>
        <w:t xml:space="preserve">” </w:t>
      </w:r>
      <w:r>
        <w:rPr>
          <w:rFonts w:ascii="Times New Roman" w:hAnsi="Times New Roman"/>
          <w:color w:val="000000"/>
          <w:sz w:val="24"/>
        </w:rPr>
        <w:t>means to have made a Sale or to have caused a Sale to be made. Licensed Products provided by the Licensee or any Sublicensee for administration in preclinical trials, and to patients in clinical trials, or to be distributed through a not-for-profit foundation or other not-for-profit organization at no charge or at a nominal charge by such foundation or organization to eligible patients, in each case will not be deemed to be Sold (but will be deemed to be Exploited), if in such case the relevant providing party (as among the Licensee and Sublicensees) receives no consideration from the party conducting such preclinical trials or clinical trials, nor otherwise from such preclinical trials or clinical trials, nor from such not-for-profit foundations or organizations, as relevant, for such use of such Licensed Products, and provided that (a) the obtaining by the providing party (as among the Licensee and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Sublicensees) of rights to data or results of any preclinical trials or clinical trials will not be deemed to be the receipt of consideration by the providing party (as among the Licensee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Sublicensees), and (b) the provision by the providing party (as among the Licensee and Sublicensees) of any Licensed Products to their respective third party consultants and contractors for the purpose of performing research on and/or development of a Licensed Product or Licensed Service for the providing party will not be deemed to be a Sale but will be deemed to be an Exploitation.</w:t>
      </w:r>
    </w:p>
    <w:p>
      <w:pPr>
        <w:pStyle w:val="TextBody"/>
        <w:bidi w:val="0"/>
        <w:ind w:left="0" w:right="0" w:firstLine="720"/>
        <w:jc w:val="left"/>
        <w:rPr>
          <w:rFonts w:ascii="Times New Roman" w:hAnsi="Times New Roman"/>
          <w:sz w:val="20"/>
        </w:rPr>
      </w:pPr>
      <w:r>
        <w:rPr>
          <w:rFonts w:ascii="Times New Roman" w:hAnsi="Times New Roman"/>
          <w:color w:val="000000"/>
          <w:sz w:val="24"/>
        </w:rPr>
        <w:t>1.37 “</w:t>
      </w:r>
      <w:r>
        <w:rPr>
          <w:rFonts w:ascii="Times New Roman" w:hAnsi="Times New Roman"/>
          <w:color w:val="000000"/>
          <w:sz w:val="24"/>
          <w:u w:val="single"/>
        </w:rPr>
        <w:t>Service</w:t>
      </w:r>
      <w:r>
        <w:rPr>
          <w:rFonts w:ascii="Times New Roman" w:hAnsi="Times New Roman"/>
          <w:color w:val="000000"/>
          <w:sz w:val="20"/>
        </w:rPr>
        <w:t xml:space="preserve">” </w:t>
      </w:r>
      <w:r>
        <w:rPr>
          <w:rFonts w:ascii="Times New Roman" w:hAnsi="Times New Roman"/>
          <w:color w:val="000000"/>
          <w:sz w:val="24"/>
        </w:rPr>
        <w:t>means any service provided for consideration (whether in cash or any other form).</w:t>
      </w:r>
    </w:p>
    <w:p>
      <w:pPr>
        <w:pStyle w:val="TextBody"/>
        <w:bidi w:val="0"/>
        <w:ind w:left="0" w:right="0" w:firstLine="720"/>
        <w:jc w:val="left"/>
        <w:rPr>
          <w:rFonts w:ascii="Times New Roman" w:hAnsi="Times New Roman"/>
          <w:sz w:val="20"/>
        </w:rPr>
      </w:pPr>
      <w:r>
        <w:rPr>
          <w:rFonts w:ascii="Times New Roman" w:hAnsi="Times New Roman"/>
          <w:color w:val="222222"/>
          <w:sz w:val="24"/>
        </w:rPr>
        <w:t>1.38 “</w:t>
      </w:r>
      <w:r>
        <w:rPr>
          <w:rFonts w:ascii="Times New Roman" w:hAnsi="Times New Roman"/>
          <w:color w:val="222222"/>
          <w:sz w:val="24"/>
          <w:u w:val="single"/>
        </w:rPr>
        <w:t>Sublicensee</w:t>
      </w:r>
      <w:r>
        <w:rPr>
          <w:rFonts w:ascii="Times New Roman" w:hAnsi="Times New Roman"/>
          <w:color w:val="222222"/>
          <w:sz w:val="20"/>
        </w:rPr>
        <w:t xml:space="preserve">” </w:t>
      </w:r>
      <w:r>
        <w:rPr>
          <w:rFonts w:ascii="Times New Roman" w:hAnsi="Times New Roman"/>
          <w:color w:val="222222"/>
          <w:sz w:val="24"/>
        </w:rPr>
        <w:t xml:space="preserve">means any Direct Sublicensee </w:t>
      </w:r>
      <w:r>
        <w:rPr>
          <w:rFonts w:ascii="Times New Roman" w:hAnsi="Times New Roman"/>
          <w:color w:val="000000"/>
          <w:sz w:val="24"/>
        </w:rPr>
        <w:t xml:space="preserve">or </w:t>
      </w:r>
      <w:r>
        <w:rPr>
          <w:rFonts w:ascii="Times New Roman" w:hAnsi="Times New Roman"/>
          <w:color w:val="222222"/>
          <w:sz w:val="24"/>
        </w:rPr>
        <w:t>Secondary Sublicensee.</w:t>
      </w:r>
    </w:p>
    <w:p>
      <w:pPr>
        <w:pStyle w:val="TextBody"/>
        <w:bidi w:val="0"/>
        <w:ind w:left="0" w:right="0" w:firstLine="720"/>
        <w:jc w:val="left"/>
        <w:rPr>
          <w:rFonts w:ascii="Times New Roman" w:hAnsi="Times New Roman"/>
          <w:sz w:val="20"/>
        </w:rPr>
      </w:pPr>
      <w:r>
        <w:rPr>
          <w:rFonts w:ascii="Times New Roman" w:hAnsi="Times New Roman"/>
          <w:color w:val="212121"/>
          <w:sz w:val="24"/>
        </w:rPr>
        <w:t xml:space="preserve">1.39 </w:t>
      </w:r>
      <w:r>
        <w:rPr>
          <w:rFonts w:ascii="Times New Roman" w:hAnsi="Times New Roman"/>
          <w:color w:val="000000"/>
          <w:sz w:val="20"/>
        </w:rPr>
        <w:t>“</w:t>
      </w:r>
      <w:r>
        <w:rPr>
          <w:rFonts w:ascii="Times New Roman" w:hAnsi="Times New Roman"/>
          <w:color w:val="212121"/>
          <w:sz w:val="24"/>
          <w:u w:val="single"/>
        </w:rPr>
        <w:t>Direct Sublicensee</w:t>
      </w:r>
      <w:r>
        <w:rPr>
          <w:rFonts w:ascii="Times New Roman" w:hAnsi="Times New Roman"/>
          <w:color w:val="212121"/>
          <w:sz w:val="20"/>
        </w:rPr>
        <w:t xml:space="preserve">” </w:t>
      </w:r>
      <w:r>
        <w:rPr>
          <w:rFonts w:ascii="Times New Roman" w:hAnsi="Times New Roman"/>
          <w:color w:val="212121"/>
          <w:sz w:val="24"/>
        </w:rPr>
        <w:t>means any person or entity (including any Affiliate or Joint Venture) to which any of the License rights granted to the Licensee hereunder are sublicensed by the Licensee.</w:t>
      </w:r>
    </w:p>
    <w:p>
      <w:pPr>
        <w:pStyle w:val="TextBody"/>
        <w:bidi w:val="0"/>
        <w:ind w:left="0" w:right="0" w:firstLine="720"/>
        <w:jc w:val="left"/>
        <w:rPr>
          <w:rFonts w:ascii="Times New Roman" w:hAnsi="Times New Roman"/>
          <w:sz w:val="20"/>
        </w:rPr>
      </w:pPr>
      <w:r>
        <w:rPr>
          <w:rFonts w:ascii="Times New Roman" w:hAnsi="Times New Roman"/>
          <w:color w:val="222222"/>
          <w:sz w:val="24"/>
        </w:rPr>
        <w:t xml:space="preserve">1.40 </w:t>
      </w:r>
      <w:r>
        <w:rPr>
          <w:rFonts w:ascii="Times New Roman" w:hAnsi="Times New Roman"/>
          <w:color w:val="222222"/>
          <w:sz w:val="20"/>
        </w:rPr>
        <w:t>“</w:t>
      </w:r>
      <w:r>
        <w:rPr>
          <w:rFonts w:ascii="Times New Roman" w:hAnsi="Times New Roman"/>
          <w:color w:val="222222"/>
          <w:sz w:val="24"/>
          <w:u w:val="single"/>
        </w:rPr>
        <w:t>Secondary Sublicensee</w:t>
      </w:r>
      <w:r>
        <w:rPr>
          <w:rFonts w:ascii="Times New Roman" w:hAnsi="Times New Roman"/>
          <w:color w:val="222222"/>
          <w:sz w:val="20"/>
        </w:rPr>
        <w:t xml:space="preserve">” </w:t>
      </w:r>
      <w:r>
        <w:rPr>
          <w:rFonts w:ascii="Times New Roman" w:hAnsi="Times New Roman"/>
          <w:color w:val="222222"/>
          <w:sz w:val="24"/>
        </w:rPr>
        <w:t>mean any party to whom a Direct Sublicensee sublicenses</w:t>
      </w:r>
      <w:r>
        <w:rPr>
          <w:rFonts w:ascii="Times New Roman" w:hAnsi="Times New Roman"/>
          <w:color w:val="000000"/>
          <w:sz w:val="20"/>
        </w:rPr>
        <w:t xml:space="preserve"> </w:t>
      </w:r>
      <w:r>
        <w:rPr>
          <w:rFonts w:ascii="Times New Roman" w:hAnsi="Times New Roman"/>
          <w:color w:val="222222"/>
          <w:sz w:val="24"/>
        </w:rPr>
        <w:t>rights under, and to the extent permitted by, such Sublicensee’s sublicense from the Licensee pursuant to this Agreement.</w:t>
      </w:r>
    </w:p>
    <w:p>
      <w:pPr>
        <w:pStyle w:val="TextBody"/>
        <w:bidi w:val="0"/>
        <w:jc w:val="left"/>
        <w:rPr>
          <w:rFonts w:ascii="Times New Roman" w:hAnsi="Times New Roman"/>
          <w:sz w:val="20"/>
        </w:rPr>
      </w:pPr>
      <w:r>
        <w:rPr>
          <w:rFonts w:ascii="Times New Roman" w:hAnsi="Times New Roman"/>
          <w:color w:val="242424"/>
          <w:sz w:val="24"/>
        </w:rPr>
        <w:t>1.41 “</w:t>
      </w:r>
      <w:r>
        <w:rPr>
          <w:rFonts w:ascii="Times New Roman" w:hAnsi="Times New Roman"/>
          <w:color w:val="242424"/>
          <w:sz w:val="24"/>
          <w:u w:val="single"/>
        </w:rPr>
        <w:t>Sublicensing Revenues</w:t>
      </w:r>
      <w:r>
        <w:rPr>
          <w:rFonts w:ascii="Times New Roman" w:hAnsi="Times New Roman"/>
          <w:color w:val="242424"/>
          <w:sz w:val="20"/>
        </w:rPr>
        <w:t xml:space="preserve">” </w:t>
      </w:r>
      <w:r>
        <w:rPr>
          <w:rFonts w:ascii="Times New Roman" w:hAnsi="Times New Roman"/>
          <w:color w:val="242424"/>
          <w:sz w:val="24"/>
        </w:rPr>
        <w:t>means amounts, whether consisting of cash or any other form of consideration (including, “without limitation, any licensing fees, maintenance fees, or milestone payments), received by or payable to the Licensee from any Direct Sublicensee (including any Affiliate and/or Joint Venture), in each case in consideration of, as relevant, the grant of a sublicense hereunder by the Licensee to such Direct Sublicensee or the grant of a sublicense hereunder by the Direct Sublicensee to a Secondary Sublicensee, provided that Sublicensing Revenues will not include amounts so received by or payable to the Licensee that are reasonably and fairly attributable to any of the following [***</w:t>
      </w:r>
      <w:r>
        <w:rPr>
          <w:rFonts w:ascii="Times New Roman" w:hAnsi="Times New Roman"/>
          <w:color w:val="000000"/>
          <w:sz w:val="24"/>
        </w:rPr>
        <w:t>].</w:t>
      </w:r>
    </w:p>
    <w:p>
      <w:pPr>
        <w:pStyle w:val="TextBody"/>
        <w:bidi w:val="0"/>
        <w:ind w:left="0" w:right="0" w:firstLine="720"/>
        <w:jc w:val="left"/>
        <w:rPr>
          <w:rFonts w:ascii="Times New Roman" w:hAnsi="Times New Roman"/>
          <w:sz w:val="20"/>
        </w:rPr>
      </w:pPr>
      <w:r>
        <w:rPr>
          <w:rFonts w:ascii="Times New Roman" w:hAnsi="Times New Roman"/>
          <w:color w:val="000000"/>
          <w:sz w:val="24"/>
        </w:rPr>
        <w:t>1.42 “</w:t>
      </w:r>
      <w:r>
        <w:rPr>
          <w:rFonts w:ascii="Times New Roman" w:hAnsi="Times New Roman"/>
          <w:color w:val="000000"/>
          <w:sz w:val="24"/>
          <w:u w:val="single"/>
        </w:rPr>
        <w:t>Technology Rights</w:t>
      </w:r>
      <w:r>
        <w:rPr>
          <w:rFonts w:ascii="Times New Roman" w:hAnsi="Times New Roman"/>
          <w:color w:val="000000"/>
          <w:sz w:val="20"/>
        </w:rPr>
        <w:t xml:space="preserve">” </w:t>
      </w:r>
      <w:r>
        <w:rPr>
          <w:rFonts w:ascii="Times New Roman" w:hAnsi="Times New Roman"/>
          <w:color w:val="000000"/>
          <w:sz w:val="24"/>
        </w:rPr>
        <w:t>means (a) The Regents’ personal property rights in the Original Materials; and (b) The Regents’ personal proprietary rights in Know-How which exist as of the Effective Date.</w:t>
      </w:r>
    </w:p>
    <w:p>
      <w:pPr>
        <w:pStyle w:val="TextBody"/>
        <w:bidi w:val="0"/>
        <w:ind w:left="0" w:right="0" w:firstLine="720"/>
        <w:jc w:val="left"/>
        <w:rPr>
          <w:rFonts w:ascii="Times New Roman" w:hAnsi="Times New Roman"/>
          <w:sz w:val="20"/>
        </w:rPr>
      </w:pPr>
      <w:r>
        <w:rPr>
          <w:rFonts w:ascii="Times New Roman" w:hAnsi="Times New Roman"/>
          <w:color w:val="000000"/>
          <w:sz w:val="24"/>
        </w:rPr>
        <w:t>1.43 “</w:t>
      </w:r>
      <w:r>
        <w:rPr>
          <w:rFonts w:ascii="Times New Roman" w:hAnsi="Times New Roman"/>
          <w:color w:val="000000"/>
          <w:sz w:val="24"/>
          <w:u w:val="single"/>
        </w:rPr>
        <w:t>Valid Claim</w:t>
      </w:r>
      <w:r>
        <w:rPr>
          <w:rFonts w:ascii="Times New Roman" w:hAnsi="Times New Roman"/>
          <w:color w:val="000000"/>
          <w:sz w:val="20"/>
        </w:rPr>
        <w:t xml:space="preserve">” </w:t>
      </w:r>
      <w:r>
        <w:rPr>
          <w:rFonts w:ascii="Times New Roman" w:hAnsi="Times New Roman"/>
          <w:color w:val="000000"/>
          <w:sz w:val="24"/>
        </w:rPr>
        <w:t>means (a) a pending claim of a patent application that is included under Patent Rights, that is being prosecuted diligently and in good faith pursuant to Section 20, or (b) an issued claim of any such patent in any Country that (i) has not expired; (ii) has not been disclaimed; (iii) has not been cancelled or superseded, or if cancelled or superseded, has been reinstated; and (iv) has not been revoked, held invalid, or otherwise declared unenforceable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not allowable by a tribunal or patent authority of competent jurisdiction over such claim in such Country from which no further appeal has or may be taken.</w:t>
      </w:r>
    </w:p>
    <w:p>
      <w:pPr>
        <w:pStyle w:val="TextBody"/>
        <w:bidi w:val="0"/>
        <w:jc w:val="left"/>
        <w:rPr>
          <w:rFonts w:ascii="Times New Roman" w:hAnsi="Times New Roman"/>
          <w:color w:val="000000"/>
          <w:sz w:val="24"/>
        </w:rPr>
      </w:pPr>
      <w:r>
        <w:rPr>
          <w:rFonts w:ascii="Times New Roman" w:hAnsi="Times New Roman"/>
          <w:color w:val="000000"/>
          <w:sz w:val="24"/>
        </w:rPr>
        <w:t>2. GRANT</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2.1 Subject to the limitations and other terms and conditions set forth in this Agreement including the license granted to the United States Government, and those reserved by HHMI, set forth in each case under “Background” at the beginning of this Agreement, and in Section 2.3.1, The Regents grants to the Licensee a license (the </w:t>
      </w:r>
      <w:r>
        <w:rPr>
          <w:rFonts w:ascii="Times New Roman" w:hAnsi="Times New Roman"/>
          <w:color w:val="000000"/>
          <w:sz w:val="20"/>
        </w:rPr>
        <w:t>“</w:t>
      </w:r>
      <w:r>
        <w:rPr>
          <w:rFonts w:ascii="Times New Roman" w:hAnsi="Times New Roman"/>
          <w:color w:val="000000"/>
          <w:sz w:val="24"/>
          <w:u w:val="single"/>
        </w:rPr>
        <w:t>License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make, have made, use, Sell, offer for Sale and import Licensed Products and Licensed Services and to practice Licensed Methods, in the United States, and in all other Countries where The Regents may lawfully grant such license rights, in the Field of Use, which grant includes the right of the Licensee to grant sublicenses as set forth in Article 3.</w:t>
      </w:r>
    </w:p>
    <w:p>
      <w:pPr>
        <w:pStyle w:val="TextBody"/>
        <w:bidi w:val="0"/>
        <w:ind w:left="0" w:right="0" w:firstLine="720"/>
        <w:jc w:val="left"/>
        <w:rPr>
          <w:rFonts w:ascii="Times New Roman" w:hAnsi="Times New Roman"/>
          <w:sz w:val="20"/>
        </w:rPr>
      </w:pPr>
      <w:r>
        <w:rPr>
          <w:rFonts w:ascii="Times New Roman" w:hAnsi="Times New Roman"/>
          <w:color w:val="000000"/>
          <w:sz w:val="24"/>
        </w:rPr>
        <w:t>2.2 Except as otherwise provided for in this Agreement, the License granted under Patent Rights in Section 2.1 (the “</w:t>
      </w:r>
      <w:r>
        <w:rPr>
          <w:rFonts w:ascii="Times New Roman" w:hAnsi="Times New Roman"/>
          <w:color w:val="000000"/>
          <w:sz w:val="24"/>
          <w:u w:val="single"/>
        </w:rPr>
        <w:t>Patent Rights License</w:t>
      </w:r>
      <w:r>
        <w:rPr>
          <w:rFonts w:ascii="Times New Roman" w:hAnsi="Times New Roman"/>
          <w:color w:val="000000"/>
          <w:sz w:val="20"/>
        </w:rPr>
        <w:t>”</w:t>
      </w:r>
      <w:r>
        <w:rPr>
          <w:rFonts w:ascii="Times New Roman" w:hAnsi="Times New Roman"/>
          <w:color w:val="000000"/>
          <w:sz w:val="24"/>
        </w:rPr>
        <w:t>) is exclusive. Except as otherwise provided for in this Agreement, the License granted under Technology Rights in Section 2.1 (the “</w:t>
      </w:r>
      <w:r>
        <w:rPr>
          <w:rFonts w:ascii="Times New Roman" w:hAnsi="Times New Roman"/>
          <w:color w:val="000000"/>
          <w:sz w:val="24"/>
          <w:u w:val="single"/>
        </w:rPr>
        <w:t>Technology Rights License</w:t>
      </w:r>
      <w:r>
        <w:rPr>
          <w:rFonts w:ascii="Times New Roman" w:hAnsi="Times New Roman"/>
          <w:color w:val="000000"/>
          <w:sz w:val="20"/>
        </w:rPr>
        <w:t>”</w:t>
      </w:r>
      <w:r>
        <w:rPr>
          <w:rFonts w:ascii="Times New Roman" w:hAnsi="Times New Roman"/>
          <w:color w:val="000000"/>
          <w:sz w:val="24"/>
        </w:rPr>
        <w:t>) is non-exclusive.</w:t>
      </w:r>
      <w:r>
        <w:rPr>
          <w:rFonts w:ascii="Times New Roman" w:hAnsi="Times New Roman"/>
          <w:color w:val="000000"/>
          <w:sz w:val="20"/>
        </w:rPr>
        <w:t xml:space="preserve"> </w:t>
      </w:r>
    </w:p>
    <w:p>
      <w:pPr>
        <w:pStyle w:val="TextBody"/>
        <w:bidi w:val="0"/>
        <w:ind w:left="0" w:right="0" w:firstLine="1440"/>
        <w:jc w:val="left"/>
        <w:rPr>
          <w:rFonts w:ascii="Times New Roman" w:hAnsi="Times New Roman"/>
          <w:color w:val="000000"/>
          <w:sz w:val="24"/>
        </w:rPr>
      </w:pPr>
      <w:r>
        <w:rPr>
          <w:rFonts w:ascii="Times New Roman" w:hAnsi="Times New Roman"/>
          <w:color w:val="000000"/>
          <w:sz w:val="24"/>
        </w:rPr>
        <w:t>The License is subject to the following:</w:t>
      </w:r>
    </w:p>
    <w:p>
      <w:pPr>
        <w:pStyle w:val="TextBody"/>
        <w:pBdr/>
        <w:bidi w:val="0"/>
        <w:ind w:left="1440" w:right="0" w:hanging="720"/>
        <w:jc w:val="left"/>
        <w:rPr>
          <w:rFonts w:ascii="Times New Roman" w:hAnsi="Times New Roman"/>
          <w:sz w:val="20"/>
        </w:rPr>
      </w:pPr>
      <w:r>
        <w:rPr>
          <w:rFonts w:ascii="Times New Roman" w:hAnsi="Times New Roman"/>
          <w:color w:val="000000"/>
          <w:sz w:val="24"/>
        </w:rPr>
        <w:t xml:space="preserve">2.3.1 The obligations to the United States Government under 35 U.S.C. §§ 200-212 and all applicable governmental implementing regulations, as amended from time to time, including the obligation to report on the utilization of the Invention as set forth in 37 CFR. § 401.14(h), and all applicable provisions of any license to the United Stares Government executed by The Regents. The licenses granted hereunder also will be subject to the paid-up, non-exclusive, </w:t>
      </w:r>
      <w:r>
        <w:rPr>
          <w:rFonts w:ascii="Times New Roman" w:hAnsi="Times New Roman"/>
          <w:color w:val="212121"/>
          <w:sz w:val="24"/>
        </w:rPr>
        <w:t xml:space="preserve">irrevocable licenses reserved by HHMI to make and use the Invention for its </w:t>
      </w:r>
      <w:r>
        <w:rPr>
          <w:rFonts w:ascii="Times New Roman" w:hAnsi="Times New Roman"/>
          <w:color w:val="222222"/>
          <w:sz w:val="24"/>
        </w:rPr>
        <w:t xml:space="preserve">academic research purposes only, but with no right to commercialize itself (where research collaboration agreements between HHMI and non-profit and/or for-profit entities are not considered to be “commercialization”), nor to grant to any sponsor of any work done at HHMI, or done by or on behalf of </w:t>
      </w:r>
      <w:r>
        <w:rPr>
          <w:rFonts w:ascii="Times New Roman" w:hAnsi="Times New Roman"/>
          <w:color w:val="252525"/>
          <w:sz w:val="24"/>
        </w:rPr>
        <w:t>any such collaborator, any rights to commercialize the results thereof. Such licenses reserved by HHMI specified in the recitals and the immediately prior sentence are non-transferable and do not include the right to sublicense</w:t>
      </w:r>
      <w:r>
        <w:rPr>
          <w:rFonts w:ascii="Times New Roman" w:hAnsi="Times New Roman"/>
          <w:color w:val="252525"/>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2160" w:right="0" w:hanging="0"/>
        <w:jc w:val="left"/>
        <w:rPr>
          <w:rFonts w:ascii="Times New Roman" w:hAnsi="Times New Roman"/>
          <w:sz w:val="20"/>
        </w:rPr>
      </w:pPr>
      <w:r>
        <w:rPr>
          <w:rFonts w:ascii="Times New Roman" w:hAnsi="Times New Roman"/>
          <w:color w:val="252525"/>
          <w:sz w:val="24"/>
        </w:rPr>
        <w:t>others. Moreover, the Licenses granted to Licensee hereunder also are subject to</w:t>
      </w:r>
      <w:r>
        <w:rPr>
          <w:rFonts w:ascii="Times New Roman" w:hAnsi="Times New Roman"/>
          <w:color w:val="000000"/>
          <w:sz w:val="20"/>
        </w:rPr>
        <w:t xml:space="preserve"> </w:t>
      </w:r>
      <w:r>
        <w:rPr>
          <w:rFonts w:ascii="Times New Roman" w:hAnsi="Times New Roman"/>
          <w:color w:val="252525"/>
          <w:sz w:val="24"/>
        </w:rPr>
        <w:t>HHMI’s statement of policy on research tools, which can be found at:</w:t>
      </w:r>
      <w:r>
        <w:rPr>
          <w:rFonts w:ascii="Times New Roman" w:hAnsi="Times New Roman"/>
          <w:color w:val="000000"/>
          <w:sz w:val="20"/>
        </w:rPr>
        <w:t xml:space="preserve"> </w:t>
      </w:r>
      <w:r>
        <w:rPr>
          <w:rFonts w:ascii="Times New Roman" w:hAnsi="Times New Roman"/>
          <w:color w:val="000000"/>
          <w:sz w:val="24"/>
        </w:rPr>
        <w:t>[***]; and</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2.3.2 The National Institutes of Health “Principles and Guidelines for Recipients of NIH Research Grants and Contracts on Obtaining and Disseminating Biomedical Research Resources,” 64 F.R. 72090 (Dec. 23, 1999), as amended from time to time.</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2.4 Title in and to the Original Materials and any rights, including any and all intellectual property rights, relating thereto is owned by The Regents and is not transferred to the Licensee under this Agreement. The Licensee may receive samples of certain Original Materials from [***] or from a representative of The Regents, including other personnel of UCSF, pursuant to this Agreement. The Licensee may use such Original Materials solely as necessary to exercise the rights granted to the Licensee hereunder, provided, however, in no event may the Licensee Sell or otherwise dispose of or provide such Original Materials to any third party except solely as provided for in Section 31.6.2. The Licensee will notify The Regents in writing if the Licensee receives, pursuant to this Agreement, any material from [***], or from any representative of The Regents, which is not listed in Appendix </w:t>
      </w:r>
      <w:r>
        <w:rPr>
          <w:rFonts w:ascii="Times New Roman" w:hAnsi="Times New Roman"/>
          <w:color w:val="000000"/>
          <w:sz w:val="28"/>
        </w:rPr>
        <w:t>A</w:t>
      </w:r>
      <w:r>
        <w:rPr>
          <w:rFonts w:ascii="Times New Roman" w:hAnsi="Times New Roman"/>
          <w:color w:val="000000"/>
          <w:sz w:val="20"/>
        </w:rPr>
        <w:t xml:space="preserve"> </w:t>
      </w:r>
      <w:r>
        <w:rPr>
          <w:rFonts w:ascii="Times New Roman" w:hAnsi="Times New Roman"/>
          <w:color w:val="000000"/>
          <w:sz w:val="24"/>
        </w:rPr>
        <w:t>hereto, and if the Licensee receives any such material, the Licensee may not use such material without the written permission of The Regents.</w:t>
      </w:r>
    </w:p>
    <w:p>
      <w:pPr>
        <w:pStyle w:val="TextBody"/>
        <w:bidi w:val="0"/>
        <w:ind w:left="0" w:right="0" w:firstLine="720"/>
        <w:jc w:val="left"/>
        <w:rPr>
          <w:rFonts w:ascii="Times New Roman" w:hAnsi="Times New Roman"/>
          <w:sz w:val="20"/>
        </w:rPr>
      </w:pPr>
      <w:r>
        <w:rPr>
          <w:rFonts w:ascii="Times New Roman" w:hAnsi="Times New Roman"/>
          <w:color w:val="212121"/>
          <w:sz w:val="24"/>
        </w:rPr>
        <w:t xml:space="preserve">2.5 The Regents reserves and retains the right (and the rights granted to the Licensee in this Agreement will be limited accordingly) to make, use and practice the Invention, the Technology Rights and any technology relating to any of the foregoing and to make and use any Products and to practice any process that is the subject of the Patent Rights (and to grant any of the foregoing rights to other educational and non-profit institutions, using the general form of the Material </w:t>
      </w:r>
      <w:r>
        <w:rPr>
          <w:rFonts w:ascii="Times New Roman" w:hAnsi="Times New Roman"/>
          <w:color w:val="000000"/>
          <w:sz w:val="24"/>
        </w:rPr>
        <w:t xml:space="preserve">Transfer Agreement attached hereto as </w:t>
      </w:r>
      <w:r>
        <w:rPr>
          <w:rFonts w:ascii="Times New Roman" w:hAnsi="Times New Roman"/>
          <w:color w:val="000000"/>
          <w:sz w:val="24"/>
          <w:u w:val="single"/>
        </w:rPr>
        <w:t>Appendix C)</w:t>
      </w:r>
      <w:r>
        <w:rPr>
          <w:rFonts w:ascii="Times New Roman" w:hAnsi="Times New Roman"/>
          <w:color w:val="000000"/>
          <w:sz w:val="20"/>
        </w:rPr>
        <w:t xml:space="preserve"> </w:t>
      </w:r>
      <w:r>
        <w:rPr>
          <w:rFonts w:ascii="Times New Roman" w:hAnsi="Times New Roman"/>
          <w:color w:val="000000"/>
          <w:sz w:val="24"/>
        </w:rPr>
        <w:t>for educational and research purposes only, including without limitation, any sponsored research performed for or on behalf of commercial entities and including the right to publish and communicate any research results, but with no right to grant rights to any such sponsor for profit-making or commercial uses under the Patent Rights exclusively licensed to Licensee. To the extent that the Invention, the Technology Rights, the Original Materials, and any technology relating to any of the foregoing are not the subject of the exclusive license granted to the Licensee hereunder, The Regents will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be free to make, use, Sell, offer to Sell, import, practice and otherwise commercialize and exploit (including to transfer, license to, or have exercised by, third parties hereto) for any purpose whatsoever and in its sole discretion, such Invention, Technology Rights, Original Materials, and any technology and any Products or processes that are the subject of any of the foregoing.</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2.6 Because the Invention was made under funding provided by the United States Government, any tangible materials comprising the Invention, and any Products, including any Licensed Products, embodying the Invention that in each case are sold in the United States will be substantially manufactured in the United States.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2.7 To the extent The Regents is legally able to do so, and only to the extent of the actual knowledge of the licensing professional within UCSF responsible for management of this Agreement without an affirmative duty to inquire, The Regents will use its commercially reasonable efforts to notify Licensee in writing of any publication made by [***] relating to [***].</w:t>
      </w:r>
    </w:p>
    <w:p>
      <w:pPr>
        <w:pStyle w:val="TextBody"/>
        <w:bidi w:val="0"/>
        <w:jc w:val="left"/>
        <w:rPr>
          <w:rFonts w:ascii="Times New Roman" w:hAnsi="Times New Roman"/>
          <w:color w:val="000000"/>
          <w:sz w:val="24"/>
        </w:rPr>
      </w:pPr>
      <w:r>
        <w:rPr>
          <w:rFonts w:ascii="Times New Roman" w:hAnsi="Times New Roman"/>
          <w:color w:val="000000"/>
          <w:sz w:val="24"/>
        </w:rPr>
        <w:t>3. SUBLICENSES</w:t>
      </w:r>
    </w:p>
    <w:p>
      <w:pPr>
        <w:pStyle w:val="TextBody"/>
        <w:bidi w:val="0"/>
        <w:ind w:left="0" w:right="0" w:firstLine="720"/>
        <w:jc w:val="left"/>
        <w:rPr>
          <w:rFonts w:ascii="Times New Roman" w:hAnsi="Times New Roman"/>
          <w:sz w:val="20"/>
        </w:rPr>
      </w:pPr>
      <w:r>
        <w:rPr>
          <w:rFonts w:ascii="Times New Roman" w:hAnsi="Times New Roman"/>
          <w:color w:val="000000"/>
          <w:sz w:val="24"/>
        </w:rPr>
        <w:t>3.1 The License granted under Article 2 includes the right of the Licensee, for as long as the License is exclusive pursuant to the terms of this Agreement, to sublicense to Direct Sublicensees (including to Affiliates and Joint Ventures) any of the rights granted to the Licensee hereunder, on an exclusive or non-exclusive basis, as to the Patent Rights under the Patent Rights License, as determined by the Licensee, and solely on a non-exclusive basis as to the Technology Rights under the Technology Rights License, and provided that the Licensee may not sublicense any Technology Rights to a Sublicensee except in connection with a sublicense by the Licensee to Patent Rights to the same Sublicensee. Notwithstanding the foregoing, and subject to the further provisions of this Section 3.1 providing for [***]. The Licensee may grant its Direct Sublicensee(s) the right to further sublicense to Secondary Sublicensee(s) any of the rights granted to the Licensee hereunder, but not greater than the rights granted by the Licensee to such relevant Direct Sublicensee, provided that if such Secondary Sublicensee is an entity that is not an Affiliate of the Direct Sublicensee and such sublicense would grant rights to the Secondary Sublicensee to uses of the Patent Rights or Technology Rights other than for th</w:t>
      </w:r>
      <w:r>
        <w:rPr>
          <w:rFonts w:ascii="Times New Roman" w:hAnsi="Times New Roman"/>
          <w:color w:val="404040"/>
          <w:sz w:val="24"/>
        </w:rPr>
        <w:t>e</w:t>
      </w:r>
      <w:r>
        <w:rPr>
          <w:rFonts w:ascii="Times New Roman" w:hAnsi="Times New Roman"/>
          <w:color w:val="BBBBBB"/>
          <w:sz w:val="20"/>
        </w:rPr>
        <w:t xml:space="preserve"> </w:t>
      </w:r>
      <w:r>
        <w:rPr>
          <w:rFonts w:ascii="Times New Roman" w:hAnsi="Times New Roman"/>
          <w:color w:val="000000"/>
          <w:sz w:val="24"/>
        </w:rPr>
        <w:t>deve</w:t>
      </w:r>
      <w:r>
        <w:rPr>
          <w:rFonts w:ascii="Times New Roman" w:hAnsi="Times New Roman"/>
          <w:color w:val="101010"/>
          <w:sz w:val="24"/>
        </w:rPr>
        <w:t>l</w:t>
      </w:r>
      <w:r>
        <w:rPr>
          <w:rFonts w:ascii="Times New Roman" w:hAnsi="Times New Roman"/>
          <w:color w:val="000000"/>
          <w:sz w:val="24"/>
        </w:rPr>
        <w:t>opment, manufacture, marketing and Sales of Licensed Products (a) that are substantially similar to those that are developed or under development by the Direct Sublicense during the term of the sublicense to such Direct Sublicensee from the Licensee, or (b) that are anticipated, in writing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between the Direct Sublicensee and the Licensee, to be developed under the sublicense to the Direct Sublicensee for human therapeutic uses, then [***]. Each grant of a sublicense by the Licensee to any Direct Sublicensee, and by any Direct Sublicensee to any Secondary Sublicensee, must be pursuant to a written sublicense agreement, which sublicense agreement will include all of the terms, conditions, obligations and other restrictions of this Agreement that protect or benefit HHMI’s and The Regents', and, as applicable, the United States Government's, rights and interests, other than those terms, conditions and obligations specified in [***], and which will provide (1) that if any rights under the Patent Rights License [***] to the Licensee as provided in this Agreement, then such sublicense, if it is not already [***], will automatically [***], and (2) for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3.2 Affiliates and Joint Ventures will have no licenses or rights under this Agreement unless such Affiliate or Joint Venture is granted a sublicense, as a Direct Sublicensee, by the Licensee hereunder.</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3.3 If The Regents and the Licensee each own an undivided interest in any Patent Rights licensed hereunder (for example, by jointly owning rights in any continuation-in-part under any Patent Rights), the Licensee will not separately grant a license to any third party under such rights of the Licensee without concurrently granting a sublicense to such third party (which third party thus will be a Direct Sublicensee), as to the rights granted to the Licensee under this Agreement, on the terms and conditions described in this Article 3.</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3.4 The Licensee will notify The Regents in writing, within [***] the grant by the Licensee or a sublicense hereunder to a Direct Sublicensee, or after any amendment to any such granted sublicense, and will with such notice provide The Regents with a complete copy of each sublicense or of such, amendment, as relevant. All such notices and copies of such sublicenses made under this Agreement, and of amendments thereto, will be deemed to be Proprietary Information of the Licensee as so delivered to The Regents.</w:t>
      </w:r>
    </w:p>
    <w:p>
      <w:pPr>
        <w:pStyle w:val="TextBody"/>
        <w:bidi w:val="0"/>
        <w:ind w:left="0" w:right="0" w:firstLine="720"/>
        <w:jc w:val="left"/>
        <w:rPr>
          <w:rFonts w:ascii="Times New Roman" w:hAnsi="Times New Roman"/>
          <w:sz w:val="20"/>
        </w:rPr>
      </w:pPr>
      <w:r>
        <w:rPr>
          <w:rFonts w:ascii="Times New Roman" w:hAnsi="Times New Roman"/>
          <w:color w:val="232323"/>
          <w:sz w:val="24"/>
        </w:rPr>
        <w:t>3.5 All Net Sales made by Sublicensee will, for the purpose of Earned Royalties and Minimum Annual Royalties due from the Licensee to UCSF under this Agreement by the Licensee, be deemed to be Net Sales by the Licensee</w:t>
      </w:r>
      <w:r>
        <w:rPr>
          <w:rFonts w:ascii="Times New Roman" w:hAnsi="Times New Roman"/>
          <w:color w:val="444444"/>
          <w:sz w:val="24"/>
        </w:rPr>
        <w:t>,</w:t>
      </w:r>
      <w:r>
        <w:rPr>
          <w:rFonts w:ascii="Times New Roman" w:hAnsi="Times New Roman"/>
          <w:color w:val="CCCCCC"/>
          <w:sz w:val="20"/>
        </w:rPr>
        <w:t xml:space="preserve"> </w:t>
      </w:r>
      <w:r>
        <w:rPr>
          <w:rFonts w:ascii="Times New Roman" w:hAnsi="Times New Roman"/>
          <w:color w:val="232323"/>
          <w:sz w:val="24"/>
        </w:rPr>
        <w:t>and the Licensee will collect from Direct Sublicensees and, directly from Secondary Sublicensees or through the relevant Direct Sublicensee, and will, subject to the provisions of Section 3.5.1, pay to The Regents when due</w:t>
      </w:r>
      <w:r>
        <w:rPr>
          <w:rFonts w:ascii="Times New Roman" w:hAnsi="Times New Roman"/>
          <w:color w:val="232323"/>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232323"/>
          <w:sz w:val="24"/>
        </w:rPr>
      </w:pPr>
      <w:r>
        <w:rPr>
          <w:rFonts w:ascii="Times New Roman" w:hAnsi="Times New Roman"/>
          <w:color w:val="232323"/>
          <w:sz w:val="24"/>
        </w:rPr>
        <w:t>hereunder as if such Net Sales had been made by the Licensee, all fees, payments and royalties due to be paid to The Regents hereunder as if Net Sales were made by the Licensee, such that if the Licensee grants a sublicense that contains a provision for payment of royalties by any Sublicensee in an amount that is less than the Sublicensee Royalty required to be paid under Section 8.1, then the Licensee will pay to The Regents a total amount equal to the Sublicensee Royalty based on the Sublicensees’ Net Sales as provided for in Section 8.1.</w:t>
      </w:r>
    </w:p>
    <w:p>
      <w:pPr>
        <w:pStyle w:val="TextBody"/>
        <w:pBdr/>
        <w:bidi w:val="0"/>
        <w:ind w:left="1440" w:right="0" w:hanging="720"/>
        <w:jc w:val="left"/>
        <w:rPr>
          <w:rFonts w:ascii="Times New Roman" w:hAnsi="Times New Roman"/>
          <w:sz w:val="20"/>
        </w:rPr>
      </w:pPr>
      <w:r>
        <w:rPr>
          <w:rFonts w:ascii="Times New Roman" w:hAnsi="Times New Roman"/>
          <w:color w:val="000000"/>
          <w:sz w:val="24"/>
        </w:rPr>
        <w:t>3.5.1 The Licensee does not guarantee any monies due The Regents from Sublicensees that are not received by the Licensee. Any failure of the Licensee to pay to The Regents any amounts of Net Sales of any Sublicensee before the Licensee receives such amounts from such Sublicensee under the relevant sublicense will not be a breach of the Licensee's obligations under this Agreement to pay to The Regents amounts as to Net Sales of such Sublicensee, provided that the Licensee (a) [***], (b) [***</w:t>
      </w:r>
      <w:r>
        <w:rPr>
          <w:rFonts w:ascii="Times New Roman" w:hAnsi="Times New Roman"/>
          <w:color w:val="222222"/>
          <w:sz w:val="24"/>
        </w:rPr>
        <w:t xml:space="preserve">], (c) will </w:t>
      </w:r>
      <w:r>
        <w:rPr>
          <w:rFonts w:ascii="Times New Roman" w:hAnsi="Times New Roman"/>
          <w:color w:val="232323"/>
          <w:sz w:val="24"/>
        </w:rPr>
        <w:t xml:space="preserve">notify The Regents in writing of any such default within [***], (d) will, within [***] pay to The Regents the amount due hereunder from the Licensee with respect to the </w:t>
      </w:r>
      <w:r>
        <w:rPr>
          <w:rFonts w:ascii="Times New Roman" w:hAnsi="Times New Roman"/>
          <w:color w:val="212121"/>
          <w:sz w:val="24"/>
        </w:rPr>
        <w:t>Net Sales of such Sublicensee to which such payment by the Sublicensee to the Licensee relates, and (e) will enact a plan, which will be mutually agreed upon by the Licensee and The Regents within [***</w:t>
      </w:r>
      <w:r>
        <w:rPr>
          <w:rFonts w:ascii="Times New Roman" w:hAnsi="Times New Roman"/>
          <w:color w:val="222222"/>
          <w:sz w:val="24"/>
        </w:rPr>
        <w:t>], for addressing such Sublicensee’s default if such default has not been cured prior to [***].</w:t>
      </w:r>
    </w:p>
    <w:p>
      <w:pPr>
        <w:pStyle w:val="TextBody"/>
        <w:pBdr/>
        <w:bidi w:val="0"/>
        <w:ind w:left="1440" w:right="0" w:hanging="720"/>
        <w:jc w:val="left"/>
        <w:rPr>
          <w:rFonts w:ascii="Times New Roman" w:hAnsi="Times New Roman"/>
          <w:sz w:val="20"/>
        </w:rPr>
      </w:pPr>
      <w:r>
        <w:rPr>
          <w:rFonts w:ascii="Times New Roman" w:hAnsi="Times New Roman"/>
          <w:color w:val="212121"/>
          <w:sz w:val="24"/>
        </w:rPr>
        <w:t xml:space="preserve">3.5.2 If at any time legal restrictions prevent the prompt remittance of Earned Royalties or other consideration owed to The Regents by the Licensee with respect to any Country where a sublicense is issued or a Licensed Product or </w:t>
      </w:r>
      <w:r>
        <w:rPr>
          <w:rFonts w:ascii="Times New Roman" w:hAnsi="Times New Roman"/>
          <w:color w:val="202020"/>
          <w:sz w:val="24"/>
        </w:rPr>
        <w:t>Licensed Service is Sold, then the Licensee will not be in breach of its obligations of payment hereunder to The Regents</w:t>
      </w:r>
      <w:r>
        <w:rPr>
          <w:rFonts w:ascii="Times New Roman" w:hAnsi="Times New Roman"/>
          <w:color w:val="979797"/>
          <w:sz w:val="20"/>
        </w:rPr>
        <w:t xml:space="preserve"> </w:t>
      </w:r>
      <w:r>
        <w:rPr>
          <w:rFonts w:ascii="Times New Roman" w:hAnsi="Times New Roman"/>
          <w:color w:val="202020"/>
          <w:sz w:val="24"/>
        </w:rPr>
        <w:t xml:space="preserve">so long as (i) the Licensee </w:t>
      </w:r>
      <w:r>
        <w:rPr>
          <w:rFonts w:ascii="Times New Roman" w:hAnsi="Times New Roman"/>
          <w:color w:val="000000"/>
          <w:sz w:val="24"/>
        </w:rPr>
        <w:t>has notified The Regents in writing of the legal restriction preventing remittance within [***], and (ii) the Licensee is enacting a plan, which will be mutually agreed upon by The Regents and Licensee within [***], under which Licensee will [***].</w:t>
      </w:r>
    </w:p>
    <w:p>
      <w:pPr>
        <w:pStyle w:val="TextBody"/>
        <w:pBdr/>
        <w:bidi w:val="0"/>
        <w:ind w:left="1440" w:right="0" w:hanging="720"/>
        <w:jc w:val="left"/>
        <w:rPr>
          <w:rFonts w:ascii="Times New Roman" w:hAnsi="Times New Roman"/>
          <w:sz w:val="20"/>
        </w:rPr>
      </w:pPr>
      <w:r>
        <w:rPr>
          <w:rFonts w:ascii="Times New Roman" w:hAnsi="Times New Roman"/>
          <w:color w:val="000000"/>
          <w:sz w:val="24"/>
        </w:rPr>
        <w:t xml:space="preserve">3.5.3 </w:t>
      </w:r>
      <w:r>
        <w:rPr>
          <w:rFonts w:ascii="Times New Roman" w:hAnsi="Times New Roman"/>
          <w:color w:val="222222"/>
          <w:sz w:val="24"/>
        </w:rPr>
        <w:t>The Licensee will require each Sublicensee to provide the Licensee with all progress reports and royalty reports in accordance with the provisions</w:t>
      </w:r>
      <w:r>
        <w:rPr>
          <w:rFonts w:ascii="Times New Roman" w:hAnsi="Times New Roman"/>
          <w:color w:val="222222"/>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2160" w:right="0" w:hanging="0"/>
        <w:jc w:val="left"/>
        <w:rPr>
          <w:rFonts w:ascii="Times New Roman" w:hAnsi="Times New Roman"/>
          <w:color w:val="222222"/>
          <w:sz w:val="24"/>
        </w:rPr>
      </w:pPr>
      <w:r>
        <w:rPr>
          <w:rFonts w:ascii="Times New Roman" w:hAnsi="Times New Roman"/>
          <w:color w:val="222222"/>
          <w:sz w:val="24"/>
        </w:rPr>
        <w:t>hereof which are applicable to the Licensee, as to Net Sales by such Sublicensee, and the Licensee will deliver to The Regents a copy of all such reports from such Sublicensees. All such reports will be deemed to be Proprietary Information of the Licensee as so delivered to The Regents.</w:t>
      </w:r>
    </w:p>
    <w:p>
      <w:pPr>
        <w:pStyle w:val="TextBody"/>
        <w:bidi w:val="0"/>
        <w:ind w:left="0" w:right="0" w:firstLine="720"/>
        <w:jc w:val="left"/>
        <w:rPr>
          <w:rFonts w:ascii="Times New Roman" w:hAnsi="Times New Roman"/>
          <w:sz w:val="20"/>
        </w:rPr>
      </w:pPr>
      <w:r>
        <w:rPr>
          <w:rFonts w:ascii="Times New Roman" w:hAnsi="Times New Roman"/>
          <w:color w:val="232323"/>
          <w:sz w:val="24"/>
        </w:rPr>
        <w:t xml:space="preserve">3.6 If the Licensee licenses to any third party (including any Direct Sublicensee) any patent </w:t>
      </w:r>
      <w:r>
        <w:rPr>
          <w:rFonts w:ascii="Times New Roman" w:hAnsi="Times New Roman"/>
          <w:color w:val="000000"/>
          <w:sz w:val="24"/>
        </w:rPr>
        <w:t>rights assigned to or otherwise acquired by the Licensee apart from the Patent Rights to which the Licensee has rights under the License (“</w:t>
      </w:r>
      <w:r>
        <w:rPr>
          <w:rFonts w:ascii="Times New Roman" w:hAnsi="Times New Roman"/>
          <w:color w:val="000000"/>
          <w:sz w:val="24"/>
          <w:u w:val="single"/>
        </w:rPr>
        <w:t>Licensee's Patent Rights</w:t>
      </w:r>
      <w:r>
        <w:rPr>
          <w:rFonts w:ascii="Times New Roman" w:hAnsi="Times New Roman"/>
          <w:color w:val="000000"/>
          <w:sz w:val="20"/>
        </w:rPr>
        <w:t>”</w:t>
      </w:r>
      <w:r>
        <w:rPr>
          <w:rFonts w:ascii="Times New Roman" w:hAnsi="Times New Roman"/>
          <w:color w:val="000000"/>
          <w:sz w:val="24"/>
        </w:rPr>
        <w:t>), and the Licensee believes, in good faith, that such third party licensee will, under such third party licensee’s exercise of such rights so licensed to the Licensee’s Patent Rights, infringe any of the Patent Rights, then the Licensee will not separately grant a license to such third party licensee under Licensee’s Patent Rights without concurrently granting a sublicense to such third party licensee, in such case as a Direct Sublicensee, under the Patent Rights on the terms required under this Agreement for such sublicense to a Direct Sublicensee.</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3.7 [***]</w:t>
      </w:r>
    </w:p>
    <w:p>
      <w:pPr>
        <w:pStyle w:val="TextBody"/>
        <w:bidi w:val="0"/>
        <w:jc w:val="left"/>
        <w:rPr>
          <w:rFonts w:ascii="Times New Roman" w:hAnsi="Times New Roman"/>
          <w:color w:val="000000"/>
          <w:sz w:val="24"/>
        </w:rPr>
      </w:pPr>
      <w:r>
        <w:rPr>
          <w:rFonts w:ascii="Times New Roman" w:hAnsi="Times New Roman"/>
          <w:color w:val="000000"/>
          <w:sz w:val="24"/>
        </w:rPr>
        <w:t>4. PAYMENT TERMS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4.1 Earned Royalties are payable on Net Sales of Licensed Products and Licensed Services covered by a Valid Claim within the Patent Rights. Earned Royalties will accrue in each Country for the duration of the Patent Rights in such Country and will be payable to The Regents when Licensed Products or Licensed Services are invoiced, or if not invoiced, when delivered or otherwise Sold by the Licensee or Sublicensee.</w:t>
      </w:r>
    </w:p>
    <w:p>
      <w:pPr>
        <w:pStyle w:val="TextBody"/>
        <w:bidi w:val="0"/>
        <w:ind w:left="0" w:right="0" w:firstLine="720"/>
        <w:jc w:val="left"/>
        <w:rPr>
          <w:rFonts w:ascii="Times New Roman" w:hAnsi="Times New Roman"/>
          <w:sz w:val="20"/>
        </w:rPr>
      </w:pPr>
      <w:r>
        <w:rPr>
          <w:rFonts w:ascii="Times New Roman" w:hAnsi="Times New Roman"/>
          <w:color w:val="000000"/>
          <w:sz w:val="24"/>
        </w:rPr>
        <w:t>4.2 The Licensee will pay to The Regents all Earned Royalties, Sublicensing Revenues Fees and other consideration payable to The Regents under this Agreement [***], as to Earned Royalties, Sublicensing Revenues Fees and other consideration which has accrued within the Licensee</w:t>
      </w:r>
      <w:r>
        <w:rPr>
          <w:rFonts w:ascii="Times New Roman" w:hAnsi="Times New Roman"/>
          <w:color w:val="000000"/>
          <w:sz w:val="24"/>
          <w:u w:val="single"/>
        </w:rPr>
        <w:t>'</w:t>
      </w:r>
      <w:r>
        <w:rPr>
          <w:rFonts w:ascii="Times New Roman" w:hAnsi="Times New Roman"/>
          <w:color w:val="000000"/>
          <w:sz w:val="24"/>
        </w:rPr>
        <w:t>s most recently completed [***].</w:t>
      </w:r>
    </w:p>
    <w:p>
      <w:pPr>
        <w:pStyle w:val="TextBody"/>
        <w:bidi w:val="0"/>
        <w:ind w:left="0" w:right="0" w:firstLine="720"/>
        <w:jc w:val="left"/>
        <w:rPr>
          <w:rFonts w:ascii="Times New Roman" w:hAnsi="Times New Roman"/>
          <w:sz w:val="20"/>
        </w:rPr>
      </w:pPr>
      <w:r>
        <w:rPr>
          <w:rFonts w:ascii="Times New Roman" w:hAnsi="Times New Roman"/>
          <w:color w:val="000000"/>
          <w:sz w:val="24"/>
        </w:rPr>
        <w:t>4.3 All consideration due The Regents by the Licensee under this Agreement will be paid in dollars by check payable to “The Regents of the University of California” or by wire transfer to an account designated by The Regents in writing to the Licensee. [***]. When Licensed Products or Licensed Services are Sold for monies other than dollars, amounts due to be paid by the Licensees to The Regents under this Agreement will first be determined in the foreign currency of the Country in which such Licensed Products or Licensed Services were Sold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and then will be converted into dollars. The exchange rate for such conversion into dollars will be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4.4 Sublicensing Revenues Fees and Earned Royalties on Net Sales of Licensed Products or Licensed Services and other consideration accrued in any Country outside the United States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4.5 If any patent or claim thereof included within the Patent Rights is held invalid in a final decision by a court of competent jurisdiction and last resort and from which no appeal has been taken or can be taken, then all obligation to pay royalties based on that patent or claim or any claim patentably indistinct therefrom will cease as of the date of such final decision, provided that the Licensee will not be relieved from paying any royalties hereunder that accrued before such final decision, and the Licensee will be obligated to pay the full amount of royalties due hereunder to the extent that The Regents licenses one or more Valid Claims within the Patent Rights to the Licensee, under the License, with respect to Licensed Products or Licensed Services.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4.6 No Earned Royalties will be collected or paid hereunder to The Regents on Licensed Products or Licensed Services Sold to, or otherwise Exploited for, the account of the United States Government as provided for in the license rights reserved hereunder to the United States Government. The Licensee, and any Sublicensee, will reduce the amount charged for Licensed Products or Licensed Services Sold to the United States Government by an amount equal to the Earned Royalties for such Licensed Products or Licensed Services otherwise due to The Regents hereunder. Such reduction in Earned Royalties will be in addition to any other reductions in price for such Licensed Products and/or Licensed Services required by the United States Government.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4.7 In the event that royalties, fees, reimbursements for Patent Prosecution Costs or other monies owed to The Regents under this Agreement have not been received by The Regents when due, the Licensee will pay to The Regents, in addition to such due amounts, interest on such due amounts at the rate of [***], with such interest calculated from the date payment was due until such payment actually is received by The Regents. Such accrual of interest will be in addition to and not in lieu of, enforcement of any other rights of The Regents due to such late payment.</w:t>
      </w:r>
    </w:p>
    <w:p>
      <w:pPr>
        <w:pStyle w:val="TextBody"/>
        <w:bidi w:val="0"/>
        <w:jc w:val="left"/>
        <w:rPr>
          <w:rFonts w:ascii="Times New Roman" w:hAnsi="Times New Roman"/>
          <w:color w:val="000000"/>
          <w:sz w:val="24"/>
        </w:rPr>
      </w:pPr>
      <w:r>
        <w:rPr>
          <w:rFonts w:ascii="Times New Roman" w:hAnsi="Times New Roman"/>
          <w:color w:val="000000"/>
          <w:sz w:val="24"/>
        </w:rPr>
        <w:t>5. LICENSE ISSUE FEE</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sz w:val="20"/>
        </w:rPr>
      </w:pPr>
      <w:r>
        <w:rPr>
          <w:rFonts w:ascii="Times New Roman" w:hAnsi="Times New Roman"/>
          <w:color w:val="000000"/>
          <w:sz w:val="24"/>
        </w:rPr>
        <w:t>5.1 The Licensee will pay to The Regents a license issue fee (the “</w:t>
      </w:r>
      <w:r>
        <w:rPr>
          <w:rFonts w:ascii="Times New Roman" w:hAnsi="Times New Roman"/>
          <w:color w:val="000000"/>
          <w:sz w:val="24"/>
          <w:u w:val="single"/>
        </w:rPr>
        <w:t>License Issue Fee</w:t>
      </w:r>
      <w:r>
        <w:rPr>
          <w:rFonts w:ascii="Times New Roman" w:hAnsi="Times New Roman"/>
          <w:color w:val="000000"/>
          <w:sz w:val="20"/>
        </w:rPr>
        <w:t>”</w:t>
      </w:r>
      <w:r>
        <w:rPr>
          <w:rFonts w:ascii="Times New Roman" w:hAnsi="Times New Roman"/>
          <w:color w:val="000000"/>
          <w:sz w:val="24"/>
        </w:rPr>
        <w:t>) in cash of [***] for the grant herein of the License. Of such License Issue Fee, the Licensee will pay (a) [***)] to The Regents within [***]; and (b) [***] to The Regents on the date [***]; and (c) [***] to The Regents on the date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5.2 The License Issue Fee is non-refundable, non-cancelable and is not an advance, or otherwise creditable, against any amounts required to be paid by the Licensee under the terms of this Agreement (excluding any withholding tax due the United States Government).</w:t>
      </w:r>
    </w:p>
    <w:p>
      <w:pPr>
        <w:pStyle w:val="TextBody"/>
        <w:bidi w:val="0"/>
        <w:jc w:val="left"/>
        <w:rPr>
          <w:rFonts w:ascii="Times New Roman" w:hAnsi="Times New Roman"/>
          <w:color w:val="000000"/>
          <w:sz w:val="24"/>
        </w:rPr>
      </w:pPr>
      <w:r>
        <w:rPr>
          <w:rFonts w:ascii="Times New Roman" w:hAnsi="Times New Roman"/>
          <w:color w:val="000000"/>
          <w:sz w:val="24"/>
        </w:rPr>
        <w:t>6. ANNUAL LICENSE MAINTENANCE FEE</w:t>
      </w:r>
    </w:p>
    <w:p>
      <w:pPr>
        <w:pStyle w:val="TextBody"/>
        <w:bidi w:val="0"/>
        <w:ind w:left="0" w:right="0" w:firstLine="720"/>
        <w:jc w:val="left"/>
        <w:rPr>
          <w:rFonts w:ascii="Times New Roman" w:hAnsi="Times New Roman"/>
          <w:sz w:val="20"/>
        </w:rPr>
      </w:pPr>
      <w:r>
        <w:rPr>
          <w:rFonts w:ascii="Times New Roman" w:hAnsi="Times New Roman"/>
          <w:color w:val="000000"/>
          <w:sz w:val="24"/>
        </w:rPr>
        <w:t>The Licensee will also pay to The Regents a license maintenance fee (the “</w:t>
      </w:r>
      <w:r>
        <w:rPr>
          <w:rFonts w:ascii="Times New Roman" w:hAnsi="Times New Roman"/>
          <w:color w:val="000000"/>
          <w:sz w:val="24"/>
          <w:u w:val="single"/>
        </w:rPr>
        <w:t>Annual License Maintenance Fee</w:t>
      </w:r>
      <w:r>
        <w:rPr>
          <w:rFonts w:ascii="Times New Roman" w:hAnsi="Times New Roman"/>
          <w:color w:val="000000"/>
          <w:sz w:val="20"/>
        </w:rPr>
        <w:t>”</w:t>
      </w:r>
      <w:r>
        <w:rPr>
          <w:rFonts w:ascii="Times New Roman" w:hAnsi="Times New Roman"/>
          <w:color w:val="000000"/>
          <w:sz w:val="24"/>
        </w:rPr>
        <w:t>) of [***] beginning on, and payable within [***], and payable within [***] during the term hereof, until such time as the Licensee is Selling or otherwise Exploiting Licensed Products or Licensed Services and is paying Earned Royalties to The Regents. No Annual License Maintenance Fee will be due or payable, other than any such Annual License Maintenance fee which otherwise then is due and payable as to prior periods and which has not yet been paid by the Licensee to The Regents, from and after the date upon which the first obligation of the Licensee hereunder to pay any Earned Royalties to The Regents has accrued. Amounts paid by the Licensee to The Regents as Annual License Maintenance Fees are non-refundable, non-cancelable, and will not be credited as an advance against, or otherwise creditable against, any other amounts due from the Licensee to The Regents under this Agreement.</w:t>
      </w:r>
    </w:p>
    <w:p>
      <w:pPr>
        <w:pStyle w:val="TextBody"/>
        <w:bidi w:val="0"/>
        <w:jc w:val="left"/>
        <w:rPr>
          <w:rFonts w:ascii="Times New Roman" w:hAnsi="Times New Roman"/>
          <w:color w:val="000000"/>
          <w:sz w:val="24"/>
        </w:rPr>
      </w:pPr>
      <w:r>
        <w:rPr>
          <w:rFonts w:ascii="Times New Roman" w:hAnsi="Times New Roman"/>
          <w:color w:val="000000"/>
          <w:sz w:val="24"/>
        </w:rPr>
        <w:t>7. SUBLICENSING REVENUE FEE</w:t>
      </w:r>
    </w:p>
    <w:p>
      <w:pPr>
        <w:pStyle w:val="TextBody"/>
        <w:bidi w:val="0"/>
        <w:ind w:left="0" w:right="0" w:firstLine="720"/>
        <w:jc w:val="left"/>
        <w:rPr>
          <w:rFonts w:ascii="Times New Roman" w:hAnsi="Times New Roman"/>
          <w:sz w:val="20"/>
        </w:rPr>
      </w:pPr>
      <w:r>
        <w:rPr>
          <w:rFonts w:ascii="Times New Roman" w:hAnsi="Times New Roman"/>
          <w:color w:val="000000"/>
          <w:sz w:val="24"/>
        </w:rPr>
        <w:t>The Licensee will pay to The Regents the following fee (the “</w:t>
      </w:r>
      <w:r>
        <w:rPr>
          <w:rFonts w:ascii="Times New Roman" w:hAnsi="Times New Roman"/>
          <w:color w:val="000000"/>
          <w:sz w:val="24"/>
          <w:u w:val="single"/>
        </w:rPr>
        <w:t>Sublicensing Revenues</w:t>
      </w:r>
      <w:r>
        <w:rPr>
          <w:rFonts w:ascii="Times New Roman" w:hAnsi="Times New Roman"/>
          <w:color w:val="000000"/>
          <w:sz w:val="20"/>
        </w:rPr>
        <w:t xml:space="preserve"> </w:t>
      </w:r>
      <w:r>
        <w:rPr>
          <w:rFonts w:ascii="Times New Roman" w:hAnsi="Times New Roman"/>
          <w:color w:val="000000"/>
          <w:sz w:val="24"/>
          <w:u w:val="single"/>
        </w:rPr>
        <w:t>Fees</w:t>
      </w:r>
      <w:r>
        <w:rPr>
          <w:rFonts w:ascii="Times New Roman" w:hAnsi="Times New Roman"/>
          <w:color w:val="000000"/>
          <w:sz w:val="20"/>
        </w:rPr>
        <w:t>”</w:t>
      </w:r>
      <w:r>
        <w:rPr>
          <w:rFonts w:ascii="Times New Roman" w:hAnsi="Times New Roman"/>
          <w:color w:val="000000"/>
          <w:sz w:val="24"/>
        </w:rPr>
        <w:t>) with respect to all Sublicensing Revenues, which amounts will be non-refundable and which will not be credited against any other amounts due from the Licensee to The Regents under this Agreement:</w:t>
      </w:r>
    </w:p>
    <w:p>
      <w:pPr>
        <w:pStyle w:val="TextBody"/>
        <w:pBdr/>
        <w:bidi w:val="0"/>
        <w:ind w:left="1440" w:right="0" w:hanging="630"/>
        <w:jc w:val="left"/>
        <w:rPr>
          <w:rFonts w:ascii="Times New Roman" w:hAnsi="Times New Roman"/>
          <w:color w:val="000000"/>
          <w:sz w:val="24"/>
        </w:rPr>
      </w:pPr>
      <w:r>
        <w:rPr>
          <w:rFonts w:ascii="Times New Roman" w:hAnsi="Times New Roman"/>
          <w:color w:val="000000"/>
          <w:sz w:val="24"/>
        </w:rPr>
        <w:t>7.1.1 [***] of all Sublicensing Revenues, received by the Licensee, attributable [***], if such sublicense is executed prior to [***]; or</w:t>
      </w:r>
    </w:p>
    <w:p>
      <w:pPr>
        <w:pStyle w:val="TextBody"/>
        <w:pBdr/>
        <w:bidi w:val="0"/>
        <w:ind w:left="1440" w:right="0" w:hanging="630"/>
        <w:jc w:val="left"/>
        <w:rPr>
          <w:rFonts w:ascii="Times New Roman" w:hAnsi="Times New Roman"/>
          <w:color w:val="000000"/>
          <w:sz w:val="24"/>
        </w:rPr>
      </w:pPr>
      <w:r>
        <w:rPr>
          <w:rFonts w:ascii="Times New Roman" w:hAnsi="Times New Roman"/>
          <w:color w:val="000000"/>
          <w:sz w:val="24"/>
        </w:rPr>
        <w:t>7.1.2 [***] of all Sublicensing Revenues, received by the Licensee, attributable to [***], if such sublicense is executed after ***], but prior to [***]; or</w:t>
      </w:r>
    </w:p>
    <w:p>
      <w:pPr>
        <w:pStyle w:val="TextBody"/>
        <w:pBdr/>
        <w:bidi w:val="0"/>
        <w:ind w:left="1440" w:right="0" w:hanging="630"/>
        <w:jc w:val="left"/>
        <w:rPr>
          <w:rFonts w:ascii="Times New Roman" w:hAnsi="Times New Roman"/>
          <w:color w:val="000000"/>
          <w:sz w:val="24"/>
        </w:rPr>
      </w:pPr>
      <w:r>
        <w:rPr>
          <w:rFonts w:ascii="Times New Roman" w:hAnsi="Times New Roman"/>
          <w:color w:val="000000"/>
          <w:sz w:val="24"/>
        </w:rPr>
        <w:t>7.1.3 [***] of all Sublicensing Revenues, received by the Licensee, attributable to [***], if such sublicense is executed after [***], but prior to [***]; or</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pBdr/>
        <w:bidi w:val="0"/>
        <w:ind w:left="1440" w:right="0" w:hanging="630"/>
        <w:jc w:val="left"/>
        <w:rPr>
          <w:rFonts w:ascii="Times New Roman" w:hAnsi="Times New Roman"/>
          <w:color w:val="000000"/>
          <w:sz w:val="24"/>
        </w:rPr>
      </w:pPr>
      <w:r>
        <w:rPr>
          <w:rFonts w:ascii="Times New Roman" w:hAnsi="Times New Roman"/>
          <w:color w:val="000000"/>
          <w:sz w:val="24"/>
        </w:rPr>
        <w:t>7.1.4 [***] of all Sublicensing Revenues, received by the Licensee, [***], if such sublicense is executed after [***]; or</w:t>
      </w:r>
    </w:p>
    <w:p>
      <w:pPr>
        <w:pStyle w:val="TextBody"/>
        <w:pBdr/>
        <w:bidi w:val="0"/>
        <w:ind w:left="1440" w:right="0" w:hanging="630"/>
        <w:jc w:val="left"/>
        <w:rPr>
          <w:rFonts w:ascii="Times New Roman" w:hAnsi="Times New Roman"/>
          <w:color w:val="000000"/>
          <w:sz w:val="24"/>
        </w:rPr>
      </w:pPr>
      <w:r>
        <w:rPr>
          <w:rFonts w:ascii="Times New Roman" w:hAnsi="Times New Roman"/>
          <w:color w:val="000000"/>
          <w:sz w:val="24"/>
        </w:rPr>
        <w:t>7.1.5 [***] of all Sublicensing Revenues, received by the Licensee, attributable to any sublicense by the Licensee to a Direct Sublicensee, if such sublicense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7.2 [***]</w:t>
      </w:r>
    </w:p>
    <w:p>
      <w:pPr>
        <w:pStyle w:val="TextBody"/>
        <w:bidi w:val="0"/>
        <w:jc w:val="left"/>
        <w:rPr>
          <w:rFonts w:ascii="Times New Roman" w:hAnsi="Times New Roman"/>
          <w:color w:val="000000"/>
          <w:sz w:val="24"/>
        </w:rPr>
      </w:pPr>
      <w:r>
        <w:rPr>
          <w:rFonts w:ascii="Times New Roman" w:hAnsi="Times New Roman"/>
          <w:color w:val="000000"/>
          <w:sz w:val="24"/>
        </w:rPr>
        <w:t>8. EARNED ROYALTIES AND MINIMUM ANNUAL ROYALTY</w:t>
      </w:r>
    </w:p>
    <w:p>
      <w:pPr>
        <w:pStyle w:val="TextBody"/>
        <w:bidi w:val="0"/>
        <w:ind w:left="0" w:right="0" w:firstLine="720"/>
        <w:jc w:val="left"/>
        <w:rPr>
          <w:rFonts w:ascii="Times New Roman" w:hAnsi="Times New Roman"/>
          <w:sz w:val="20"/>
        </w:rPr>
      </w:pPr>
      <w:r>
        <w:rPr>
          <w:rFonts w:ascii="Times New Roman" w:hAnsi="Times New Roman"/>
          <w:color w:val="000000"/>
          <w:sz w:val="24"/>
        </w:rPr>
        <w:t>8.1 In addition to the License Issue Fee, the Annual License Maintenance Fee and the Sublicensing Revenues Fees, Licensee will also pay to The Regents, with respect to Net Sales of the Licensee and its Affiliates and Joint Ventures, and of each Direct Sublicensee other than (in order to avoid duplication) an Affiliate or Joint Venture, and of each Secondary Sublicensee, the following Earned Royalties in cash (the “</w:t>
      </w:r>
      <w:r>
        <w:rPr>
          <w:rFonts w:ascii="Times New Roman" w:hAnsi="Times New Roman"/>
          <w:color w:val="000000"/>
          <w:sz w:val="24"/>
          <w:u w:val="single"/>
        </w:rPr>
        <w:t>Earned Royalties</w:t>
      </w:r>
      <w:r>
        <w:rPr>
          <w:rFonts w:ascii="Times New Roman" w:hAnsi="Times New Roman"/>
          <w:color w:val="000000"/>
          <w:sz w:val="20"/>
        </w:rPr>
        <w:t>”</w:t>
      </w:r>
      <w:r>
        <w:rPr>
          <w:rFonts w:ascii="Times New Roman" w:hAnsi="Times New Roman"/>
          <w:color w:val="000000"/>
          <w:sz w:val="24"/>
        </w:rPr>
        <w:t>); Earned Royalties will be payable on Net Sales covered by pending patent applications and on Net Sales covered by issued patents, in each case as licensed to the Licensee hereunder:</w:t>
      </w:r>
    </w:p>
    <w:p>
      <w:pPr>
        <w:pStyle w:val="TextBody"/>
        <w:pBdr/>
        <w:bidi w:val="0"/>
        <w:ind w:left="1440" w:right="0" w:hanging="630"/>
        <w:jc w:val="left"/>
        <w:rPr>
          <w:rFonts w:ascii="Times New Roman" w:hAnsi="Times New Roman"/>
          <w:color w:val="000000"/>
          <w:sz w:val="24"/>
        </w:rPr>
      </w:pPr>
      <w:r>
        <w:rPr>
          <w:rFonts w:ascii="Times New Roman" w:hAnsi="Times New Roman"/>
          <w:color w:val="000000"/>
          <w:sz w:val="24"/>
        </w:rPr>
        <w:t>8.1.1 [***] with respect to cumulative Net Sales by, collectively, the Licensee and Direct Sublicensees and Secondary Sublicensees, from and after the Effective Date, up to and including [***]; and</w:t>
      </w:r>
    </w:p>
    <w:p>
      <w:pPr>
        <w:pStyle w:val="TextBody"/>
        <w:pBdr/>
        <w:bidi w:val="0"/>
        <w:ind w:left="1440" w:right="0" w:hanging="630"/>
        <w:jc w:val="left"/>
        <w:rPr>
          <w:rFonts w:ascii="Times New Roman" w:hAnsi="Times New Roman"/>
          <w:color w:val="000000"/>
          <w:sz w:val="24"/>
        </w:rPr>
      </w:pPr>
      <w:r>
        <w:rPr>
          <w:rFonts w:ascii="Times New Roman" w:hAnsi="Times New Roman"/>
          <w:color w:val="000000"/>
          <w:sz w:val="24"/>
        </w:rPr>
        <w:t>8.1.2 [***] with respect to Cumulative Net Sales by collectively the Licensee and Direct Sublicensee and Secondary Sublicensees, from and after the Effective Date, in excess of [***] up to and including [***]; and</w:t>
      </w:r>
    </w:p>
    <w:p>
      <w:pPr>
        <w:pStyle w:val="TextBody"/>
        <w:pBdr/>
        <w:bidi w:val="0"/>
        <w:ind w:left="1440" w:right="0" w:hanging="630"/>
        <w:jc w:val="left"/>
        <w:rPr>
          <w:rFonts w:ascii="Times New Roman" w:hAnsi="Times New Roman"/>
          <w:color w:val="000000"/>
          <w:sz w:val="24"/>
        </w:rPr>
      </w:pPr>
      <w:r>
        <w:rPr>
          <w:rFonts w:ascii="Times New Roman" w:hAnsi="Times New Roman"/>
          <w:color w:val="000000"/>
          <w:sz w:val="24"/>
        </w:rPr>
        <w:t>8.1.3 [***] with respect to cumulative Net Sales by collectively the Licensee and Direct Sublicensees and Secondary Sublicensees, from and after the Effective Dale, above [***].</w:t>
      </w:r>
    </w:p>
    <w:p>
      <w:pPr>
        <w:pStyle w:val="TextBody"/>
        <w:bidi w:val="0"/>
        <w:ind w:left="0" w:right="0" w:firstLine="720"/>
        <w:jc w:val="left"/>
        <w:rPr>
          <w:rFonts w:ascii="Times New Roman" w:hAnsi="Times New Roman"/>
          <w:sz w:val="20"/>
        </w:rPr>
      </w:pPr>
      <w:r>
        <w:rPr>
          <w:rFonts w:ascii="Times New Roman" w:hAnsi="Times New Roman"/>
          <w:color w:val="000000"/>
          <w:sz w:val="24"/>
        </w:rPr>
        <w:t>8.2 The Licensee will also pay to The Regents a Minimum Annual Royalty (the “</w:t>
      </w:r>
      <w:r>
        <w:rPr>
          <w:rFonts w:ascii="Times New Roman" w:hAnsi="Times New Roman"/>
          <w:color w:val="000000"/>
          <w:sz w:val="24"/>
          <w:u w:val="single"/>
        </w:rPr>
        <w:t>Minimum</w:t>
      </w:r>
      <w:r>
        <w:rPr>
          <w:rFonts w:ascii="Times New Roman" w:hAnsi="Times New Roman"/>
          <w:color w:val="000000"/>
          <w:sz w:val="20"/>
        </w:rPr>
        <w:t xml:space="preserve"> </w:t>
      </w:r>
      <w:r>
        <w:rPr>
          <w:rFonts w:ascii="Times New Roman" w:hAnsi="Times New Roman"/>
          <w:color w:val="000000"/>
          <w:sz w:val="24"/>
          <w:u w:val="single"/>
        </w:rPr>
        <w:t>Annual Royalty</w:t>
      </w:r>
      <w:r>
        <w:rPr>
          <w:rFonts w:ascii="Times New Roman" w:hAnsi="Times New Roman"/>
          <w:color w:val="000000"/>
          <w:sz w:val="20"/>
        </w:rPr>
        <w:t>”</w:t>
      </w:r>
      <w:r>
        <w:rPr>
          <w:rFonts w:ascii="Times New Roman" w:hAnsi="Times New Roman"/>
          <w:color w:val="000000"/>
          <w:sz w:val="24"/>
        </w:rPr>
        <w:t>) of [***] in cash for [***] during the term hereof, beginning with the year in which the first Sale of the first Licensed Product to be Sold occurs. Such Minimum Annual Royalty will be paid to The Regents by [***] and will be credited against the Earned Royalties due for the [***] in which such payment of the Minimum Annual Royalty was made. The Licensee's obligation to pay the Minimum Annual Royalty in the [***] in which such first Sale occurs will be prorated for [***] and will be due the next-occurring [***] (along with the Minimum Annual Royalty payment for such [***]), to allow for crediting of such prorated [***]</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Earned Royalties. Licensee’s obligation to pay a Minimum Annual Royalty as defined in this Section 8.2 will cease on [***], if on such [***] no patent has issued under the Patent Rights, and will not commence again until the [***] in which the first patent under the Patent Rights issues.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8.3 In the event it becomes necessary for the Licensee or any Sublicensee to obtain a license to patent rights owned by an unaffiliated third party (defined as a third party which is not an Affiliate, Joint Venture, or further Sublicensee of the Licensee or of such Sublicensee) in order to make, have made, use, Sell, offer to Sell or import Licensed Products or Licensed Services, and Licensee or Sublicensee is required to pay a royalty to both The Regents under this Agreement and the unaffiliated third party under such separate license agreement in order to practice Licensed Methods and to make, have made, use, Sell, offer to Sell or import Licensed Products, then the Earned Royalty applicable hereunder may be reduced by the excess over [***], including in such [***] the relevant Earned Royalty payable under Section 8.1 at the time in question, [***], provided that in no event will the Earned Royalty due to The Regents be reduced to less than [***] of the amount due The Regents as specified in Section 8.1, in any given payment period. The Licensee, or, as relevant, a Sublicensee, may only reduce the Earned Royalty due to The Regents hereunder for licenses to patent rights owed to the same unaffiliated third party once, collectively among the Licensee and all Sublicensees, together. No reduction pursuant to this Section 8.3 will be available with respect to any Combined Product or Service if no such royalty would have been payable to such unaffiliated third party, who is not an Affiliate, Joint Venture, or sublicense of the Licensee or any Sublicensee, if the relevant Combination Component were not included in such Combined Product or Service.</w:t>
      </w:r>
    </w:p>
    <w:p>
      <w:pPr>
        <w:pStyle w:val="TextBody"/>
        <w:bidi w:val="0"/>
        <w:jc w:val="left"/>
        <w:rPr>
          <w:rFonts w:ascii="Times New Roman" w:hAnsi="Times New Roman"/>
          <w:color w:val="000000"/>
          <w:sz w:val="24"/>
        </w:rPr>
      </w:pPr>
      <w:r>
        <w:rPr>
          <w:rFonts w:ascii="Times New Roman" w:hAnsi="Times New Roman"/>
          <w:color w:val="000000"/>
          <w:sz w:val="24"/>
        </w:rPr>
        <w:t>9. MILESTONE PAYMENTS</w:t>
      </w:r>
    </w:p>
    <w:p>
      <w:pPr>
        <w:pStyle w:val="TextBody"/>
        <w:bidi w:val="0"/>
        <w:ind w:left="0" w:right="0" w:firstLine="720"/>
        <w:jc w:val="left"/>
        <w:rPr>
          <w:rFonts w:ascii="Times New Roman" w:hAnsi="Times New Roman"/>
          <w:sz w:val="20"/>
        </w:rPr>
      </w:pPr>
      <w:r>
        <w:rPr>
          <w:rFonts w:ascii="Times New Roman" w:hAnsi="Times New Roman"/>
          <w:color w:val="000000"/>
          <w:sz w:val="24"/>
        </w:rPr>
        <w:t>9.1 With respect to each [***] Licensed Product, the Licensee will pay to The Regents the following amounts, which will be non-refundable and which may not be credited against any other amounts owed to The Regents by the Licensee under this Agreement (each a “</w:t>
      </w:r>
      <w:r>
        <w:rPr>
          <w:rFonts w:ascii="Times New Roman" w:hAnsi="Times New Roman"/>
          <w:color w:val="000000"/>
          <w:sz w:val="24"/>
          <w:u w:val="single"/>
        </w:rPr>
        <w:t>Milestone</w:t>
      </w:r>
      <w:r>
        <w:rPr>
          <w:rFonts w:ascii="Times New Roman" w:hAnsi="Times New Roman"/>
          <w:color w:val="000000"/>
          <w:sz w:val="20"/>
        </w:rPr>
        <w:t xml:space="preserve"> </w:t>
      </w:r>
      <w:r>
        <w:rPr>
          <w:rFonts w:ascii="Times New Roman" w:hAnsi="Times New Roman"/>
          <w:color w:val="000000"/>
          <w:sz w:val="24"/>
          <w:u w:val="single"/>
        </w:rPr>
        <w:t>Payment</w:t>
      </w:r>
      <w:r>
        <w:rPr>
          <w:rFonts w:ascii="Times New Roman" w:hAnsi="Times New Roman"/>
          <w:color w:val="000000"/>
          <w:sz w:val="20"/>
        </w:rPr>
        <w:t>”</w:t>
      </w:r>
      <w:r>
        <w:rPr>
          <w:rFonts w:ascii="Times New Roman" w:hAnsi="Times New Roman"/>
          <w:color w:val="000000"/>
          <w:sz w:val="24"/>
        </w:rPr>
        <w:t>):</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9.1.1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9.1.2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9.1.3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9.1.4 [***] upon [***], with [***];</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9.1.5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9.1.6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9.2 With respect to each [***] Licensed Product, the Licensee will pay to The Regents the following amounts, which will be non-refundable and which may not be credited against any other amounts owed to The Regents by the Licensee under this Agreement:</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9.2.1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9.2.2 [***];</w:t>
      </w:r>
    </w:p>
    <w:p>
      <w:pPr>
        <w:pStyle w:val="TextBody"/>
        <w:pBdr/>
        <w:bidi w:val="0"/>
        <w:ind w:left="1440" w:right="0" w:hanging="720"/>
        <w:jc w:val="left"/>
        <w:rPr>
          <w:rFonts w:ascii="Times New Roman" w:hAnsi="Times New Roman"/>
          <w:sz w:val="20"/>
        </w:rPr>
      </w:pPr>
      <w:r>
        <w:rPr>
          <w:rFonts w:ascii="Times New Roman" w:hAnsi="Times New Roman"/>
          <w:color w:val="000000"/>
          <w:sz w:val="24"/>
        </w:rPr>
        <w:t>9.2.3 [</w:t>
      </w:r>
      <w:r>
        <w:rPr>
          <w:rFonts w:ascii="Times New Roman" w:hAnsi="Times New Roman"/>
          <w:color w:val="272727"/>
          <w:sz w:val="24"/>
        </w:rPr>
        <w:t>***];</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9.2.4 [***];</w:t>
      </w:r>
    </w:p>
    <w:p>
      <w:pPr>
        <w:pStyle w:val="TextBody"/>
        <w:pBdr/>
        <w:bidi w:val="0"/>
        <w:ind w:left="1440" w:right="0" w:hanging="720"/>
        <w:jc w:val="left"/>
        <w:rPr>
          <w:rFonts w:ascii="Times New Roman" w:hAnsi="Times New Roman"/>
          <w:sz w:val="20"/>
        </w:rPr>
      </w:pPr>
      <w:r>
        <w:rPr>
          <w:rFonts w:ascii="Times New Roman" w:hAnsi="Times New Roman"/>
          <w:color w:val="000000"/>
          <w:sz w:val="24"/>
        </w:rPr>
        <w:t>9.2.5 [</w:t>
      </w:r>
      <w:r>
        <w:rPr>
          <w:rFonts w:ascii="Times New Roman" w:hAnsi="Times New Roman"/>
          <w:color w:val="232323"/>
          <w:sz w:val="24"/>
        </w:rPr>
        <w:t>***</w:t>
      </w:r>
      <w:r>
        <w:rPr>
          <w:rFonts w:ascii="Times New Roman" w:hAnsi="Times New Roman"/>
          <w:color w:val="000000"/>
          <w:sz w:val="24"/>
        </w:rPr>
        <w:t>];</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9.2.6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9.3 Each of the Milestone Payments set forth in Section 9.1 and 9.2 will be payable with respect to only the first Licensed Product to achieve such milestone, regardless of whether such milestone is achieved by the Licensee, a Direct Sublicensee or a Secondary Sublicensee. Furthermore, each such Milestone Payment will be payable by the Licensee to The Regents regardless of whether the applicable milestone event has been achieved by the Licensee or by a Direct Sublicensee or Secondary Sublicensee.</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9.4 All Milestone Payments are due to The Regents within [***].</w:t>
      </w:r>
    </w:p>
    <w:p>
      <w:pPr>
        <w:pStyle w:val="TextBody"/>
        <w:bidi w:val="0"/>
        <w:jc w:val="left"/>
        <w:rPr>
          <w:rFonts w:ascii="Times New Roman" w:hAnsi="Times New Roman"/>
          <w:color w:val="000000"/>
          <w:sz w:val="24"/>
        </w:rPr>
      </w:pPr>
      <w:r>
        <w:rPr>
          <w:rFonts w:ascii="Times New Roman" w:hAnsi="Times New Roman"/>
          <w:color w:val="000000"/>
          <w:sz w:val="24"/>
        </w:rPr>
        <w:t>10. DUE DILIGENCE</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10.1 From and after the Effective Date, the Licensee, during the term, of this Agreement, will diligently proceed with the development, manufacture and Sale of Licensed Products and Licensed Services and will earnestly and diligently market the same in quantities intended to be sufficient to meet the market demand therefor.</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10.2 The Licensee will obtain all necessary governmental approvals in each Country where Licensed Products and Licensed Services are manufactured, used, Sold, offered for Sale or imported by the Licensee.</w:t>
      </w:r>
    </w:p>
    <w:p>
      <w:pPr>
        <w:pStyle w:val="TextBody"/>
        <w:bidi w:val="0"/>
        <w:ind w:left="0" w:right="0" w:firstLine="720"/>
        <w:jc w:val="left"/>
        <w:rPr>
          <w:rFonts w:ascii="Times New Roman" w:hAnsi="Times New Roman"/>
          <w:sz w:val="20"/>
        </w:rPr>
      </w:pPr>
      <w:r>
        <w:rPr>
          <w:rFonts w:ascii="Times New Roman" w:hAnsi="Times New Roman"/>
          <w:color w:val="000000"/>
          <w:sz w:val="24"/>
        </w:rPr>
        <w:t>10.3 Subject to the provisions of Sections 10.6 and 10.7, the Licensee will complete the diligence milestones (each a “</w:t>
      </w:r>
      <w:r>
        <w:rPr>
          <w:rFonts w:ascii="Times New Roman" w:hAnsi="Times New Roman"/>
          <w:color w:val="000000"/>
          <w:sz w:val="24"/>
          <w:u w:val="single"/>
        </w:rPr>
        <w:t>Diligence Milestone</w:t>
      </w:r>
      <w:r>
        <w:rPr>
          <w:rFonts w:ascii="Times New Roman" w:hAnsi="Times New Roman"/>
          <w:color w:val="000000"/>
          <w:sz w:val="20"/>
        </w:rPr>
        <w:t>”</w:t>
      </w:r>
      <w:r>
        <w:rPr>
          <w:rFonts w:ascii="Times New Roman" w:hAnsi="Times New Roman"/>
          <w:color w:val="000000"/>
          <w:sz w:val="24"/>
        </w:rPr>
        <w:t>) set forth in Sections 10.4 and 10.5 by the date set forth in such Sections therefor, provided that [***], and if [***], then the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10.4 with respect to [***] Licensed Products, and subject to the provisions of Sections 10.6 and 10.7, the Licensee will:</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10.4.1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10.4.2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10.4.3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10.4.4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10.5 With respect to [***] Licensed Products, and subject to the provisions of Sections 10.6 and 10.7, the Licensee will:</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10.5.1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10.5.2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10.5.3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10.5.4 [***]</w:t>
      </w:r>
    </w:p>
    <w:p>
      <w:pPr>
        <w:pStyle w:val="TextBody"/>
        <w:bidi w:val="0"/>
        <w:jc w:val="left"/>
        <w:rPr>
          <w:rFonts w:ascii="Times New Roman" w:hAnsi="Times New Roman"/>
          <w:color w:val="000000"/>
          <w:sz w:val="24"/>
        </w:rPr>
      </w:pPr>
      <w:r>
        <w:rPr>
          <w:rFonts w:ascii="Times New Roman" w:hAnsi="Times New Roman"/>
          <w:color w:val="000000"/>
          <w:sz w:val="24"/>
        </w:rPr>
        <w:t>10.6 If the Licensee believes in good faith that it will be unable to timely complete the clinical development of any Licensed Product because the Licensee believes in good faith, after consultation with its regulatory advisors and/or with regulatory agencies, that there is the possibility of the existence of a safety or efficacy reason not to perform one or more of the steps necessary to allow the completion of such Licensed Product clinical development, then the Licensee will promptly consult with The Regents with respect to such determination, and the parties hereto will in good faith determine whether new Diligence Milestones for such Licensed Product or subsequent Licensed Products, are appropriate, and if The Regents, in its sole discretion, determines that such new Diligence Milestones are appropriate or necessary, the parties hereto will execute and deliver a written confirmation of such new Diligence Milestones, setting forth the new schedule for achievement of such Diligence Milestones within [***].</w:t>
      </w:r>
    </w:p>
    <w:p>
      <w:pPr>
        <w:pStyle w:val="TextBody"/>
        <w:bidi w:val="0"/>
        <w:ind w:left="0" w:right="0" w:firstLine="720"/>
        <w:jc w:val="left"/>
        <w:rPr>
          <w:rFonts w:ascii="Times New Roman" w:hAnsi="Times New Roman"/>
          <w:sz w:val="20"/>
        </w:rPr>
      </w:pPr>
      <w:r>
        <w:rPr>
          <w:rFonts w:ascii="Times New Roman" w:hAnsi="Times New Roman"/>
          <w:color w:val="000000"/>
          <w:sz w:val="24"/>
        </w:rPr>
        <w:t>10.7 If for any reason other than as provided in Section 10.6, the Licensee does not timely complete a Diligence Milestone set forth in Section 10.4 or 10.5, as relevant, The Regents will notify the Licensee in writing of such failure to perform by sending a Notice of Default, as set forth in Section 14, specifying the Diligence Milestone of the Licensee which The Regents believes the Licensee has failed to timely meet. The Licensee will have the right to extend the due date of such Diligence Milestone for a period of [***] after the date of the failure to complete such Diligence Milestone, upon the payment by the Licensee to The Regents, within [***], of an amount as follows, in each case in cash, (by the Licensee’s check), accompanied by written notice from the Licensee to The Regents specifying the Diligence Milestone for which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the Licensee is paying for such extension, and setting forth in such notice the [***] extended due date for such Diligence Milestone:</w:t>
      </w:r>
    </w:p>
    <w:p>
      <w:pPr>
        <w:pStyle w:val="TextBody"/>
        <w:bidi w:val="0"/>
        <w:ind w:left="0" w:right="0" w:firstLine="1440"/>
        <w:jc w:val="left"/>
        <w:rPr>
          <w:rFonts w:ascii="Times New Roman" w:hAnsi="Times New Roman"/>
          <w:color w:val="000000"/>
          <w:sz w:val="24"/>
        </w:rPr>
      </w:pPr>
      <w:r>
        <w:rPr>
          <w:rFonts w:ascii="Times New Roman" w:hAnsi="Times New Roman"/>
          <w:color w:val="000000"/>
          <w:sz w:val="24"/>
        </w:rPr>
        <w:t>(a) [***]</w:t>
      </w:r>
    </w:p>
    <w:p>
      <w:pPr>
        <w:pStyle w:val="TextBody"/>
        <w:bidi w:val="0"/>
        <w:ind w:left="0" w:right="0" w:firstLine="1440"/>
        <w:jc w:val="left"/>
        <w:rPr>
          <w:rFonts w:ascii="Times New Roman" w:hAnsi="Times New Roman"/>
          <w:color w:val="000000"/>
          <w:sz w:val="24"/>
        </w:rPr>
      </w:pPr>
      <w:r>
        <w:rPr>
          <w:rFonts w:ascii="Times New Roman" w:hAnsi="Times New Roman"/>
          <w:color w:val="000000"/>
          <w:sz w:val="24"/>
        </w:rPr>
        <w:t>(b)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Upon the timely delivery to The Regents from the Licensee of such relevant payment and notice, the due date for the Diligence Milestone for the relevant Licensed Product as specified in such notice from the Licensee and for which payment has been so made by the Licensee to The Regents as provided herein, will be extended to a date which is [***] after the relevant original due date therefor. The Licensee may, by complying with the notice and payment provisions of this Section 10.7, make an unlimited number of extensions to the original due date for such relevant Diligence Milestone. The extension payments provided above in this Section 10.7 will apply separately to each Diligence Milestone for a given Licensed Products, such that [***]. The payments set forth in this Section 10.7 are in addition to any other payments required to be made by the Licensee to The Regents in this Agreement.</w:t>
      </w:r>
    </w:p>
    <w:p>
      <w:pPr>
        <w:pStyle w:val="TextBody"/>
        <w:bidi w:val="0"/>
        <w:ind w:left="0" w:right="0" w:firstLine="720"/>
        <w:jc w:val="left"/>
        <w:rPr>
          <w:rFonts w:ascii="Times New Roman" w:hAnsi="Times New Roman"/>
          <w:sz w:val="20"/>
        </w:rPr>
      </w:pPr>
      <w:r>
        <w:rPr>
          <w:rFonts w:ascii="Times New Roman" w:hAnsi="Times New Roman"/>
          <w:color w:val="000000"/>
          <w:sz w:val="24"/>
        </w:rPr>
        <w:t>10.8 Upon any failure of the Licensee to meet the due date for a Diligence Milestone, after giving effect to any extension of such relevant due date as provided in Section 10.6 or 10.7, The Regents will have the right either to (a) terminate the License as to, or (b) to cause the License to become non-exclusive as to, in either case, all or any of the Patent Rights relevant solely to [***] Licensed Product or [***] Licensed Products as relevant, for which the relevant Diligence Milestone was not, after giving effect to the application of Sections 10.6 and 10.7, met, and which right in either case, if exercised by The Regents, supersedes and will control, as to the matters set forth in this Section 10.8, the rights of The Regents set forth in Article 2 and Article 14. Such right of The Regents to so terminate the License or to cause the License to become non-exclusive as to a given Licensed Product will be The Regents' sole remedy for any breach by the Licensee of the Licensee’s obligations as to Diligence Milestone for such Licensed Product under, as relevant, Section 10.4 or 10.5. To exercise either the right to terminate the License or to cause the License to become non-exclusive to the relevant Licensed Product as described in this Section 10.8, The Regents will give the Licensee written notice of the relevant deficiency in a Notice of Default, as set forth in Article 14. The Licensee will have [***], as set forth in Article 14, of such Notice of Default, to cure the deficiency described in such Notice of Default. If The Regents has not received written evidence satisfactory to The Regents that such deficiency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sz w:val="20"/>
        </w:rPr>
      </w:pPr>
      <w:r>
        <w:rPr>
          <w:rFonts w:ascii="Times New Roman" w:hAnsi="Times New Roman"/>
          <w:color w:val="000000"/>
          <w:sz w:val="24"/>
        </w:rPr>
        <w:t>or deficiencies as specified in the Notice of Default have been cured or that steps acceptable to The Regents have been taken by the Licensee to cure such deficiency or deficiencies by the end of such [***] period, then The Regents may, at its option, and solely as to the relevant Licensed Products to which such failure to meet the relevant Diligence Milestone applies, terminate the License immediately without the obligation to provide [***] notice as set forth in Article 14, or may cause the License to become non-exclusive as to such Licensed Products, in either case by giving written notice to the Licensee (the “</w:t>
      </w:r>
      <w:r>
        <w:rPr>
          <w:rFonts w:ascii="Times New Roman" w:hAnsi="Times New Roman"/>
          <w:color w:val="000000"/>
          <w:sz w:val="24"/>
          <w:u w:val="single"/>
        </w:rPr>
        <w:t>Diligence Failure Action Notice</w:t>
      </w:r>
      <w:r>
        <w:rPr>
          <w:rFonts w:ascii="Times New Roman" w:hAnsi="Times New Roman"/>
          <w:color w:val="000000"/>
          <w:sz w:val="20"/>
        </w:rPr>
        <w:t>”</w:t>
      </w:r>
      <w:r>
        <w:rPr>
          <w:rFonts w:ascii="Times New Roman" w:hAnsi="Times New Roman"/>
          <w:color w:val="000000"/>
          <w:sz w:val="24"/>
        </w:rPr>
        <w:t>) of whichever of such determinations has been made by The Regents, and setting forth in such Diligence Failure Action Notice the effective date of such termination of the License or of such reduction of the License to non-exclusive status (specifying as to which Patent Rights and Licensed Products such termination or conversion to non-exclusive status has been made), which date of termination or conversion to non-exclusive status, as relevant, will not be prior to the date of such Diligence Failure Action Notice.</w:t>
      </w:r>
    </w:p>
    <w:p>
      <w:pPr>
        <w:pStyle w:val="TextBody"/>
        <w:bidi w:val="0"/>
        <w:jc w:val="left"/>
        <w:rPr>
          <w:rFonts w:ascii="Times New Roman" w:hAnsi="Times New Roman"/>
          <w:color w:val="000000"/>
          <w:sz w:val="24"/>
        </w:rPr>
      </w:pPr>
      <w:r>
        <w:rPr>
          <w:rFonts w:ascii="Times New Roman" w:hAnsi="Times New Roman"/>
          <w:color w:val="000000"/>
          <w:sz w:val="24"/>
        </w:rPr>
        <w:t>11. PROGRESS AND ROYALTY REPORTS</w:t>
      </w:r>
    </w:p>
    <w:p>
      <w:pPr>
        <w:pStyle w:val="TextBody"/>
        <w:bidi w:val="0"/>
        <w:spacing w:before="120" w:after="283"/>
        <w:ind w:left="0" w:right="0" w:firstLine="720"/>
        <w:jc w:val="left"/>
        <w:rPr>
          <w:rFonts w:ascii="Times New Roman" w:hAnsi="Times New Roman"/>
          <w:sz w:val="20"/>
        </w:rPr>
      </w:pPr>
      <w:r>
        <w:rPr>
          <w:rFonts w:ascii="Times New Roman" w:hAnsi="Times New Roman"/>
          <w:color w:val="232323"/>
          <w:sz w:val="24"/>
        </w:rPr>
        <w:t>11.1 Beginning on [***], the Licensee will submit to The Regents a written progress report as described in Section 11.2 covering th</w:t>
      </w:r>
      <w:r>
        <w:rPr>
          <w:rFonts w:ascii="Times New Roman" w:hAnsi="Times New Roman"/>
          <w:color w:val="474747"/>
          <w:sz w:val="24"/>
        </w:rPr>
        <w:t>e</w:t>
      </w:r>
      <w:r>
        <w:rPr>
          <w:rFonts w:ascii="Times New Roman" w:hAnsi="Times New Roman"/>
          <w:color w:val="CCCCCC"/>
          <w:sz w:val="24"/>
        </w:rPr>
        <w:t>-</w:t>
      </w:r>
      <w:r>
        <w:rPr>
          <w:rFonts w:ascii="Times New Roman" w:hAnsi="Times New Roman"/>
          <w:color w:val="232323"/>
          <w:sz w:val="24"/>
        </w:rPr>
        <w:t>Licensee's (and any Affiliates’, Joint Venture’s or Direct Sublicensee’s or Secondary Sublicensee’s) activities related to the development of Licensed Products and Licensed Services, the status of obtaining of the governmental approvals necessary for marketing Licensed Products and Licensed Services, and other activities undertaken in order to meet the diligence requirements set forth in Article 10, as further set forth under Section 11.2. Such progress reports will be required for each Licensed Product and Licensed Service, including with respect to any Exploitation of any Licensed Product and/or Licensed Service, as relevant, until the date the first Sale of such Licensed Product or Licensed Service occurs in the United States and will be again required if, and for so long as, all Sales and Exploitation of such Licensed Product or Licensed Service are suspended or discontinued in any Country during the term of this Agreement.</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4"/>
        </w:rPr>
        <w:t>11</w:t>
      </w:r>
      <w:r>
        <w:rPr>
          <w:rFonts w:ascii="Times New Roman" w:hAnsi="Times New Roman"/>
          <w:color w:val="2A2A2A"/>
          <w:sz w:val="24"/>
        </w:rPr>
        <w:t>.2 Progress reports submitted under Section 11.1 will include, but are not limited to, a detailed summary of the following topics so that The Regents will be able</w:t>
      </w:r>
      <w:r>
        <w:rPr>
          <w:rFonts w:ascii="Times New Roman" w:hAnsi="Times New Roman"/>
          <w:color w:val="C0C0C0"/>
          <w:sz w:val="20"/>
        </w:rPr>
        <w:t xml:space="preserve"> </w:t>
      </w:r>
      <w:r>
        <w:rPr>
          <w:rFonts w:ascii="Times New Roman" w:hAnsi="Times New Roman"/>
          <w:color w:val="2A2A2A"/>
          <w:sz w:val="24"/>
        </w:rPr>
        <w:t>to determine the progress of the development of Licensed Products and Licensed Services and will also be able to determine whether or not the Licensee has met its diligence obligations set forth in Article 10:</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pBdr/>
        <w:bidi w:val="0"/>
        <w:spacing w:before="120" w:after="283"/>
        <w:ind w:left="1440" w:right="0" w:hanging="720"/>
        <w:jc w:val="left"/>
        <w:rPr>
          <w:rFonts w:ascii="Times New Roman" w:hAnsi="Times New Roman"/>
          <w:color w:val="242424"/>
          <w:sz w:val="24"/>
        </w:rPr>
      </w:pPr>
      <w:r>
        <w:rPr>
          <w:rFonts w:ascii="Times New Roman" w:hAnsi="Times New Roman"/>
          <w:color w:val="242424"/>
          <w:sz w:val="24"/>
        </w:rPr>
        <w:t>11.2.1 A summary of development activities completed by the Licensee pursuant to the Patent Rights License and the Technology Rights License (“development activities”) as of the submission date of the progress report;</w:t>
      </w:r>
    </w:p>
    <w:p>
      <w:pPr>
        <w:pStyle w:val="TextBody"/>
        <w:pBdr/>
        <w:bidi w:val="0"/>
        <w:spacing w:before="120" w:after="283"/>
        <w:ind w:left="1440" w:right="0" w:hanging="720"/>
        <w:jc w:val="left"/>
        <w:rPr>
          <w:rFonts w:ascii="Times New Roman" w:hAnsi="Times New Roman"/>
          <w:sz w:val="20"/>
        </w:rPr>
      </w:pPr>
      <w:r>
        <w:rPr>
          <w:rFonts w:ascii="Times New Roman" w:hAnsi="Times New Roman"/>
          <w:color w:val="000000"/>
          <w:sz w:val="24"/>
        </w:rPr>
        <w:t>11.2.2 [</w:t>
      </w:r>
      <w:r>
        <w:rPr>
          <w:rFonts w:ascii="Times New Roman" w:hAnsi="Times New Roman"/>
          <w:color w:val="222222"/>
          <w:sz w:val="24"/>
        </w:rPr>
        <w:t>***]</w:t>
      </w:r>
    </w:p>
    <w:p>
      <w:pPr>
        <w:pStyle w:val="TextBody"/>
        <w:pBdr/>
        <w:bidi w:val="0"/>
        <w:spacing w:before="120" w:after="283"/>
        <w:ind w:left="1440" w:right="0" w:hanging="720"/>
        <w:jc w:val="left"/>
        <w:rPr>
          <w:rFonts w:ascii="Times New Roman" w:hAnsi="Times New Roman"/>
          <w:sz w:val="20"/>
        </w:rPr>
      </w:pPr>
      <w:r>
        <w:rPr>
          <w:rFonts w:ascii="Times New Roman" w:hAnsi="Times New Roman"/>
          <w:color w:val="212121"/>
          <w:sz w:val="24"/>
        </w:rPr>
        <w:t xml:space="preserve">11.2.3 A summary of development activities in progress by the Licensee as of the </w:t>
      </w:r>
      <w:r>
        <w:rPr>
          <w:rFonts w:ascii="Times New Roman" w:hAnsi="Times New Roman"/>
          <w:color w:val="242424"/>
          <w:sz w:val="24"/>
        </w:rPr>
        <w:t>submission date of the progress report;</w:t>
      </w:r>
    </w:p>
    <w:p>
      <w:pPr>
        <w:pStyle w:val="TextBody"/>
        <w:pBdr/>
        <w:bidi w:val="0"/>
        <w:spacing w:before="120" w:after="283"/>
        <w:ind w:left="1440" w:right="0" w:hanging="720"/>
        <w:jc w:val="left"/>
        <w:rPr>
          <w:rFonts w:ascii="Times New Roman" w:hAnsi="Times New Roman"/>
          <w:sz w:val="20"/>
        </w:rPr>
      </w:pPr>
      <w:r>
        <w:rPr>
          <w:rFonts w:ascii="Times New Roman" w:hAnsi="Times New Roman"/>
          <w:color w:val="000000"/>
          <w:sz w:val="24"/>
        </w:rPr>
        <w:t>11</w:t>
      </w:r>
      <w:r>
        <w:rPr>
          <w:rFonts w:ascii="Times New Roman" w:hAnsi="Times New Roman"/>
          <w:color w:val="212121"/>
          <w:sz w:val="24"/>
        </w:rPr>
        <w:t>.2.4 A current schedule of relevant events and milestones in connection with the development activities of the Licensee, including events and milestones specified in Article 10,</w:t>
      </w:r>
    </w:p>
    <w:p>
      <w:pPr>
        <w:pStyle w:val="TextBody"/>
        <w:pBdr/>
        <w:bidi w:val="0"/>
        <w:spacing w:before="120" w:after="283"/>
        <w:ind w:left="1440" w:right="0" w:hanging="720"/>
        <w:jc w:val="left"/>
        <w:rPr>
          <w:rFonts w:ascii="Times New Roman" w:hAnsi="Times New Roman"/>
          <w:color w:val="232323"/>
          <w:sz w:val="24"/>
        </w:rPr>
      </w:pPr>
      <w:r>
        <w:rPr>
          <w:rFonts w:ascii="Times New Roman" w:hAnsi="Times New Roman"/>
          <w:color w:val="232323"/>
          <w:sz w:val="24"/>
        </w:rPr>
        <w:t>11.2.5 [***]</w:t>
      </w:r>
    </w:p>
    <w:p>
      <w:pPr>
        <w:pStyle w:val="TextBody"/>
        <w:pBdr/>
        <w:bidi w:val="0"/>
        <w:spacing w:before="120" w:after="283"/>
        <w:ind w:left="1440" w:right="0" w:hanging="720"/>
        <w:jc w:val="left"/>
        <w:rPr>
          <w:rFonts w:ascii="Times New Roman" w:hAnsi="Times New Roman"/>
          <w:sz w:val="20"/>
        </w:rPr>
      </w:pPr>
      <w:r>
        <w:rPr>
          <w:rFonts w:ascii="Times New Roman" w:hAnsi="Times New Roman"/>
          <w:color w:val="242424"/>
          <w:sz w:val="24"/>
        </w:rPr>
        <w:t>11.2.6 [***</w:t>
      </w:r>
      <w:r>
        <w:rPr>
          <w:rFonts w:ascii="Times New Roman" w:hAnsi="Times New Roman"/>
          <w:color w:val="232323"/>
          <w:sz w:val="24"/>
        </w:rPr>
        <w:t>]</w:t>
      </w:r>
    </w:p>
    <w:p>
      <w:pPr>
        <w:pStyle w:val="TextBody"/>
        <w:pBdr/>
        <w:bidi w:val="0"/>
        <w:spacing w:before="120" w:after="283"/>
        <w:ind w:left="1440" w:right="0" w:hanging="720"/>
        <w:jc w:val="left"/>
        <w:rPr>
          <w:rFonts w:ascii="Times New Roman" w:hAnsi="Times New Roman"/>
          <w:color w:val="212121"/>
          <w:sz w:val="24"/>
        </w:rPr>
      </w:pPr>
      <w:r>
        <w:rPr>
          <w:rFonts w:ascii="Times New Roman" w:hAnsi="Times New Roman"/>
          <w:color w:val="212121"/>
          <w:sz w:val="24"/>
        </w:rPr>
        <w:t>11.2.7 Information as to each Sublicensee relating to the items in Sections 11.2.1 through 11.2.5, as if such Sublicensee were Licensee, if there are any Sublicensees at the time of the relevant progress report.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11.3 [***]. If either party terminates this Agreement before any Licensed Products or Licensed Services are Sold, or before the expiration of this Agreement, then a final progress report covering the period prior to termination must be submitted by the Licensee to The Regents within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11.4 The Licensee will keep The Regents informed on at least [***] basis, with each [***] period running from the Effective Date and thereafter serially, or more frequently as may be required by law or as may be requested in good faith by The Regents in writing to the Licensee, of the business entity status (small business entity status or large business entity status as defined by the United States Patent and Trademark Office) of the Licensee and of any Affiliates, Joint Ventures, or Sublicensees. The Licensee will notify The Regents of any change of the Licensee’s status or that of any Affiliate, Joint Venture, or Sublicensee, as a small business entity or large business entity, as defined by the United States Patent and Trademark Office, within [***].</w:t>
      </w:r>
    </w:p>
    <w:p>
      <w:pPr>
        <w:pStyle w:val="TextBody"/>
        <w:bidi w:val="0"/>
        <w:ind w:left="0" w:right="0" w:firstLine="720"/>
        <w:jc w:val="left"/>
        <w:rPr>
          <w:rFonts w:ascii="Times New Roman" w:hAnsi="Times New Roman"/>
          <w:sz w:val="20"/>
        </w:rPr>
      </w:pPr>
      <w:r>
        <w:rPr>
          <w:rFonts w:ascii="Times New Roman" w:hAnsi="Times New Roman"/>
          <w:color w:val="000000"/>
          <w:sz w:val="24"/>
        </w:rPr>
        <w:t>11.5 The Licensee will report to The Regents the date of first Sale, or Exploitation as provided in Section 1.36 with respect to preclinical trials, clinical trials, and certain disposition by not-for-profit foundations and other not-for-profit organizations, of a Licensed Product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Licensed Service in each Country in the Licensee’s first progress report and royalty report following such date of first Sale or Exploitation of a Licensed Product or Licensed Service.</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11.6 Beginning with [***], the Licensee will make [***] reports to The Regents, as to Earned Royalties due from, and Sublicensing Revenues of, the Licensee, on or before each [***]. Each such report will cover Licensee's most recently completed [***] and will, at a minimum, show:</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11.6.1 the Gross Invoice Prices and Net Sales of Licensed Products or Licensed Services Sold or Exploited [***], any Sublicensing Revenues [***] due to the Licensee;</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11.6.2 the quantity of each type of Licensed Product and/or Licensed Service which has been Sold or Exploited;</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11.6.3 the Country in which each Licensed Product and Licensed Service was made, used or Sold or Exploited;</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11.6.4 the amount of Earned Royalties, in dollars, payable by the Licensee to The Regents with respect to Net Sales and Service Income for such period;</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11.6.5 the amount of Sublicensing Revenues Fees, in dollars, payable by the Licensee to The Regents with respect to Sublicensing Revenues for such period;</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11.6.6 the method used by the Licensee to calculate the Earned Royalties, specifying the nature of all Deductions taken from Net Sales and the dollar amount of each such Deduction;</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11.6.7 currency exchange rates used, if any;</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11.6.8 the amount of the cash, and the amount of the cash equivalent of any non-cash consideration, within Net Sales, including the method used to calculate such non-cash consideration;</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11.6.9 [***]; and</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11.6.10 any other information reasonably necessary to confirm the Licensee’s calculation of its financial obligations hereunder to make payments to The Regents as provided in this Agreement.</w:t>
      </w:r>
    </w:p>
    <w:p>
      <w:pPr>
        <w:pStyle w:val="TextBody"/>
        <w:bidi w:val="0"/>
        <w:ind w:left="0" w:right="0" w:firstLine="720"/>
        <w:jc w:val="left"/>
        <w:rPr>
          <w:rFonts w:ascii="Times New Roman" w:hAnsi="Times New Roman"/>
          <w:sz w:val="20"/>
        </w:rPr>
      </w:pPr>
      <w:r>
        <w:rPr>
          <w:rFonts w:ascii="Times New Roman" w:hAnsi="Times New Roman"/>
          <w:color w:val="000000"/>
          <w:sz w:val="24"/>
        </w:rPr>
        <w:t>11.7 If during any reporting period no Sales of Licensed Products and Licensed Services have been made and no Licensed Products or Licensed Services have been Exploited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sz w:val="20"/>
        </w:rPr>
      </w:pPr>
      <w:r>
        <w:rPr>
          <w:rFonts w:ascii="Times New Roman" w:hAnsi="Times New Roman"/>
          <w:color w:val="000000"/>
          <w:sz w:val="24"/>
        </w:rPr>
        <w:t xml:space="preserve">and no Earned Royalties or Sublicensing Revenues are due to The Regents, then a statement to this </w:t>
      </w:r>
      <w:r>
        <w:rPr>
          <w:rFonts w:ascii="Times New Roman" w:hAnsi="Times New Roman"/>
          <w:color w:val="222222"/>
          <w:sz w:val="24"/>
        </w:rPr>
        <w:t>effect will be provided by the Licensee in the Licensee’s written report to The Regents for such period.</w:t>
      </w:r>
    </w:p>
    <w:p>
      <w:pPr>
        <w:pStyle w:val="TextBody"/>
        <w:bidi w:val="0"/>
        <w:jc w:val="left"/>
        <w:rPr>
          <w:rFonts w:ascii="Times New Roman" w:hAnsi="Times New Roman"/>
          <w:color w:val="000000"/>
          <w:sz w:val="24"/>
        </w:rPr>
      </w:pPr>
      <w:r>
        <w:rPr>
          <w:rFonts w:ascii="Times New Roman" w:hAnsi="Times New Roman"/>
          <w:color w:val="000000"/>
          <w:sz w:val="24"/>
        </w:rPr>
        <w:t>12. BOOKS AND RECORDS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12.1 The Licensee will keep accurate books and records showing all Licensed Products under development, manufactured, used, offered for Sale, imported, Sold and or otherwise Exploited; all Licensed Service Sold or otherwise provided; all Net Sales, all Sublicensing Revenues, all Service Income and other amounts payable hereunder; and all sublicenses granted under the terms of this Agreement. Such books and records will be preserved for [***] and will be open to inspection by representatives or agents of The Regents during regular business hours and upon reasonable advance written notice, to determine their accuracy and assess the Licensee’s compliance with the terms of this Agreement.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12.2 The Regents will pay the fees and expenses of such examination, provided that if an error in payment due from the Licensee to The Regents of more than [***] of the amount due for any year, from the Licensee to The Regents, is discovered in any such examination, then the Licensee will bear the fees and expenses of such examination and will remit such underpayment to The Regents within [***]. The Regents will provide the Licensee with a correct and complete copy of the final results of any such examination.</w:t>
      </w:r>
    </w:p>
    <w:p>
      <w:pPr>
        <w:pStyle w:val="TextBody"/>
        <w:bidi w:val="0"/>
        <w:jc w:val="left"/>
        <w:rPr>
          <w:rFonts w:ascii="Times New Roman" w:hAnsi="Times New Roman"/>
          <w:color w:val="000000"/>
          <w:sz w:val="24"/>
        </w:rPr>
      </w:pPr>
      <w:r>
        <w:rPr>
          <w:rFonts w:ascii="Times New Roman" w:hAnsi="Times New Roman"/>
          <w:color w:val="000000"/>
          <w:sz w:val="24"/>
        </w:rPr>
        <w:t>13. TERM OF THIS AGREEMENT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13.1 Unless otherwise terminated by operation of law, Section 13.2, or by acts of the parties hereto in accordance with the terms of this Agreement, this Agreement will remain in effect from the Effective Date until the expiration or abandonment of the last of the Patent Rights licensed hereunder.</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13.2 This Agreement will automatically terminate without the obligation to provide [***] notice as set forth in Article 14, upon the filing of a petition for relief under the United States Bankruptcy Code by or against the Licensee as a debtor or alleged debtor.</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13.3 Any expiration or termination of this Agreement will not affect the rights and obligations of the parties set forth in the following Articles and Sections:</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1 Definitions</w:t>
      </w:r>
    </w:p>
    <w:p>
      <w:pPr>
        <w:pStyle w:val="TextBody"/>
        <w:pBdr/>
        <w:bidi w:val="0"/>
        <w:ind w:left="1440" w:right="0" w:hanging="2070"/>
        <w:jc w:val="left"/>
        <w:rPr>
          <w:rFonts w:ascii="Times New Roman" w:hAnsi="Times New Roman"/>
          <w:sz w:val="20"/>
        </w:rPr>
      </w:pPr>
      <w:r>
        <w:rPr>
          <w:rFonts w:ascii="Times New Roman" w:hAnsi="Times New Roman"/>
          <w:color w:val="000000"/>
          <w:sz w:val="24"/>
        </w:rPr>
        <w:t xml:space="preserve">Section 4.7 </w:t>
      </w:r>
      <w:r>
        <w:rPr>
          <w:rFonts w:ascii="Times New Roman" w:hAnsi="Times New Roman"/>
          <w:color w:val="202020"/>
          <w:sz w:val="24"/>
        </w:rPr>
        <w:t>Late Payments</w:t>
      </w:r>
    </w:p>
    <w:p>
      <w:pPr>
        <w:pStyle w:val="TextBody"/>
        <w:pBdr/>
        <w:bidi w:val="0"/>
        <w:ind w:left="1440" w:right="0" w:hanging="2880"/>
        <w:jc w:val="left"/>
        <w:rPr>
          <w:rFonts w:ascii="Times New Roman" w:hAnsi="Times New Roman"/>
          <w:sz w:val="20"/>
        </w:rPr>
      </w:pPr>
      <w:r>
        <w:rPr>
          <w:rFonts w:ascii="Times New Roman" w:hAnsi="Times New Roman"/>
          <w:color w:val="000000"/>
          <w:sz w:val="24"/>
        </w:rPr>
        <w:t xml:space="preserve">Article 5 </w:t>
      </w:r>
      <w:r>
        <w:rPr>
          <w:rFonts w:ascii="Times New Roman" w:hAnsi="Times New Roman"/>
          <w:color w:val="232323"/>
          <w:sz w:val="24"/>
        </w:rPr>
        <w:t>License Issue Fee</w:t>
      </w:r>
    </w:p>
    <w:p>
      <w:pPr>
        <w:pStyle w:val="TextBody"/>
        <w:bidi w:val="0"/>
        <w:jc w:val="left"/>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7 Sublicensing Revenues Fee</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8 Earned Royalties and Minimum Annual Royalties</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12 Books and Records</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13 Term of This Agreement</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16 Disposition of Licensed Products and Licensed Services Upon Termination or Expiration</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17 Use of Names and Trademarks</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18 Limited Warranty</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19 Limitation of Liability</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Sections 20.4 and 20.6 Patent Prosecution and Maintenance</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23 Indemnification</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24 Notices; Payments</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28 Governing Laws; Venue; Attorneys Fees</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Article 31 Confidentiality</w:t>
      </w:r>
    </w:p>
    <w:p>
      <w:pPr>
        <w:pStyle w:val="TextBody"/>
        <w:pBdr/>
        <w:bidi w:val="0"/>
        <w:ind w:left="1440" w:right="0" w:hanging="2880"/>
        <w:jc w:val="left"/>
        <w:rPr>
          <w:rFonts w:ascii="Times New Roman" w:hAnsi="Times New Roman"/>
          <w:color w:val="000000"/>
          <w:sz w:val="24"/>
        </w:rPr>
      </w:pPr>
      <w:r>
        <w:rPr>
          <w:rFonts w:ascii="Times New Roman" w:hAnsi="Times New Roman"/>
          <w:color w:val="000000"/>
          <w:sz w:val="24"/>
        </w:rPr>
        <w:t>Section 32.6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13.4 The expiration or termination of this Agreement will not relieve the Licensee of its obligation to pay any fees, royalties or other payments which are due and owed to The Regents under this Agreement at the time of such expiration or termination and will not impair any accrued right of The Regents, including the right to receive Earned Royalties in accordance with Articles 7, 8 and 16.</w:t>
      </w:r>
    </w:p>
    <w:p>
      <w:pPr>
        <w:pStyle w:val="TextBody"/>
        <w:bidi w:val="0"/>
        <w:jc w:val="left"/>
        <w:rPr>
          <w:rFonts w:ascii="Times New Roman" w:hAnsi="Times New Roman"/>
          <w:color w:val="000000"/>
          <w:sz w:val="24"/>
        </w:rPr>
      </w:pPr>
      <w:r>
        <w:rPr>
          <w:rFonts w:ascii="Times New Roman" w:hAnsi="Times New Roman"/>
          <w:color w:val="000000"/>
          <w:sz w:val="24"/>
        </w:rPr>
        <w:t>14. TERMINATION BY THE REGENTS</w:t>
      </w:r>
    </w:p>
    <w:p>
      <w:pPr>
        <w:pStyle w:val="TextBody"/>
        <w:bidi w:val="0"/>
        <w:ind w:left="0" w:right="0" w:firstLine="720"/>
        <w:jc w:val="left"/>
        <w:rPr>
          <w:rFonts w:ascii="Times New Roman" w:hAnsi="Times New Roman"/>
          <w:sz w:val="20"/>
        </w:rPr>
      </w:pPr>
      <w:r>
        <w:rPr>
          <w:rFonts w:ascii="Times New Roman" w:hAnsi="Times New Roman"/>
          <w:color w:val="000000"/>
          <w:sz w:val="24"/>
        </w:rPr>
        <w:t>In addition to the rights of The Regents to terminate this Agreement as set forth under [***], if the Licensee fails to perform, or violates, any other term or covenant of this Agreement applicable to the Licensee, then The Regents may give written notice or such default (a “</w:t>
      </w:r>
      <w:r>
        <w:rPr>
          <w:rFonts w:ascii="Times New Roman" w:hAnsi="Times New Roman"/>
          <w:color w:val="000000"/>
          <w:sz w:val="24"/>
          <w:u w:val="single"/>
        </w:rPr>
        <w:t>Notice of Default</w:t>
      </w:r>
      <w:r>
        <w:rPr>
          <w:rFonts w:ascii="Times New Roman" w:hAnsi="Times New Roman"/>
          <w:color w:val="000000"/>
          <w:sz w:val="20"/>
        </w:rPr>
        <w:t>”</w:t>
      </w:r>
      <w:r>
        <w:rPr>
          <w:rFonts w:ascii="Times New Roman" w:hAnsi="Times New Roman"/>
          <w:color w:val="000000"/>
          <w:sz w:val="24"/>
        </w:rPr>
        <w:t>) to the Licensee, specifying therein such claimed failure or violation. The Regents may terminate the License as to all, or, at the election of The Regents, some but not all, of the Patent Rights, as such determination will be set forth in the Notice of Termination For Uncured Default, as next defined. If the Licensee fails to cure such default within [***], and if The Regents has not waived such default in writing, The Regents will have the right to immediately terminate this Agreement and the License by providing written notice of termination thereof to the Licensee (the “</w:t>
      </w:r>
      <w:r>
        <w:rPr>
          <w:rFonts w:ascii="Times New Roman" w:hAnsi="Times New Roman"/>
          <w:color w:val="000000"/>
          <w:sz w:val="24"/>
          <w:u w:val="single"/>
        </w:rPr>
        <w:t>Notice</w:t>
      </w:r>
      <w:r>
        <w:rPr>
          <w:rFonts w:ascii="Times New Roman" w:hAnsi="Times New Roman"/>
          <w:color w:val="000000"/>
          <w:sz w:val="20"/>
        </w:rPr>
        <w:t xml:space="preserve"> </w:t>
      </w:r>
      <w:r>
        <w:rPr>
          <w:rFonts w:ascii="Times New Roman" w:hAnsi="Times New Roman"/>
          <w:color w:val="000000"/>
          <w:sz w:val="24"/>
          <w:u w:val="single"/>
        </w:rPr>
        <w:t>of Termination for Uncured Default</w:t>
      </w:r>
      <w:r>
        <w:rPr>
          <w:rFonts w:ascii="Times New Roman" w:hAnsi="Times New Roman"/>
          <w:color w:val="000000"/>
          <w:sz w:val="20"/>
        </w:rPr>
        <w:t>”</w:t>
      </w:r>
      <w:r>
        <w:rPr>
          <w:rFonts w:ascii="Times New Roman" w:hAnsi="Times New Roman"/>
          <w:color w:val="000000"/>
          <w:sz w:val="24"/>
        </w:rPr>
        <w:t>), specifying therein (a) the date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sz w:val="20"/>
        </w:rPr>
      </w:pPr>
      <w:r>
        <w:rPr>
          <w:rFonts w:ascii="Times New Roman" w:hAnsi="Times New Roman"/>
          <w:color w:val="000000"/>
          <w:sz w:val="24"/>
        </w:rPr>
        <w:t>of such termination, which will not be prior to the date of the Notic</w:t>
      </w:r>
      <w:r>
        <w:rPr>
          <w:rFonts w:ascii="Times New Roman" w:hAnsi="Times New Roman"/>
          <w:color w:val="343434"/>
          <w:sz w:val="24"/>
        </w:rPr>
        <w:t>e</w:t>
      </w:r>
      <w:r>
        <w:rPr>
          <w:rFonts w:ascii="Times New Roman" w:hAnsi="Times New Roman"/>
          <w:color w:val="C7C7C7"/>
          <w:sz w:val="20"/>
        </w:rPr>
        <w:t xml:space="preserve"> </w:t>
      </w:r>
      <w:r>
        <w:rPr>
          <w:rFonts w:ascii="Times New Roman" w:hAnsi="Times New Roman"/>
          <w:color w:val="000000"/>
          <w:sz w:val="24"/>
        </w:rPr>
        <w:t>o</w:t>
      </w:r>
      <w:r>
        <w:rPr>
          <w:rFonts w:ascii="Times New Roman" w:hAnsi="Times New Roman"/>
          <w:color w:val="343434"/>
          <w:sz w:val="24"/>
        </w:rPr>
        <w:t xml:space="preserve">f </w:t>
      </w:r>
      <w:r>
        <w:rPr>
          <w:rFonts w:ascii="Times New Roman" w:hAnsi="Times New Roman"/>
          <w:color w:val="000000"/>
          <w:sz w:val="24"/>
        </w:rPr>
        <w:t>Termina</w:t>
      </w:r>
      <w:r>
        <w:rPr>
          <w:rFonts w:ascii="Times New Roman" w:hAnsi="Times New Roman"/>
          <w:color w:val="444444"/>
          <w:sz w:val="24"/>
        </w:rPr>
        <w:t>t</w:t>
      </w:r>
      <w:r>
        <w:rPr>
          <w:rFonts w:ascii="Times New Roman" w:hAnsi="Times New Roman"/>
          <w:color w:val="000000"/>
          <w:sz w:val="24"/>
        </w:rPr>
        <w:t>ion For Uncured Default, and (b) whether such termination is as to all of the Patent Rights, or, as to which Patent Rights such termination is effective if not as to all of the Patent Rights.</w:t>
      </w:r>
    </w:p>
    <w:p>
      <w:pPr>
        <w:pStyle w:val="TextBody"/>
        <w:bidi w:val="0"/>
        <w:jc w:val="left"/>
        <w:rPr>
          <w:rFonts w:ascii="Times New Roman" w:hAnsi="Times New Roman"/>
          <w:color w:val="000000"/>
          <w:sz w:val="24"/>
        </w:rPr>
      </w:pPr>
      <w:r>
        <w:rPr>
          <w:rFonts w:ascii="Times New Roman" w:hAnsi="Times New Roman"/>
          <w:color w:val="000000"/>
          <w:sz w:val="24"/>
        </w:rPr>
        <w:t>15. TERMINATION BY LICENSEE</w:t>
      </w:r>
    </w:p>
    <w:p>
      <w:pPr>
        <w:pStyle w:val="TextBody"/>
        <w:bidi w:val="0"/>
        <w:ind w:left="0" w:right="0" w:firstLine="720"/>
        <w:jc w:val="left"/>
        <w:rPr>
          <w:rFonts w:ascii="Times New Roman" w:hAnsi="Times New Roman"/>
          <w:sz w:val="20"/>
        </w:rPr>
      </w:pPr>
      <w:r>
        <w:rPr>
          <w:rFonts w:ascii="Times New Roman" w:hAnsi="Times New Roman"/>
          <w:color w:val="232323"/>
          <w:sz w:val="24"/>
        </w:rPr>
        <w:t>The Licensee may terminate this Agreement at any time by providing written notice of termination to The Regents. The Licensee also will be entitled to terminate the License as to specific Patent Rights included within the License on a Country-by-Country basis by giving notice in writing to The Regents of the effective date of such termination and referring specifically to the Patent Rights as to which the Licensee is so terminating the License; any such termination as to specific Patent Rights will not affect the rights of the Licensee as to any other Patent Rights nor otherwise as to the License, [***</w:t>
      </w:r>
      <w:r>
        <w:rPr>
          <w:rFonts w:ascii="Times New Roman" w:hAnsi="Times New Roman"/>
          <w:color w:val="000000"/>
          <w:sz w:val="24"/>
        </w:rPr>
        <w:t xml:space="preserve">]. Any such termination of this Agreement (but not termination of any patents or patent applications under the Patent Rights, which termination </w:t>
      </w:r>
      <w:r>
        <w:rPr>
          <w:rFonts w:ascii="Times New Roman" w:hAnsi="Times New Roman"/>
          <w:color w:val="202020"/>
          <w:sz w:val="24"/>
        </w:rPr>
        <w:t>is subject to Section</w:t>
      </w:r>
      <w:r>
        <w:rPr>
          <w:rFonts w:ascii="Times New Roman" w:hAnsi="Times New Roman"/>
          <w:color w:val="939393"/>
          <w:sz w:val="20"/>
        </w:rPr>
        <w:t xml:space="preserve"> </w:t>
      </w:r>
      <w:r>
        <w:rPr>
          <w:rFonts w:ascii="Times New Roman" w:hAnsi="Times New Roman"/>
          <w:color w:val="202020"/>
          <w:sz w:val="24"/>
        </w:rPr>
        <w:t>20.6) will be effective [***], or on such earlier or later date as the Licensee and The Regents may agree in w</w:t>
      </w:r>
      <w:r>
        <w:rPr>
          <w:rFonts w:ascii="Times New Roman" w:hAnsi="Times New Roman"/>
          <w:color w:val="000000"/>
          <w:sz w:val="24"/>
        </w:rPr>
        <w:t>riting.</w:t>
      </w:r>
    </w:p>
    <w:p>
      <w:pPr>
        <w:pStyle w:val="TextBody"/>
        <w:bidi w:val="0"/>
        <w:jc w:val="left"/>
        <w:rPr>
          <w:rFonts w:ascii="Times New Roman" w:hAnsi="Times New Roman"/>
          <w:color w:val="000000"/>
          <w:sz w:val="24"/>
        </w:rPr>
      </w:pPr>
      <w:r>
        <w:rPr>
          <w:rFonts w:ascii="Times New Roman" w:hAnsi="Times New Roman"/>
          <w:color w:val="000000"/>
          <w:sz w:val="24"/>
        </w:rPr>
        <w:t>16. DISPOSITION OF LICENSED PRODUCTS AND LICENSED SERVICES UPON TERMINATION OR EXPIRATION</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16.1 Upon termination (but not expiration) of this Agreement, within a period of [***], the Licensee is entitled to (a) dispose of all previously made or partially made Licensed Product, but no more and (b) provide previously contracted-for Licensed Services, provided that the Sale or use of such Licensed Product and the provision of such Licensed Services are subject to the terms of this Agreement, including, but not limited to, the rendering of reports and payment of Earned Royalties, Sublicensing Revenues Fees and any other payments therefore required under this Agreement. The Licensee may not otherwise make, have made, Sell, offer for Sale or import Licensed Products or Licensed Services, or practice the Licensed Method after the date of termination.</w:t>
      </w:r>
    </w:p>
    <w:p>
      <w:pPr>
        <w:pStyle w:val="TextBody"/>
        <w:bidi w:val="0"/>
        <w:ind w:left="0" w:right="0" w:firstLine="720"/>
        <w:jc w:val="left"/>
        <w:rPr>
          <w:rFonts w:ascii="Times New Roman" w:hAnsi="Times New Roman"/>
          <w:sz w:val="20"/>
        </w:rPr>
      </w:pPr>
      <w:r>
        <w:rPr>
          <w:rFonts w:ascii="Times New Roman" w:hAnsi="Times New Roman"/>
          <w:color w:val="000000"/>
          <w:sz w:val="24"/>
        </w:rPr>
        <w:t>16.2 If applicable Patent Rights exist at the time of any making, Sale, offer for Sale, or import of a Licensed Product or the time of any Sale, offer for Sale, or rendering of a Licensed Service, then Earned Royalties will be paid at the times provided herein and royalty reports will be rendered in connection therewith, notwithstanding the absence of applicable Patent Rights with respect to such Licensed Product or Licensed Service at any later time. Otherwise, no Earned Royalties will be paid on the Sales of such Product or Service. Any fees or other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payments owed to The Regents at the time of expiration or termination not based on the Sales of a Licensed Product or Licensed Service will be paid to The Regents at the time such fee or other payment would have been due had this Agreement not expired or been terminated.</w:t>
      </w:r>
    </w:p>
    <w:p>
      <w:pPr>
        <w:pStyle w:val="TextBody"/>
        <w:bidi w:val="0"/>
        <w:jc w:val="left"/>
        <w:rPr>
          <w:rFonts w:ascii="Times New Roman" w:hAnsi="Times New Roman"/>
          <w:color w:val="000000"/>
          <w:sz w:val="24"/>
        </w:rPr>
      </w:pPr>
      <w:r>
        <w:rPr>
          <w:rFonts w:ascii="Times New Roman" w:hAnsi="Times New Roman"/>
          <w:color w:val="000000"/>
          <w:sz w:val="24"/>
        </w:rPr>
        <w:t>17. USE OF NAMES AND TRADEMARKS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Nothing contained in this Agreement will be construed as conferring any right to either party to use in advertising, publicity or other promotional activities any name, trade name, trademark or other designation of the other party (including a contraction, abbreviation or simulation of any of the foregoing). Without the Licensee's prior consent on a case by case basis, The Regents may list Licensee's name as a licensee of technology from The Regents without further identifying the technology. Unless required by law or unless consented to in writing by Director, Office of Technology Management of The Regents, the use by the Licensee of the name “The Regents of the University of California” or the name of any campus of the University of California in advertising, publicity or other promotional activities is expressly prohibited. Licensee may not use the name of HHMI or of any HHMI employee (including [***]) in a manner that reasonably could constitute an endorsement of a commercial Product or Service; but that use for other purposes, even if commercially motivated, is permitted provided that (1) the use is limited to accurately reporting factual events or occurrences, and (2) any reference to the name of HHMI or any HHMI employees in press releases or similar materials intended for public release is approved by HHMI in advance.</w:t>
      </w:r>
    </w:p>
    <w:p>
      <w:pPr>
        <w:pStyle w:val="TextBody"/>
        <w:bidi w:val="0"/>
        <w:jc w:val="left"/>
        <w:rPr>
          <w:rFonts w:ascii="Times New Roman" w:hAnsi="Times New Roman"/>
          <w:color w:val="000000"/>
          <w:sz w:val="24"/>
        </w:rPr>
      </w:pPr>
      <w:r>
        <w:rPr>
          <w:rFonts w:ascii="Times New Roman" w:hAnsi="Times New Roman"/>
          <w:color w:val="000000"/>
          <w:sz w:val="24"/>
        </w:rPr>
        <w:t>18. LIMITED WARRANTY</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18.1 The Regents warrants to the Licensee that it has the lawful right to grant the License.</w:t>
      </w:r>
    </w:p>
    <w:p>
      <w:pPr>
        <w:pStyle w:val="TextBody"/>
        <w:bidi w:val="0"/>
        <w:ind w:left="0" w:right="0" w:firstLine="720"/>
        <w:jc w:val="left"/>
        <w:rPr>
          <w:rFonts w:ascii="Times New Roman" w:hAnsi="Times New Roman"/>
          <w:sz w:val="20"/>
        </w:rPr>
      </w:pPr>
      <w:r>
        <w:rPr>
          <w:rFonts w:ascii="Times New Roman" w:hAnsi="Times New Roman"/>
          <w:color w:val="000000"/>
          <w:sz w:val="24"/>
        </w:rPr>
        <w:t>18.2 Except as expressly set forth in this Agreement, the License and the associated Invention, Patent Rights, Licensed Products, Licensed Services, Licensed Methods and any Original Materials and Biological Materials, as relevant, are provided by The Regents WITHOUT WARRANTY OF MERCHANTABILITY OR FITNESS FOR A PARTICULAR PURPOSE OR ANY OTHER WARRANTY Of ANY KIND, EXPRESS OR IMPLIED. THE REGENTS MAKES NO EXPRESS OR IMPLIED REPRESENTATION OR WARRANTY THAT THE INVENTION, PATENT RIGHTS, LICENSED PRODUCTS, LICENSED SERVICES, LICENSED METHODS, BIOLOGICAL MATERIALS, OR ORIGINAL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MATERIALS WILL NOT INFRINGE ANY PATENT, COPYRIGHT, TRADEMARK OR OTHER RIGHTS.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18.3 This Agreement does not:</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18.3.1 express or imply a warranty or representation as to the validity, enforceability, or scope of any Patent Rights or Technology Rights; or</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18.3.2 express or imply a warranty or representation that anything made, used, Sold, offered for Sale or imported or otherwise Exploited under any license granted in this Agreement is or will be free from infringement of patents, copyrights, trademarks or other rights of third parties; or</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18.3.3 obligate The Regents to bring or prosecute actions against third parties for patent infringement except as provided in Article 22; or</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18.3.4 confer by implication, estoppel or otherwise any license or rights under any patents or other rights of The Regents other than the Patent Rights, regardless of whether such patents are dominant or subordinate to the Patent Rights; or</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18.3.5 obligate The Regents to furnish any New Developments, know-how, technology or information not provided in the Patent Rights or Technology Rights; or</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18.3.6 obligate The Regents to update the technology in the Technology Rights.</w:t>
      </w:r>
    </w:p>
    <w:p>
      <w:pPr>
        <w:pStyle w:val="TextBody"/>
        <w:bidi w:val="0"/>
        <w:jc w:val="left"/>
        <w:rPr>
          <w:rFonts w:ascii="Times New Roman" w:hAnsi="Times New Roman"/>
          <w:color w:val="000000"/>
          <w:sz w:val="24"/>
        </w:rPr>
      </w:pPr>
      <w:r>
        <w:rPr>
          <w:rFonts w:ascii="Times New Roman" w:hAnsi="Times New Roman"/>
          <w:color w:val="000000"/>
          <w:sz w:val="24"/>
        </w:rPr>
        <w:t>19. LIMITATION OF LIABILITY</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REGENTS WILL NOT BE LIABLE FOR ANY LOST PROFITS, COSTS OF PROCURING SUBSTITUTE GOODS OR SERVICES, LOST BUSINESS, ENHANCED DAMAGES FOR INTELLECTUAL PROPERTY INFRINGEMENT OR ANY INDIRECT, INCIDENTAL, CONSEQUENTIAL, PUNITIVE OR OTHER SPECIAL DAMAGES SUFFERED BY LICENSEE, SUBLICENSEES, JOINT VENTURES OR AFFILIATES ARISING OUT OF OR RELATED TO THIS AGREEMENT FOR ALL CAUSES OF ACTION OF ANY KIND (INCLUDING TORT, CONTRACT, NEGLIGENCE, STRICT LIABILITY AND BREACH OF WARRANTY) EVEN IF THE REGENTS HAS BEEN ADVISED OF THE POSSIBILITY OF SUCH DAMAGES.</w:t>
      </w:r>
    </w:p>
    <w:p>
      <w:pPr>
        <w:pStyle w:val="TextBody"/>
        <w:bidi w:val="0"/>
        <w:jc w:val="left"/>
        <w:rPr>
          <w:rFonts w:ascii="Times New Roman" w:hAnsi="Times New Roman"/>
          <w:color w:val="000000"/>
          <w:sz w:val="24"/>
        </w:rPr>
      </w:pPr>
      <w:r>
        <w:rPr>
          <w:rFonts w:ascii="Times New Roman" w:hAnsi="Times New Roman"/>
          <w:color w:val="000000"/>
          <w:sz w:val="24"/>
        </w:rPr>
        <w:t>20. PATENT PROSECUTION AND MAINTENANCE</w:t>
      </w:r>
    </w:p>
    <w:p>
      <w:pPr>
        <w:pStyle w:val="TextBody"/>
        <w:bidi w:val="0"/>
        <w:jc w:val="left"/>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20.1 As long as [***] as provided for in this Article 20, The Regents will diligently prosecute and maintain the United States and foreign patents comprising the Patent Rights using legal counsel of its choice. The Regents' legal counsel will take instructions only from The Regents. The Regents will provide the Licensee with copies of all relevant documentation so that the Licensee will be informed of the continuing prosecution and may comment upon such documentation sufficiently in advance of any initial deadline for filing a response, provided, however, that if the Licensee has not commented upon such documentation in a reasonable time for The Regents to sufficiently consider the Licensee’s comments prior to a deadline with the relevant government patent office, or The Regents must act to preserve the Patent Rights, The Regents will be free to respond without consideration of the Licensee’s comments, if any. The Licensee will keep such documentation confidential as provided in Article 31.</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20.2 The Regents will use its reasonable efforts to amend any patent application to include claims reasonably requested in writing by the Licensee to protect the Licensed Products and Licensed Services contemplated by the Licensee to be Sold, or the Licensed Method to be practiced, under this Agreement.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20.3 The Licensee will apply for an extension of the term of any patent included within the Patent Rights if appropriate under the Drug Price Competition and Patent Term Restoration Act of 1984 and/or European, Japanese and other foreign counterparts of such law. The Licensee will prepare all documents, and The Regents will execute such documents and will assist the Licensee with reasonable requests, in connection therewith.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20.4 [***]</w:t>
      </w:r>
    </w:p>
    <w:p>
      <w:pPr>
        <w:pStyle w:val="TextBody"/>
        <w:bidi w:val="0"/>
        <w:ind w:left="0" w:right="0" w:firstLine="720"/>
        <w:jc w:val="left"/>
        <w:rPr>
          <w:rFonts w:ascii="Times New Roman" w:hAnsi="Times New Roman"/>
          <w:sz w:val="20"/>
        </w:rPr>
      </w:pPr>
      <w:r>
        <w:rPr>
          <w:rFonts w:ascii="Times New Roman" w:hAnsi="Times New Roman"/>
          <w:color w:val="000000"/>
          <w:sz w:val="24"/>
        </w:rPr>
        <w:t>20.5 The Licensee may request that The Regents obtain patent protection on the Invention in foreign Countries, if such patent protection is available in the requested foreign Country or Countries. The Licensee will notify The Regents in writing of the Licensee’s desire that The Regents obtain or maintain any such patent(s) in the relevant foreign Country or Countries, not less than [***], filing or action to be taken in connection with any such filing. Such notice concerning any foreign filing must be in writing, must identify the Country or Countries desired and the relevant patent(s) for which such filing is desired by the Licensee, and [***]. The absence of timely delivery hereunder of such notice from the Licensee to The Regents as to any patent in the relevant foreign Country or Countries will be considered an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election by the Licensee not to obtain or maintain Patent Rights as to such patent(as) in such relevant foreign Country or Countries.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20.6 [***]. The Licensee may terminate its obligation hereunder [***] with respect to any given patent application or patent under the Patent Rights in any or all Countries stated in a written notice by the Licensee to The Regents with respect thereto, which must be given to The Regents by the Licensee upon at least [***] written notice prior to the date desired by the Licensee for such termination of [***]. The Regents may continue prosecution and/or maintenance of such application(s) or patent(s) at The Regents’ sole discretion [***], provided, however, that the Licensee will have no further right or licenses hereunder with respect to such, as relevant, application(s) or patent(s). The failure of the Licensee to [***] may be deemed by The Regents as an election by the Licensee not to maintain such application(s) or patent(s), and The Regents will give the Licensee written notice of any such determination within [***] after such determination has been made by The Regents.]-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20.7 The Regents may file, prosecute or maintain patent applications or patents [***] in any Country in which the Licensee has not elected to file, prosecute or maintain patent applications or patents in accordance with this Article 20 and those applications and all patents resulting therefrom will not be subject to this Agreement.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20.8 If The Regents decides not to file a patent application, which Licensee has requested be filed under this Agreement, or if The Regents decides to discontinue the prosecution or maintenance of any such patent application or patent, which Licensee has requested be prosecuted or maintained under this Agreement, The Regents will notify the Licensee in writing with respect thereto within [***] and will, upon Licensee’s written request, reasonably discuss with Licensee such decision and alternatives to abandonment of the relevant patent or, as relevant, to such decision to not file or pursue such relevant patent application.</w:t>
      </w:r>
    </w:p>
    <w:p>
      <w:pPr>
        <w:pStyle w:val="TextBody"/>
        <w:bidi w:val="0"/>
        <w:jc w:val="left"/>
        <w:rPr>
          <w:rFonts w:ascii="Times New Roman" w:hAnsi="Times New Roman"/>
          <w:color w:val="000000"/>
          <w:sz w:val="24"/>
        </w:rPr>
      </w:pPr>
      <w:r>
        <w:rPr>
          <w:rFonts w:ascii="Times New Roman" w:hAnsi="Times New Roman"/>
          <w:color w:val="000000"/>
          <w:sz w:val="24"/>
        </w:rPr>
        <w:t>21. PATENT MARKING</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Licensee will mark all Licensed Products made, used or Sold under the terms of this Agreement, or the containers for such Licensed Products, in accordance with applicable patent marking laws.</w:t>
      </w:r>
    </w:p>
    <w:p>
      <w:pPr>
        <w:pStyle w:val="TextBody"/>
        <w:bidi w:val="0"/>
        <w:jc w:val="left"/>
        <w:rPr>
          <w:rFonts w:ascii="Times New Roman" w:hAnsi="Times New Roman"/>
          <w:color w:val="000000"/>
          <w:sz w:val="24"/>
        </w:rPr>
      </w:pPr>
      <w:r>
        <w:rPr>
          <w:rFonts w:ascii="Times New Roman" w:hAnsi="Times New Roman"/>
          <w:color w:val="000000"/>
          <w:sz w:val="24"/>
        </w:rPr>
        <w:t>22. PATENT INFRINGEMENT</w:t>
      </w:r>
    </w:p>
    <w:p>
      <w:pPr>
        <w:pStyle w:val="TextBody"/>
        <w:bidi w:val="0"/>
        <w:ind w:left="0" w:right="0" w:firstLine="720"/>
        <w:jc w:val="left"/>
        <w:rPr>
          <w:rFonts w:ascii="Times New Roman" w:hAnsi="Times New Roman"/>
          <w:sz w:val="20"/>
        </w:rPr>
      </w:pPr>
      <w:r>
        <w:rPr>
          <w:rFonts w:ascii="Times New Roman" w:hAnsi="Times New Roman"/>
          <w:color w:val="000000"/>
          <w:sz w:val="24"/>
        </w:rPr>
        <w:t>22.1 If The Regents (to the extent of the actual knowledge of the licensing professional within UCSF responsible for the administration of this Agreement), or the Licensee, learns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sz w:val="20"/>
        </w:rPr>
      </w:pPr>
      <w:r>
        <w:rPr>
          <w:rFonts w:ascii="Times New Roman" w:hAnsi="Times New Roman"/>
          <w:color w:val="000000"/>
          <w:sz w:val="24"/>
        </w:rPr>
        <w:t xml:space="preserve">infringement or potential infringement of any Patent Rights licensed under this Agreement, the party gaining such knowledge will provide the other party as promptly as possible after becoming aware of such infringement or potential infringement (i) with written notice of such infringement or potential infringement and (ii) with any evidence of such infringement or potential infringement available to the notifying party (an” </w:t>
      </w:r>
      <w:r>
        <w:rPr>
          <w:rFonts w:ascii="Times New Roman" w:hAnsi="Times New Roman"/>
          <w:color w:val="000000"/>
          <w:sz w:val="24"/>
          <w:u w:val="single"/>
        </w:rPr>
        <w:t>Infringement Notice</w:t>
      </w:r>
      <w:r>
        <w:rPr>
          <w:rFonts w:ascii="Times New Roman" w:hAnsi="Times New Roman"/>
          <w:color w:val="000000"/>
          <w:sz w:val="20"/>
        </w:rPr>
        <w:t>”</w:t>
      </w:r>
      <w:r>
        <w:rPr>
          <w:rFonts w:ascii="Times New Roman" w:hAnsi="Times New Roman"/>
          <w:color w:val="000000"/>
          <w:sz w:val="24"/>
        </w:rPr>
        <w:t>). During the period in which, and in the jurisdiction(s) in which, the Licensee has exclusive rights under the Patent Rights License as to the relevant patent(s) which are being infringed or potentially infringed [neither The Regents nor the Licensee will, after becoming aware of any such infringement or potential infringement, notify the relevant infringer(s) or possible infringer(s) of such infringement or potential infringement, nor put such infringer(s) or possible infringer(s) on notice of the existence of any Patent Rights, without in each case first obtaining the written consent of the other party hereto to making such notification. If the Licensee puts such infringer(s) or possible infringer(s) on notice of the existence of any Patent Rights with respect to such infringement or potential infringement without first obtaining the written consent of The Regents for the giving of such notice, and if a declaratory judgment action then is filed by such infringer(s) or potential infringer(s) against The Regents, Licensee’s right to initiate an action against such infringer(s) or possible infringer(s) for infringement or potential infringement under Section 22.2 will terminate immediately without the obligation of The Regents to provide notice to the Licensee. The Regents and the Licensee will use their [***] efforts to cooperate with each other to cause such infringement or potential infringement to cease and terminate without litigation.</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22.2 If the relevant infringing or potentially infringing activity by the infringer(s) or possible infringers(s) has not ceased within [***], the Licensee may institute an action for patent infringement against the infringer(s) or possible infringer(s). The Regents may voluntarily join such action at The Regents’ expense, but may not thereafter commence an action against the infringer(s) or possible infringer(s) for the acts of infringement or potential infringement that are the subject of the Licensee's action or of any judgment rendered in such action. The Licensee may not, without The Regents' prior written consent, join The Regents as a party in any action initiated by the Licensee, pursuant to the Licensee’s rights under this Agreement to initiate such action, for infringement or potential infringement. If, in any such action initiated by the Licensee as permitted hereunder, The Regents is involuntarily joined other than by the Licensee, [***].</w:t>
      </w:r>
    </w:p>
    <w:p>
      <w:pPr>
        <w:pStyle w:val="TextBody"/>
        <w:bidi w:val="0"/>
        <w:jc w:val="left"/>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22.3 If, within [***], infringing activity by the infringer(s), or as relevant potential infringing activity by the possible infringer(s), has not ceased and if the Licensee has not brought an action against the infringer, The Regents may institute an action against the infringer(s) for patent infringement or an appropriate action against the possible infringer(s). If The Regents institutes such action, the Licensee may not join such action without The Regents' consent and the Licensee may not thereafter commence an action against the infringer(s) for the acts of infringement, or against the possible infringer(s), that are the subject of The Regents' action, or any judgment rendered in such action.</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22.4 Notwithstanding anything to the contrary in this Agreement, in the event that the relevant infringement or potential infringement pertains to an issued patent included within the Patent Rights and written notice is given under the Drug Price Competition and Patent Term Restoration Act of 1984 (and/or foreign counterparts of this Law), then the party hereto in receipt of such notice under the Act will provide the Infringement Notice to the other party hereto promptly. If the time period is such that the Licensee will lose the right to pursue a legal remedy for infringement by not notifying a third party or by not filing an action, the notification period and the time period to file such action will be accelerated to be within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22.5 Any recovery or settlement received in connection with any action will [***]. In any action initiated by the Licensee, any recovery in excess of litigation costs will [***]. In any action initiated by The Regents, any recovery in excess of the litigation costs of The Regents and, as applicable, the Licensee, will [***]. The Regents and the Licensee will be bound by all determinations of patent infringement, validity and enforceability (but no other issue) resolved by any adjudicated judgment not subject to further appeal, in any action brought in compliance with this Article 22.</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22.6 Any agreement made by the Licensee with any party for purposes of settling litigation or any other dispute with respect to any of the rights licensed to the Licensee under this Agreement will comply with the requirements of Article 3.</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22.7 Each party will cooperate with the other in any proceedings in any action instituted hereunder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22.8 Any proceedings of any action instituted hereunder will be controlled by the party bringing the action, except that The Regents may be represented by legal counsel of The Regents’ choice in any action brought by the Licensee.</w:t>
      </w:r>
    </w:p>
    <w:p>
      <w:pPr>
        <w:pStyle w:val="TextBody"/>
        <w:bidi w:val="0"/>
        <w:jc w:val="left"/>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23. INDEMNIFICATION</w:t>
      </w:r>
    </w:p>
    <w:p>
      <w:pPr>
        <w:pStyle w:val="TextBody"/>
        <w:bidi w:val="0"/>
        <w:ind w:left="0" w:right="0" w:firstLine="720"/>
        <w:jc w:val="left"/>
        <w:rPr>
          <w:rFonts w:ascii="Times New Roman" w:hAnsi="Times New Roman"/>
          <w:sz w:val="20"/>
        </w:rPr>
      </w:pPr>
      <w:r>
        <w:rPr>
          <w:rFonts w:ascii="Times New Roman" w:hAnsi="Times New Roman"/>
          <w:color w:val="000000"/>
          <w:sz w:val="24"/>
        </w:rPr>
        <w:t>23.1 The Licensee will, and will require its Sublicensees to, indemnify, hold harmless and defend The Regents and its officers, employees and agents, the sponsors of the research that led to the Invention and the development of the Original Materials, and the inventors of the Original Materials and any invention claimed in patents or parent applications under the Patent Rights (including the Licensed Products, Licensed Services and Licensed Methods contemplated thereunder) and their employers against any and all claims, actions, losses, damage, costs, fees and expenses resulting from, or arising out of, the exercise of this license or any sublicense. This indemnification will include, but not be limited to, any Product liability claims. If The Regents, in its sole discretion, believes that there will be a conflict of interest or it will not otherwise be adequately represented by legal counsel chosen by the Licensee to defend The Regents in accordance with this Section 23.1, then The Regents may retain legal counsel of its choice to represent it [***]. HHMI and its trustees, officers, employees, and agents (collectively, “</w:t>
      </w:r>
      <w:r>
        <w:rPr>
          <w:rFonts w:ascii="Times New Roman" w:hAnsi="Times New Roman"/>
          <w:color w:val="000000"/>
          <w:sz w:val="24"/>
          <w:u w:val="single"/>
        </w:rPr>
        <w:t>HHMI Indemnitees</w:t>
      </w:r>
      <w:r>
        <w:rPr>
          <w:rFonts w:ascii="Times New Roman" w:hAnsi="Times New Roman"/>
          <w:color w:val="000000"/>
          <w:sz w:val="20"/>
        </w:rPr>
        <w:t>”</w:t>
      </w:r>
      <w:r>
        <w:rPr>
          <w:rFonts w:ascii="Times New Roman" w:hAnsi="Times New Roman"/>
          <w:color w:val="000000"/>
          <w:sz w:val="24"/>
        </w:rPr>
        <w:t>) will be indemnified, defended by counsel acceptable to HHMI, and held harmless by the Licensee and any Sublicensees from and against any claim, liability, cost, expense, damage, deficiency, loss, or obligation of any kind or nature (including, without limitation, reasonable attorneys’ fees and other costs and expenses of defense) based on, resulting from, arising out of, or otherwise relating to this Agreement or the exercise of this License or any sublicense, including without limitation a cause of action relating to product liability (collectively, “</w:t>
      </w:r>
      <w:r>
        <w:rPr>
          <w:rFonts w:ascii="Times New Roman" w:hAnsi="Times New Roman"/>
          <w:color w:val="000000"/>
          <w:sz w:val="24"/>
          <w:u w:val="single"/>
        </w:rPr>
        <w:t>Claims</w:t>
      </w:r>
      <w:r>
        <w:rPr>
          <w:rFonts w:ascii="Times New Roman" w:hAnsi="Times New Roman"/>
          <w:color w:val="000000"/>
          <w:sz w:val="20"/>
        </w:rPr>
        <w:t>”</w:t>
      </w:r>
      <w:r>
        <w:rPr>
          <w:rFonts w:ascii="Times New Roman" w:hAnsi="Times New Roman"/>
          <w:color w:val="000000"/>
          <w:sz w:val="24"/>
        </w:rPr>
        <w:t>). The previous sentence will not apply to any Claim that is determined with finality by a court of competent jurisdiction to result solely from the gross negligence or willful misconduct of an HHMI Indemnitee. Licensee’s indemnification obligation set forth above shall not apply to any claim, liability, cost, expense, damage, deficiency, loss, or obligation of any kind or nature (including, without limitation, reasonable attorneys’ fees and other costs and expenses of defense) resulting from any claim, demand or suit between The Regents and HHMI. For clarity, acts conducted under the retained rights and licenses of The Regents and HHMI and the United States Government as set forth in Sections 2.2 and 2.3 are not subject to this indemnification obligation of the Licensee or any Sublicensee. If HHMI reasonably believes that there will be a conflict of interest in the Licensee’s defense of such Claims, then HHMI may retain legal counsel of HHMI’s choice to represent the HHMI Indemnitees, [***].</w:t>
      </w:r>
    </w:p>
    <w:p>
      <w:pPr>
        <w:pStyle w:val="TextBody"/>
        <w:bidi w:val="0"/>
        <w:jc w:val="left"/>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23.2 During the term of this Agreement and for [***], the Licensee, [***], will insure its activities in connection with any work performed by the Licensee pursuant to this Agreement, and in such regard will maintain at least the following insurance, or an equivalent program of self-insurance:</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23.2.1 Comprehensive or commercial form general liability insurance (contractual liability included) with limits as follows:</w:t>
      </w:r>
    </w:p>
    <w:p>
      <w:pPr>
        <w:pStyle w:val="TextBody"/>
        <w:bidi w:val="0"/>
        <w:ind w:left="2880" w:right="0" w:hanging="0"/>
        <w:jc w:val="left"/>
        <w:rPr>
          <w:rFonts w:ascii="Times New Roman" w:hAnsi="Times New Roman"/>
          <w:color w:val="000000"/>
          <w:sz w:val="24"/>
        </w:rPr>
      </w:pPr>
      <w:r>
        <w:rPr>
          <w:rFonts w:ascii="Times New Roman" w:hAnsi="Times New Roman"/>
          <w:color w:val="000000"/>
          <w:sz w:val="24"/>
        </w:rPr>
        <w:t>[***]</w:t>
      </w:r>
    </w:p>
    <w:p>
      <w:pPr>
        <w:pStyle w:val="TextBody"/>
        <w:bidi w:val="0"/>
        <w:ind w:left="2880" w:right="0" w:hanging="0"/>
        <w:jc w:val="both"/>
        <w:rPr>
          <w:rFonts w:ascii="Times New Roman" w:hAnsi="Times New Roman"/>
          <w:color w:val="282828"/>
          <w:sz w:val="24"/>
        </w:rPr>
      </w:pPr>
      <w:r>
        <w:rPr>
          <w:rFonts w:ascii="Times New Roman" w:hAnsi="Times New Roman"/>
          <w:color w:val="282828"/>
          <w:sz w:val="24"/>
        </w:rPr>
        <w:t>[***]</w:t>
      </w:r>
    </w:p>
    <w:p>
      <w:pPr>
        <w:pStyle w:val="TextBody"/>
        <w:bidi w:val="0"/>
        <w:ind w:left="2880" w:right="0" w:hanging="0"/>
        <w:jc w:val="both"/>
        <w:rPr>
          <w:rFonts w:ascii="Times New Roman" w:hAnsi="Times New Roman"/>
          <w:color w:val="282828"/>
          <w:sz w:val="24"/>
        </w:rPr>
      </w:pPr>
      <w:r>
        <w:rPr>
          <w:rFonts w:ascii="Times New Roman" w:hAnsi="Times New Roman"/>
          <w:color w:val="282828"/>
          <w:sz w:val="24"/>
        </w:rPr>
        <w: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23.2 Notwithstanding the above, no later than the earlier of: i) [***]; or ii) [***], Licensee, [***], will insure its activities in connection with any work performed by the Licensee pursuant to this Agreement, and in such regard will maintain at least the following insurance (or an equivalent program of self-insurance) during the term of this Agreement and for [***]:</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23.3.1 Comprehensive or Commercial Form General Liability Insurance (contractual liability included) with limits as follows in force by the date specified below:</w:t>
      </w:r>
    </w:p>
    <w:p>
      <w:pPr>
        <w:pStyle w:val="TextBody"/>
        <w:pBdr/>
        <w:bidi w:val="0"/>
        <w:ind w:left="2160" w:right="0" w:hanging="720"/>
        <w:jc w:val="left"/>
        <w:rPr>
          <w:rFonts w:ascii="Times New Roman" w:hAnsi="Times New Roman"/>
          <w:color w:val="000000"/>
          <w:sz w:val="24"/>
        </w:rPr>
      </w:pPr>
      <w:r>
        <w:rPr>
          <w:rFonts w:ascii="Times New Roman" w:hAnsi="Times New Roman"/>
          <w:color w:val="000000"/>
          <w:sz w:val="24"/>
        </w:rPr>
        <w:t>(a) [***]</w:t>
      </w:r>
    </w:p>
    <w:p>
      <w:pPr>
        <w:pStyle w:val="TextBody"/>
        <w:pBdr/>
        <w:bidi w:val="0"/>
        <w:spacing w:before="120" w:after="283"/>
        <w:ind w:left="2160" w:right="0" w:hanging="720"/>
        <w:jc w:val="left"/>
        <w:rPr>
          <w:rFonts w:ascii="Times New Roman" w:hAnsi="Times New Roman"/>
          <w:color w:val="000000"/>
          <w:sz w:val="24"/>
        </w:rPr>
      </w:pPr>
      <w:r>
        <w:rPr>
          <w:rFonts w:ascii="Times New Roman" w:hAnsi="Times New Roman"/>
          <w:color w:val="000000"/>
          <w:sz w:val="24"/>
        </w:rPr>
        <w:t>(b) [***]</w:t>
      </w:r>
    </w:p>
    <w:p>
      <w:pPr>
        <w:pStyle w:val="TextBody"/>
        <w:pBdr/>
        <w:bidi w:val="0"/>
        <w:spacing w:before="167" w:after="283"/>
        <w:ind w:left="1440" w:right="0" w:hanging="720"/>
        <w:jc w:val="left"/>
        <w:rPr>
          <w:rFonts w:ascii="Times New Roman" w:hAnsi="Times New Roman"/>
          <w:color w:val="212121"/>
          <w:sz w:val="24"/>
        </w:rPr>
      </w:pPr>
      <w:r>
        <w:rPr>
          <w:rFonts w:ascii="Times New Roman" w:hAnsi="Times New Roman"/>
          <w:color w:val="212121"/>
          <w:sz w:val="24"/>
        </w:rPr>
        <w:t>23.3.2 The coverage and limits referred to in Section 23.2.1 and 23.3.1 will not in any way limit the liability of the Licensee hereunder.</w:t>
      </w:r>
    </w:p>
    <w:p>
      <w:pPr>
        <w:pStyle w:val="TextBody"/>
        <w:pBdr/>
        <w:bidi w:val="0"/>
        <w:ind w:left="1440" w:right="0" w:hanging="720"/>
        <w:jc w:val="left"/>
        <w:rPr>
          <w:rFonts w:ascii="Times New Roman" w:hAnsi="Times New Roman"/>
          <w:color w:val="232323"/>
          <w:sz w:val="24"/>
        </w:rPr>
      </w:pPr>
      <w:r>
        <w:rPr>
          <w:rFonts w:ascii="Times New Roman" w:hAnsi="Times New Roman"/>
          <w:color w:val="232323"/>
          <w:sz w:val="24"/>
        </w:rPr>
        <w:t>23.3.3 The Licensee will furnish The Regents with certificates of insurance evidencing compliance with all requirements therefor hereunder. Such certificates will:</w:t>
      </w:r>
    </w:p>
    <w:p>
      <w:pPr>
        <w:pStyle w:val="TextBody"/>
        <w:pBdr/>
        <w:bidi w:val="0"/>
        <w:ind w:left="2160" w:right="0" w:hanging="720"/>
        <w:jc w:val="left"/>
        <w:rPr>
          <w:rFonts w:ascii="Times New Roman" w:hAnsi="Times New Roman"/>
          <w:color w:val="000000"/>
          <w:sz w:val="24"/>
        </w:rPr>
      </w:pPr>
      <w:r>
        <w:rPr>
          <w:rFonts w:ascii="Times New Roman" w:hAnsi="Times New Roman"/>
          <w:color w:val="000000"/>
          <w:sz w:val="24"/>
        </w:rPr>
        <w:t>(a) Provide for at least [***] advance written notice to The Regents of any modification;</w:t>
      </w:r>
    </w:p>
    <w:p>
      <w:pPr>
        <w:pStyle w:val="TextBody"/>
        <w:pBdr/>
        <w:bidi w:val="0"/>
        <w:ind w:left="2160" w:right="0" w:hanging="720"/>
        <w:jc w:val="left"/>
        <w:rPr>
          <w:rFonts w:ascii="Times New Roman" w:hAnsi="Times New Roman"/>
          <w:color w:val="000000"/>
          <w:sz w:val="24"/>
        </w:rPr>
      </w:pPr>
      <w:r>
        <w:rPr>
          <w:rFonts w:ascii="Times New Roman" w:hAnsi="Times New Roman"/>
          <w:color w:val="000000"/>
          <w:sz w:val="24"/>
        </w:rPr>
        <w:t>(b) [***]</w:t>
      </w:r>
    </w:p>
    <w:p>
      <w:pPr>
        <w:pStyle w:val="TextBody"/>
        <w:pBdr/>
        <w:bidi w:val="0"/>
        <w:ind w:left="2160" w:right="0" w:hanging="720"/>
        <w:jc w:val="left"/>
        <w:rPr>
          <w:rFonts w:ascii="Times New Roman" w:hAnsi="Times New Roman"/>
          <w:color w:val="000000"/>
          <w:sz w:val="24"/>
        </w:rPr>
      </w:pPr>
      <w:r>
        <w:rPr>
          <w:rFonts w:ascii="Times New Roman" w:hAnsi="Times New Roman"/>
          <w:color w:val="000000"/>
          <w:sz w:val="24"/>
        </w:rPr>
        <w:t>(c) Include a provision that the coverage will be primary and will not participate with, nor will be excess over, any valid and collectable insurance or program of self-insurance maintained by The Regents or HHMI.</w:t>
      </w:r>
    </w:p>
    <w:p>
      <w:pPr>
        <w:pStyle w:val="TextBody"/>
        <w:bidi w:val="0"/>
        <w:jc w:val="left"/>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23.4 The Regents will promptly notify the Licensee in writing of any claim or action brought against The Regents for which The Regents intends to invoke the provisions of this Article 23. The Licensee will keep The Regents informed of the Licensee’s defense of any Claims pursuant to this Article 23. In the case of an HHMI Indemnitee, written notice will be given reasonably promptly following actual receipt of written notice thereof by an officer or attorney of HHMI. Notwithstanding the foregoing, the delay or failure of an HHMI Indemnitee to give prompt written notice to the Licensee of any Claim will not affect the rights of such HHMI Indemnitee hereunder unless, and then only to the extent that, such delay or failure is prejudicial to or otherwise adversely affects the Licensee. The Licensee will keep HHMI informed as to the Licensee’s defense of any Claims pursuant to this Article 23.</w:t>
      </w:r>
    </w:p>
    <w:p>
      <w:pPr>
        <w:pStyle w:val="TextBody"/>
        <w:bidi w:val="0"/>
        <w:jc w:val="left"/>
        <w:rPr>
          <w:rFonts w:ascii="Times New Roman" w:hAnsi="Times New Roman"/>
          <w:color w:val="000000"/>
          <w:sz w:val="24"/>
        </w:rPr>
      </w:pPr>
      <w:r>
        <w:rPr>
          <w:rFonts w:ascii="Times New Roman" w:hAnsi="Times New Roman"/>
          <w:color w:val="000000"/>
          <w:sz w:val="24"/>
        </w:rPr>
        <w:t>24. NOTICES; PAYMENTS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24.1 Any notice required to be given under this Agreement will be in writing and will be deemed to have been properly given and to be effective as of the date specified below if delivered to the respective address given below or to another address as designated by written notice given to the other party in accordance with this Section 24.1:</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24.1.1 on the date of delivery if delivered in person;</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24.1.2 on the date of mailing if mailed by first-class certified mail, postage paid; or</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24.1.3 on the date of mailing if mailed by any global express carrier service, such as but not limited to FedEx or DHL, that requires the recipient to sign a document demonstrating the delivery of such notice or payment.</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24.1.4 on the date of transmission by facsimile or by electronic mail (email) without failure of transmission, if delivered by the Regents to the Licensee’s facsimile number or email address below or to another facsimile number or email address for Licensee as designated by written notice given by the Licensee to The Regents in accordance with this Section 24.1:</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(a) In the case of Licensee:</w:t>
      </w:r>
    </w:p>
    <w:p>
      <w:pPr>
        <w:pStyle w:val="TextBody"/>
        <w:bidi w:val="0"/>
        <w:ind w:left="2520" w:right="0" w:hanging="0"/>
        <w:jc w:val="left"/>
        <w:rPr>
          <w:rFonts w:ascii="Times New Roman" w:hAnsi="Times New Roman"/>
          <w:color w:val="202020"/>
          <w:sz w:val="24"/>
        </w:rPr>
      </w:pPr>
      <w:r>
        <w:rPr>
          <w:rFonts w:ascii="Times New Roman" w:hAnsi="Times New Roman"/>
          <w:color w:val="202020"/>
          <w:sz w:val="24"/>
        </w:rPr>
        <w:t>Intellikine, Inc.</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575 Old Mill Road</w:t>
      </w:r>
    </w:p>
    <w:p>
      <w:pPr>
        <w:pStyle w:val="TextBody"/>
        <w:bidi w:val="0"/>
        <w:ind w:left="2520" w:right="0" w:hanging="0"/>
        <w:jc w:val="left"/>
        <w:rPr>
          <w:rFonts w:ascii="Times New Roman" w:hAnsi="Times New Roman"/>
          <w:color w:val="212121"/>
          <w:sz w:val="24"/>
        </w:rPr>
      </w:pPr>
      <w:r>
        <w:rPr>
          <w:rFonts w:ascii="Times New Roman" w:hAnsi="Times New Roman"/>
          <w:color w:val="212121"/>
          <w:sz w:val="24"/>
        </w:rPr>
        <w:t>San Marino, CA 91108</w:t>
      </w:r>
    </w:p>
    <w:p>
      <w:pPr>
        <w:pStyle w:val="TextBody"/>
        <w:bidi w:val="0"/>
        <w:ind w:left="2520" w:right="0" w:hanging="0"/>
        <w:jc w:val="left"/>
        <w:rPr>
          <w:rFonts w:ascii="Times New Roman" w:hAnsi="Times New Roman"/>
          <w:color w:val="212121"/>
          <w:sz w:val="24"/>
        </w:rPr>
      </w:pPr>
      <w:r>
        <w:rPr>
          <w:rFonts w:ascii="Times New Roman" w:hAnsi="Times New Roman"/>
          <w:color w:val="212121"/>
          <w:sz w:val="24"/>
        </w:rPr>
        <w:t>Attention: [***]</w:t>
      </w:r>
    </w:p>
    <w:p>
      <w:pPr>
        <w:pStyle w:val="TextBody"/>
        <w:bidi w:val="0"/>
        <w:jc w:val="left"/>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2520" w:right="0" w:hanging="0"/>
        <w:jc w:val="left"/>
        <w:rPr>
          <w:rFonts w:ascii="Times New Roman" w:hAnsi="Times New Roman"/>
          <w:color w:val="212121"/>
          <w:sz w:val="24"/>
        </w:rPr>
      </w:pPr>
      <w:r>
        <w:rPr>
          <w:rFonts w:ascii="Times New Roman" w:hAnsi="Times New Roman"/>
          <w:color w:val="212121"/>
          <w:sz w:val="24"/>
        </w:rPr>
        <w:t>Facsimile: 626-403-2560</w:t>
      </w:r>
    </w:p>
    <w:p>
      <w:pPr>
        <w:pStyle w:val="TextBody"/>
        <w:bidi w:val="0"/>
        <w:spacing w:before="0" w:after="240"/>
        <w:ind w:left="2520" w:right="0" w:hanging="0"/>
        <w:jc w:val="left"/>
        <w:rPr>
          <w:rFonts w:ascii="Times New Roman" w:hAnsi="Times New Roman"/>
          <w:color w:val="252525"/>
          <w:sz w:val="24"/>
        </w:rPr>
      </w:pPr>
      <w:r>
        <w:rPr>
          <w:rFonts w:ascii="Times New Roman" w:hAnsi="Times New Roman"/>
          <w:color w:val="252525"/>
          <w:sz w:val="24"/>
        </w:rPr>
        <w:t>Email: [***]</w:t>
      </w:r>
    </w:p>
    <w:p>
      <w:pPr>
        <w:pStyle w:val="TextBody"/>
        <w:bidi w:val="0"/>
        <w:ind w:left="0" w:right="0" w:firstLine="1440"/>
        <w:jc w:val="left"/>
        <w:rPr>
          <w:rFonts w:ascii="Times New Roman" w:hAnsi="Times New Roman"/>
          <w:sz w:val="20"/>
        </w:rPr>
      </w:pPr>
      <w:r>
        <w:rPr>
          <w:rFonts w:ascii="Times New Roman" w:hAnsi="Times New Roman"/>
          <w:color w:val="232323"/>
          <w:sz w:val="24"/>
        </w:rPr>
        <w:t>(b) In the case of The Regents, in each case referring to UC Case Nos. [</w:t>
      </w:r>
      <w:r>
        <w:rPr>
          <w:rFonts w:ascii="Times New Roman" w:hAnsi="Times New Roman"/>
          <w:color w:val="000000"/>
          <w:sz w:val="24"/>
        </w:rPr>
        <w:t>***]:</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The Regents of the University of California</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Office of Technology Management</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Attention: [***]</w:t>
      </w:r>
    </w:p>
    <w:p>
      <w:pPr>
        <w:pStyle w:val="TextBody"/>
        <w:bidi w:val="0"/>
        <w:ind w:left="2520" w:right="0" w:hanging="0"/>
        <w:jc w:val="left"/>
        <w:rPr>
          <w:rFonts w:ascii="Times New Roman" w:hAnsi="Times New Roman"/>
          <w:color w:val="232323"/>
          <w:sz w:val="24"/>
        </w:rPr>
      </w:pPr>
      <w:r>
        <w:rPr>
          <w:rFonts w:ascii="Times New Roman" w:hAnsi="Times New Roman"/>
          <w:color w:val="232323"/>
          <w:sz w:val="24"/>
        </w:rPr>
        <w:t>185 Berry Street, Suite 4603</w:t>
      </w:r>
    </w:p>
    <w:p>
      <w:pPr>
        <w:pStyle w:val="TextBody"/>
        <w:bidi w:val="0"/>
        <w:spacing w:before="0" w:after="240"/>
        <w:ind w:left="2520" w:right="0" w:hanging="0"/>
        <w:jc w:val="left"/>
        <w:rPr>
          <w:rFonts w:ascii="Times New Roman" w:hAnsi="Times New Roman"/>
          <w:color w:val="232323"/>
          <w:sz w:val="24"/>
        </w:rPr>
      </w:pPr>
      <w:r>
        <w:rPr>
          <w:rFonts w:ascii="Times New Roman" w:hAnsi="Times New Roman"/>
          <w:color w:val="232323"/>
          <w:sz w:val="24"/>
        </w:rPr>
        <w:t>San Francisco, CA 94107</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24.2 Payments to The Regents due under this Agreement must be directed to the following address, in each case referring to UC Case Nos. [***], as relevant:</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Office of Technology Transfer</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Attn.: [***]</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University of California</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Office of the President</w:t>
      </w:r>
    </w:p>
    <w:p>
      <w:pPr>
        <w:pStyle w:val="TextBody"/>
        <w:bidi w:val="0"/>
        <w:ind w:left="2520" w:right="0" w:hanging="0"/>
        <w:jc w:val="left"/>
        <w:rPr>
          <w:rFonts w:ascii="Times New Roman" w:hAnsi="Times New Roman"/>
          <w:sz w:val="20"/>
        </w:rPr>
      </w:pPr>
      <w:r>
        <w:rPr>
          <w:rFonts w:ascii="Times New Roman" w:hAnsi="Times New Roman"/>
          <w:color w:val="000000"/>
          <w:sz w:val="24"/>
        </w:rPr>
        <w:t>1111 Franklin Street, 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spacing w:before="0" w:after="240"/>
        <w:ind w:left="2520" w:right="0" w:hanging="0"/>
        <w:jc w:val="left"/>
        <w:rPr>
          <w:rFonts w:ascii="Times New Roman" w:hAnsi="Times New Roman"/>
          <w:color w:val="000000"/>
          <w:sz w:val="24"/>
        </w:rPr>
      </w:pPr>
      <w:r>
        <w:rPr>
          <w:rFonts w:ascii="Times New Roman" w:hAnsi="Times New Roman"/>
          <w:color w:val="000000"/>
          <w:sz w:val="24"/>
        </w:rPr>
        <w:t>Oakland, CA 94607-5200</w:t>
      </w:r>
    </w:p>
    <w:p>
      <w:pPr>
        <w:pStyle w:val="TextBody"/>
        <w:bidi w:val="0"/>
        <w:jc w:val="left"/>
        <w:rPr>
          <w:rFonts w:ascii="Times New Roman" w:hAnsi="Times New Roman"/>
          <w:color w:val="000000"/>
          <w:sz w:val="24"/>
        </w:rPr>
      </w:pPr>
      <w:r>
        <w:rPr>
          <w:rFonts w:ascii="Times New Roman" w:hAnsi="Times New Roman"/>
          <w:color w:val="000000"/>
          <w:sz w:val="24"/>
        </w:rPr>
        <w:t>25. ASSIGNABILITY</w:t>
      </w:r>
    </w:p>
    <w:p>
      <w:pPr>
        <w:pStyle w:val="TextBody"/>
        <w:bidi w:val="0"/>
        <w:ind w:left="0" w:right="0" w:firstLine="720"/>
        <w:jc w:val="left"/>
        <w:rPr>
          <w:rFonts w:ascii="Times New Roman" w:hAnsi="Times New Roman"/>
          <w:sz w:val="20"/>
        </w:rPr>
      </w:pPr>
      <w:r>
        <w:rPr>
          <w:rFonts w:ascii="Times New Roman" w:hAnsi="Times New Roman"/>
          <w:color w:val="242424"/>
          <w:sz w:val="24"/>
        </w:rPr>
        <w:t>This Agreement is personal to the Licensee. The Licensee may not assign or transfer this Agreement, including by merger, operation of law, or otherwise, without The Regents' prior written consent, except that such consent will not be required in the case of assignment or transfer to a party that succeeds to all or substantially all of Licensee's business or assets relating to this Agreement, whether by sale, merger, operation of law or otherwise, provided that such</w:t>
      </w:r>
      <w:r>
        <w:rPr>
          <w:rFonts w:ascii="Times New Roman" w:hAnsi="Times New Roman"/>
          <w:color w:val="B6B6B6"/>
          <w:sz w:val="20"/>
        </w:rPr>
        <w:t xml:space="preserve"> </w:t>
      </w:r>
      <w:r>
        <w:rPr>
          <w:rFonts w:ascii="Times New Roman" w:hAnsi="Times New Roman"/>
          <w:color w:val="242424"/>
          <w:sz w:val="24"/>
        </w:rPr>
        <w:t>assignee or transferee promptly agrees to be bound by the</w:t>
      </w:r>
      <w:r>
        <w:rPr>
          <w:rFonts w:ascii="Times New Roman" w:hAnsi="Times New Roman"/>
          <w:color w:val="B6B6B6"/>
          <w:sz w:val="20"/>
        </w:rPr>
        <w:t xml:space="preserve"> </w:t>
      </w:r>
      <w:r>
        <w:rPr>
          <w:rFonts w:ascii="Times New Roman" w:hAnsi="Times New Roman"/>
          <w:color w:val="242424"/>
          <w:sz w:val="24"/>
        </w:rPr>
        <w:t>terms and conditions of this Agreement and signs The Regents' standard substitution of party letter (the form of which is attached hereto as Appendix B). Any attempted assignment by the Licensee in violation of this Article 25 will be null and void. This Agreement is binding upon and will inure to the benefit of The Regents and its successors and assigns, and the Licensee and its successors and permitted assigns.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6"/>
        </w:rPr>
        <w:br/>
      </w:r>
      <w:r>
        <w:rPr>
          <w:rFonts w:ascii="Times New Roman" w:hAnsi="Times New Roman"/>
          <w:color w:val="000000"/>
          <w:sz w:val="24"/>
        </w:rPr>
        <w:t>26. WAIVER</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No waiver by either party of any breach or default of any of the covenants or agreements contained herein will be deemed a waiver as to any subsequent and/or similar breach or default. No waiver will be valid or binding upon the parties hereto unless made in writing and signed by a duly authorized officer of each party.</w:t>
      </w:r>
    </w:p>
    <w:p>
      <w:pPr>
        <w:pStyle w:val="TextBody"/>
        <w:bidi w:val="0"/>
        <w:jc w:val="left"/>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27. FORCE MAJEURE</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27.1 Except for the Licensee's obligation to make any payments to The Regents hereunder, the parties hereto will not be responsible for any failure to perform due to the occurrence of any events beyond their reasonable control which render their performance impossible or onerous, including, but not limited to: accidents (environmental, toxic spill, etc.); acts of God; biological or nuclear incidents; casualties; earthquakes; fires; floods; governmental acts; orders or restrictions; inability to obtain suitable and sufficient labor, transportation, fuel and materials; local, national or state emergency; power failure and power outages; acts of terrorism; strike; and war.</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27.2 Either party to this Agreement, however, will have the right to terminate this Agreement upon [***] prior written notice if either party is unable to fulfill its obligations under this Agreement due to any of the causes specified in Section 27.1 for a period of [***].</w:t>
      </w:r>
    </w:p>
    <w:p>
      <w:pPr>
        <w:pStyle w:val="TextBody"/>
        <w:bidi w:val="0"/>
        <w:jc w:val="left"/>
        <w:rPr>
          <w:rFonts w:ascii="Times New Roman" w:hAnsi="Times New Roman"/>
          <w:color w:val="000000"/>
          <w:sz w:val="24"/>
        </w:rPr>
      </w:pPr>
      <w:r>
        <w:rPr>
          <w:rFonts w:ascii="Times New Roman" w:hAnsi="Times New Roman"/>
          <w:color w:val="000000"/>
          <w:sz w:val="24"/>
        </w:rPr>
        <w:t>28. GOVERNING LAWS; VENUE; ATTORNEYS FEES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28.1 This Agreement will be interpreted and construed in accordance with the laws of the State of California, excluding any choice of law rules that would direct the application of the laws of another jurisdiction and without regard to which party drafted particular provisions of this Agreement, provided that the scope and validity of any patent or patent application will be governed by the applicable laws of the relevant Country in which such patent is issued or in which such patent application has been made as to which such dispute has arisen.</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28.2 Any legal action brought by the parties hereto relating to this Agreement will be conducted in San Francisco, California, and the parties hereto hereby consent to the </w:t>
      </w:r>
      <w:r>
        <w:rPr>
          <w:rFonts w:ascii="Times New Roman" w:hAnsi="Times New Roman"/>
          <w:color w:val="000000"/>
          <w:sz w:val="24"/>
          <w:u w:val="single"/>
        </w:rPr>
        <w:t>in</w:t>
      </w:r>
      <w:r>
        <w:rPr>
          <w:rFonts w:ascii="Times New Roman" w:hAnsi="Times New Roman"/>
          <w:color w:val="000000"/>
          <w:sz w:val="20"/>
        </w:rPr>
        <w:t xml:space="preserve"> </w:t>
      </w:r>
      <w:r>
        <w:rPr>
          <w:rFonts w:ascii="Times New Roman" w:hAnsi="Times New Roman"/>
          <w:color w:val="000000"/>
          <w:sz w:val="24"/>
          <w:u w:val="single"/>
        </w:rPr>
        <w:t>personam</w:t>
      </w:r>
      <w:r>
        <w:rPr>
          <w:rFonts w:ascii="Times New Roman" w:hAnsi="Times New Roman"/>
          <w:color w:val="000000"/>
          <w:sz w:val="20"/>
        </w:rPr>
        <w:t xml:space="preserve"> </w:t>
      </w:r>
      <w:r>
        <w:rPr>
          <w:rFonts w:ascii="Times New Roman" w:hAnsi="Times New Roman"/>
          <w:color w:val="000000"/>
          <w:sz w:val="24"/>
        </w:rPr>
        <w:t>jurisdiction of, and venue in, the federal and State courts located therein.</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28.3 [***]</w:t>
      </w:r>
    </w:p>
    <w:p>
      <w:pPr>
        <w:pStyle w:val="TextBody"/>
        <w:bidi w:val="0"/>
        <w:jc w:val="left"/>
        <w:rPr>
          <w:rFonts w:ascii="Times New Roman" w:hAnsi="Times New Roman"/>
          <w:color w:val="000000"/>
          <w:sz w:val="24"/>
        </w:rPr>
      </w:pPr>
      <w:r>
        <w:rPr>
          <w:rFonts w:ascii="Times New Roman" w:hAnsi="Times New Roman"/>
          <w:color w:val="000000"/>
          <w:sz w:val="24"/>
        </w:rPr>
        <w:t>29. GOVERNEMENT APPROVAL OR REGISTRATION</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If this Agreement or any associated transaction is required by the law of any nation to be either approved or registered with any governmental agency, the Licensee will assume all legal obligations to do so. Each party hereto will notify the other party hereto in writing if the first party becomes aware that this Agreement is subject to a United States or foreign government reporting or approval requirement. The Licensee will make all necessary filings [***] associated with such reporting or approval process.</w:t>
      </w:r>
    </w:p>
    <w:p>
      <w:pPr>
        <w:pStyle w:val="TextBody"/>
        <w:bidi w:val="0"/>
        <w:jc w:val="left"/>
        <w:rPr>
          <w:rFonts w:ascii="Times New Roman" w:hAnsi="Times New Roman"/>
          <w:color w:val="000000"/>
          <w:sz w:val="24"/>
        </w:rPr>
      </w:pPr>
      <w:r>
        <w:rPr>
          <w:rFonts w:ascii="Times New Roman" w:hAnsi="Times New Roman"/>
          <w:color w:val="000000"/>
          <w:sz w:val="24"/>
        </w:rPr>
        <w:t>30. COMPLIANCE WITH LAWS</w:t>
      </w:r>
    </w:p>
    <w:p>
      <w:pPr>
        <w:pStyle w:val="TextBody"/>
        <w:bidi w:val="0"/>
        <w:jc w:val="left"/>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Licensee will comply with all applicable international, national, state, regional and local laws and regulations in performing its obligations hereunder and in its use, manufacture, Sale or import of the Licensed Products, Licensed Services or practice of the Licensed Method. The Licensee will observe all applicable United States and foreign laws with respect to the transfer of Licensed Products and related technical data and the provision of Licensed Services to foreign Countries, including, without limitation, the International Traffic in Arms Regulations (ITAR) and the Export Administration Regulations. The Licensee will manufacture Licensed Products and practice the Licensed Method in compliance with applicable government importation laws and regulations of a particular Country for Licensed Products made outside the particular Country in which such Licensed Products are used, Sold or otherwise exploited.</w:t>
      </w:r>
    </w:p>
    <w:p>
      <w:pPr>
        <w:pStyle w:val="TextBody"/>
        <w:bidi w:val="0"/>
        <w:jc w:val="left"/>
        <w:rPr>
          <w:rFonts w:ascii="Times New Roman" w:hAnsi="Times New Roman"/>
          <w:color w:val="000000"/>
          <w:sz w:val="24"/>
        </w:rPr>
      </w:pPr>
      <w:r>
        <w:rPr>
          <w:rFonts w:ascii="Times New Roman" w:hAnsi="Times New Roman"/>
          <w:color w:val="000000"/>
          <w:sz w:val="24"/>
        </w:rPr>
        <w:t>31. CONFIDENTIALITY</w:t>
      </w:r>
    </w:p>
    <w:p>
      <w:pPr>
        <w:pStyle w:val="TextBody"/>
        <w:bidi w:val="0"/>
        <w:ind w:left="0" w:right="0" w:firstLine="720"/>
        <w:jc w:val="left"/>
        <w:rPr>
          <w:rFonts w:ascii="Times New Roman" w:hAnsi="Times New Roman"/>
          <w:sz w:val="20"/>
        </w:rPr>
      </w:pPr>
      <w:r>
        <w:rPr>
          <w:rFonts w:ascii="Times New Roman" w:hAnsi="Times New Roman"/>
          <w:color w:val="000000"/>
          <w:sz w:val="24"/>
        </w:rPr>
        <w:t>31.1 The Licensee and The Regents will treat and maintain the other party’s proprietary or confidential information, including without limitation the other party’s business, patent prosecution and other intellectual property, software, engineering drawings, process and technical information and other proprietary information, including the terms of this Agreement and any reports and documents to be delivered pursuant to this Agreement (collectively, the relevant party’s “</w:t>
      </w:r>
      <w:r>
        <w:rPr>
          <w:rFonts w:ascii="Times New Roman" w:hAnsi="Times New Roman"/>
          <w:color w:val="000000"/>
          <w:sz w:val="24"/>
          <w:u w:val="single"/>
        </w:rPr>
        <w:t>Proprietary Information</w:t>
      </w:r>
      <w:r>
        <w:rPr>
          <w:rFonts w:ascii="Times New Roman" w:hAnsi="Times New Roman"/>
          <w:color w:val="000000"/>
          <w:sz w:val="20"/>
        </w:rPr>
        <w:t>”</w:t>
      </w:r>
      <w:r>
        <w:rPr>
          <w:rFonts w:ascii="Times New Roman" w:hAnsi="Times New Roman"/>
          <w:color w:val="000000"/>
          <w:sz w:val="24"/>
        </w:rPr>
        <w:t>) in confidence using at least the same degree of care as the receiving party uses to protect its own proprietary information of a like nature, from the date of disclosure until [***]. This confidentiality obligation will apply to the information defined as “Data” under the Secrecy Agreement and such Data will be treated as Proprietary Information hereunder.</w:t>
      </w:r>
    </w:p>
    <w:p>
      <w:pPr>
        <w:pStyle w:val="TextBody"/>
        <w:bidi w:val="0"/>
        <w:ind w:left="0" w:right="0" w:firstLine="720"/>
        <w:jc w:val="left"/>
        <w:rPr>
          <w:rFonts w:ascii="Times New Roman" w:hAnsi="Times New Roman"/>
          <w:sz w:val="20"/>
        </w:rPr>
      </w:pPr>
      <w:r>
        <w:rPr>
          <w:rFonts w:ascii="Times New Roman" w:hAnsi="Times New Roman"/>
          <w:color w:val="000000"/>
          <w:sz w:val="24"/>
        </w:rPr>
        <w:t>31.2 The Licensee and The Regents may use and disclose Proprietary Information to their employees, agents, consultants, contractors and, in the case of the Licensee, its Direct Sublicensees, provided that such parties hereto are bound by a like duty of confidentiality as that found in this Article 31. Notwithstanding anything to the contrary contained in this Agreement, The Regents may release this Agreement, including any terms contained herein and information regarding royalty payments or other income received in connection with this Agreement to the inventors, senior administrative officials employed by The Regents and individual Regents and to the senior administrative officials employed by HHMI and the individual trustees of HHMI upon their request. If such release is made, The Regents will request that such terms be kept in confidence in accordance with the provisions of this Article 31. In addition, notwithstanding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anything to the contrary in this Agreement, if a third party inquires whether a license to the Patent Rights is available, then The Regents may disclose the existence of this Agreement and the extent of the grant in Articles 2 and 3 and related definitions to such third party, but will not disclose the name of the Licensee unless Licensee has already made such disclosure publicly.</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31.3 All written Proprietary Information will be labeled or marked confidential or proprietary. If the Proprietary Information is initially orally disclosed, it will be reduced to writing or some other physically tangible form, marked and labeled as confidential or proprietary by the disclosing party and delivered to the receiving party within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31.4 Nothing contained herein will in any way restrict or impair the right of the Licensee or The Regents, as the recipient party, to use or disclose any Proprietary Information of the disclosing party:</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31.4.1 that the recipient party can demonstrate by written records was previously known to it prior to its disclosure by the disclosing party to the recipient party;</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31.4.2 that the recipient party can demonstrate by written records is now, or becomes in the future, public knowledge other than through acts or omissions of the recipient party;</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31.4.3 that the recipient party can demonstrate by written records was lawfully obtained without restrictions on the recipient party, from sources independent of the disclosing party; and</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31.4.4 that the recipient party is required to disclose pursuant to the California Public Records Act or other applicable law.</w:t>
      </w:r>
    </w:p>
    <w:p>
      <w:pPr>
        <w:pStyle w:val="TextBody"/>
        <w:bidi w:val="0"/>
        <w:jc w:val="left"/>
        <w:rPr>
          <w:rFonts w:ascii="Times New Roman" w:hAnsi="Times New Roman"/>
          <w:color w:val="000000"/>
          <w:sz w:val="24"/>
        </w:rPr>
      </w:pPr>
      <w:r>
        <w:rPr>
          <w:rFonts w:ascii="Times New Roman" w:hAnsi="Times New Roman"/>
          <w:color w:val="000000"/>
          <w:sz w:val="24"/>
        </w:rPr>
        <w:t>The Licensee or The Regents also may use or disclose Proprietary Information that is required to be disclosed (i) to a governmental entity or agency in connection with seeking any governmental or regulatory approval, governmental audit, or other governmental contractual requirement or (ii)</w:t>
      </w:r>
    </w:p>
    <w:p>
      <w:pPr>
        <w:pStyle w:val="TextBody"/>
        <w:bidi w:val="0"/>
        <w:jc w:val="left"/>
        <w:rPr>
          <w:rFonts w:ascii="Times New Roman" w:hAnsi="Times New Roman"/>
          <w:color w:val="000000"/>
          <w:sz w:val="24"/>
        </w:rPr>
      </w:pPr>
      <w:r>
        <w:rPr>
          <w:rFonts w:ascii="Times New Roman" w:hAnsi="Times New Roman"/>
          <w:color w:val="000000"/>
          <w:sz w:val="24"/>
        </w:rPr>
        <w:t>by law, provided that the recipient uses reasonable efforts to give the party owning the Proprietary Information sufficient written notice of such required disclosure to allow the party owning the Proprietary Information reasonable opportunity to object to, and to take legal action to prevent or limit, such disclosure.</w:t>
      </w:r>
    </w:p>
    <w:p>
      <w:pPr>
        <w:pStyle w:val="TextBody"/>
        <w:bidi w:val="0"/>
        <w:ind w:left="0" w:right="0" w:firstLine="720"/>
        <w:jc w:val="left"/>
        <w:rPr>
          <w:rFonts w:ascii="Times New Roman" w:hAnsi="Times New Roman"/>
          <w:sz w:val="20"/>
        </w:rPr>
      </w:pPr>
      <w:r>
        <w:rPr>
          <w:rFonts w:ascii="Times New Roman" w:hAnsi="Times New Roman"/>
          <w:color w:val="000000"/>
          <w:sz w:val="24"/>
        </w:rPr>
        <w:t>31.5 The Licensee and The Regents will, within [***] following the expiration or termination of this Agreement, destroy or return to the other party any of the disclosing party’s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Proprietary Information in the relevant recipient party’s possession on the date of such expiration or termination, provided that each party may retain one copy of such Proprietary Information of the other party for archival purposes, which retained Proprietary Information will, until destroyed or returned to the other party, remain subject to the provisions of this Article 31. The Licensee and The Regents will provide each other, within [***] following expiration or termination of this Agreement, with written notice that such Proprietary Information has been so returned or destroyed, subject to the right of the notifying party to retain an archival copy thereof.</w:t>
      </w:r>
    </w:p>
    <w:p>
      <w:pPr>
        <w:pStyle w:val="TextBody"/>
        <w:bidi w:val="0"/>
        <w:ind w:left="0" w:right="0" w:firstLine="720"/>
        <w:jc w:val="left"/>
        <w:rPr>
          <w:rFonts w:ascii="Times New Roman" w:hAnsi="Times New Roman"/>
          <w:sz w:val="20"/>
        </w:rPr>
      </w:pPr>
      <w:r>
        <w:rPr>
          <w:rFonts w:ascii="Times New Roman" w:hAnsi="Times New Roman"/>
          <w:color w:val="000000"/>
          <w:sz w:val="24"/>
        </w:rPr>
        <w:t>31.6 With regard to biological material received by the Licensee from The Regents, if any, under this Agreement, including without limitation any cell lines, vectors, genetic material, derivatives, Products, progeny or material in each case derived therefrom (“</w:t>
      </w:r>
      <w:r>
        <w:rPr>
          <w:rFonts w:ascii="Times New Roman" w:hAnsi="Times New Roman"/>
          <w:color w:val="000000"/>
          <w:sz w:val="24"/>
          <w:u w:val="single"/>
        </w:rPr>
        <w:t>Biological</w:t>
      </w:r>
      <w:r>
        <w:rPr>
          <w:rFonts w:ascii="Times New Roman" w:hAnsi="Times New Roman"/>
          <w:color w:val="000000"/>
          <w:sz w:val="20"/>
        </w:rPr>
        <w:t xml:space="preserve"> </w:t>
      </w:r>
      <w:r>
        <w:rPr>
          <w:rFonts w:ascii="Times New Roman" w:hAnsi="Times New Roman"/>
          <w:color w:val="000000"/>
          <w:sz w:val="24"/>
          <w:u w:val="single"/>
        </w:rPr>
        <w:t>Material</w:t>
      </w:r>
      <w:r>
        <w:rPr>
          <w:rFonts w:ascii="Times New Roman" w:hAnsi="Times New Roman"/>
          <w:color w:val="000000"/>
          <w:sz w:val="20"/>
        </w:rPr>
        <w:t>”</w:t>
      </w:r>
      <w:r>
        <w:rPr>
          <w:rFonts w:ascii="Times New Roman" w:hAnsi="Times New Roman"/>
          <w:color w:val="000000"/>
          <w:sz w:val="24"/>
        </w:rPr>
        <w:t>), the Licensee:</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31.6.1 Will not use Biological Material except for the sole purpose of performing under the terms of this Agreement;</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31.6.2 Will not transfer Biological Material to others (except to its employees, agents or consultants who are bound to the Licensee by like obligations conditioning and restricting access, use and continued use of Biological Material) without the express written permission of The Regents, except that the Licensee is not prevented from transferring any biological material that is lawfully obtained by the Licensee from sources independent of The Regents;</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31.6.3 Will safeguard Biological Material against disclosure and transmission to others with the same degree of care as the Licensee exercises with its own biological materials of a similar nature; and</w:t>
      </w:r>
    </w:p>
    <w:p>
      <w:pPr>
        <w:pStyle w:val="TextBody"/>
        <w:pBdr/>
        <w:bidi w:val="0"/>
        <w:ind w:left="1440" w:right="0" w:hanging="720"/>
        <w:jc w:val="left"/>
        <w:rPr>
          <w:rFonts w:ascii="Times New Roman" w:hAnsi="Times New Roman"/>
          <w:color w:val="000000"/>
          <w:sz w:val="24"/>
        </w:rPr>
      </w:pPr>
      <w:r>
        <w:rPr>
          <w:rFonts w:ascii="Times New Roman" w:hAnsi="Times New Roman"/>
          <w:color w:val="000000"/>
          <w:sz w:val="24"/>
        </w:rPr>
        <w:t>31.6.4 Will destroy all copies of Biological Material within [***] following the effective date of the expiration or termination of this Agreement.</w:t>
      </w:r>
    </w:p>
    <w:p>
      <w:pPr>
        <w:pStyle w:val="TextBody"/>
        <w:bidi w:val="0"/>
        <w:jc w:val="left"/>
        <w:rPr>
          <w:rFonts w:ascii="Times New Roman" w:hAnsi="Times New Roman"/>
          <w:color w:val="000000"/>
          <w:sz w:val="24"/>
        </w:rPr>
      </w:pPr>
      <w:r>
        <w:rPr>
          <w:rFonts w:ascii="Times New Roman" w:hAnsi="Times New Roman"/>
          <w:color w:val="000000"/>
          <w:sz w:val="24"/>
        </w:rPr>
        <w:t>32. MISCELLANEOUS</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32.1 The headings of the Articles and Sections herein are for convenience of reference only and are not intended to be a part of or to affect the meaning or interpretation of this Agreement.</w:t>
      </w:r>
    </w:p>
    <w:p>
      <w:pPr>
        <w:pStyle w:val="TextBody"/>
        <w:bidi w:val="0"/>
        <w:jc w:val="left"/>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32.2 This Agreement will be binding on the parties hereto as of the Effective Date when it has been signed hy each party. This Agreement may be signed in counterparts, each of which will be an original and both of which together will constitute the same instrument.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32.3 No amendment or modification of this Agreement will be valid or binding on the parties hereto unless made in writing and signed by each party.</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32.4 This Agreement, including Appendices A, B and C, each of which is incorporated herein by reference, sets forth the entire understanding of the parties hereto with respect to the specific subject matter hereof, and supersedes in their entirety all previous communications, representations or understandings or agreements, whether oral or written, between the parties hereto relating to the specific subject matter hereof. The Secrecy Agreement dated [***] and the Letter of Intent dated [***] in each case between The Regents and the Licensee are hereby terminated as of the Effective Date, provided that the provisions of the Secrecy Agreement and the Letter of Intent will survive as to any breach by either party thereof which may have occurred prior to the Effective Date.</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32.5 If any provision contained in this Agreement is held to be invalid, illegal or unenforceable in any respect by a court of competent jurisdiction, such invalidity, illegality or unenforceability will not affect any other provisions of this Agreement and this Agreement will be construed as if such invalid, illegal or unenforceable provision had never been contained in this Agreement.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32.6 No provisions of this Agreement are intended or will be construed to confer upon or give to any person or entity other than The Regents and the Licensee any rights, remedies or other benefits under, or by reason of, this Agreement, [***]. In performing their respective duties under this Agreement, each of the parties hereto will be operating as an independent contractor. Nothing contained herein will in any way constitute any association, partnership, or joint venture between the parties hereto, or be construed to evidence the intention of the parties hereto to establish any such relationship. Neither party will have the power to bind the other party or incur obligations on the other party's behalf without the other party's prior written consent.</w:t>
      </w:r>
    </w:p>
    <w:p>
      <w:pPr>
        <w:pStyle w:val="TextBody"/>
        <w:bidi w:val="0"/>
        <w:ind w:left="0" w:right="0" w:firstLine="720"/>
        <w:jc w:val="left"/>
        <w:rPr>
          <w:rFonts w:ascii="Times New Roman" w:hAnsi="Times New Roman"/>
          <w:sz w:val="20"/>
        </w:rPr>
      </w:pPr>
      <w:r>
        <w:rPr>
          <w:rFonts w:ascii="Times New Roman" w:hAnsi="Times New Roman"/>
          <w:color w:val="000000"/>
          <w:sz w:val="24"/>
        </w:rPr>
        <w:t>IN WITNESS WHEREOF, The Regents and the Licensee have executed this Agreement, in duplicate originals, by their respective and duly authorized officers on the respective dates shown below under their signatures.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pPr>
      <w:r>
        <w:rPr/>
        <w:t> </w:t>
      </w:r>
    </w:p>
    <w:tbl>
      <w:tblPr>
        <w:tblW w:w="8447" w:type="dxa"/>
        <w:jc w:val="left"/>
        <w:tblInd w:w="0" w:type="dxa"/>
        <w:tblLayout w:type="fixed"/>
        <w:tblCellMar>
          <w:top w:w="28" w:type="dxa"/>
          <w:left w:w="28" w:type="dxa"/>
          <w:bottom w:w="28" w:type="dxa"/>
          <w:right w:w="28" w:type="dxa"/>
        </w:tblCellMar>
      </w:tblPr>
      <w:tblGrid>
        <w:gridCol w:w="4201"/>
        <w:gridCol w:w="4246"/>
      </w:tblGrid>
      <w:tr>
        <w:trPr/>
        <w:tc>
          <w:tcPr>
            <w:tcW w:w="4201"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mallCaps/>
                <w:color w:val="000000"/>
                <w:sz w:val="24"/>
              </w:rPr>
            </w:pPr>
            <w:r>
              <w:rPr>
                <w:rFonts w:ascii="Times New Roman" w:hAnsi="Times New Roman"/>
                <w:smallCaps/>
                <w:color w:val="000000"/>
                <w:sz w:val="24"/>
              </w:rPr>
              <w:t>INTELLIKINE, INC.</w:t>
            </w:r>
          </w:p>
          <w:p>
            <w:pPr>
              <w:pStyle w:val="TableContents"/>
              <w:bidi w:val="0"/>
              <w:spacing w:before="0" w:after="24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Troy Wilson</w:t>
            </w:r>
          </w:p>
          <w:p>
            <w:pPr>
              <w:pStyle w:val="TableContents"/>
              <w:bidi w:val="0"/>
              <w:jc w:val="center"/>
              <w:rPr>
                <w:rFonts w:ascii="Times New Roman" w:hAnsi="Times New Roman"/>
                <w:color w:val="000000"/>
                <w:sz w:val="24"/>
              </w:rPr>
            </w:pPr>
            <w:r>
              <w:rPr>
                <w:rFonts w:ascii="Times New Roman" w:hAnsi="Times New Roman"/>
                <w:color w:val="000000"/>
                <w:sz w:val="24"/>
              </w:rPr>
              <w:t>(Signature)</w:t>
            </w:r>
          </w:p>
          <w:p>
            <w:pPr>
              <w:pStyle w:val="TableContents"/>
              <w:bidi w:val="0"/>
              <w:jc w:val="left"/>
              <w:rPr>
                <w:rFonts w:ascii="Times New Roman" w:hAnsi="Times New Roman"/>
                <w:color w:val="000000"/>
                <w:sz w:val="24"/>
              </w:rPr>
            </w:pPr>
            <w:r>
              <w:rPr>
                <w:rFonts w:ascii="Times New Roman" w:hAnsi="Times New Roman"/>
                <w:color w:val="000000"/>
                <w:sz w:val="24"/>
              </w:rPr>
              <w:t>Name: Troy Wilson</w:t>
            </w:r>
          </w:p>
          <w:p>
            <w:pPr>
              <w:pStyle w:val="TableContents"/>
              <w:bidi w:val="0"/>
              <w:jc w:val="left"/>
              <w:rPr>
                <w:rFonts w:ascii="Times New Roman" w:hAnsi="Times New Roman"/>
                <w:color w:val="000000"/>
                <w:sz w:val="24"/>
              </w:rPr>
            </w:pPr>
            <w:r>
              <w:rPr>
                <w:rFonts w:ascii="Times New Roman" w:hAnsi="Times New Roman"/>
                <w:color w:val="000000"/>
                <w:sz w:val="24"/>
              </w:rPr>
              <w:t>Title: Chief Executive Office and President</w:t>
            </w:r>
          </w:p>
          <w:p>
            <w:pPr>
              <w:pStyle w:val="TableContents"/>
              <w:bidi w:val="0"/>
              <w:jc w:val="left"/>
              <w:rPr>
                <w:rFonts w:ascii="Times New Roman" w:hAnsi="Times New Roman"/>
                <w:color w:val="000000"/>
                <w:sz w:val="24"/>
              </w:rPr>
            </w:pPr>
            <w:r>
              <w:rPr>
                <w:rFonts w:ascii="Times New Roman" w:hAnsi="Times New Roman"/>
                <w:color w:val="000000"/>
                <w:sz w:val="24"/>
              </w:rPr>
              <w:t>Date signed: August 10, 2007</w:t>
            </w:r>
          </w:p>
          <w:p>
            <w:pPr>
              <w:pStyle w:val="TableContents"/>
              <w:bidi w:val="0"/>
              <w:spacing w:before="0" w:after="283"/>
              <w:jc w:val="left"/>
              <w:rPr/>
            </w:pPr>
            <w:r>
              <w:rPr/>
              <w:t> </w:t>
            </w:r>
          </w:p>
        </w:tc>
        <w:tc>
          <w:tcPr>
            <w:tcW w:w="424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mallCaps/>
                <w:color w:val="000000"/>
                <w:sz w:val="24"/>
              </w:rPr>
            </w:pPr>
            <w:r>
              <w:rPr>
                <w:rFonts w:ascii="Times New Roman" w:hAnsi="Times New Roman"/>
                <w:smallCaps/>
                <w:color w:val="000000"/>
                <w:sz w:val="24"/>
              </w:rPr>
              <w:t>THE REGENTS OF THE UNIVERSITY</w:t>
              <w:br/>
              <w:t>OF CALIFORNIA</w:t>
            </w:r>
          </w:p>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Joel B. Kirschbaum</w:t>
            </w:r>
          </w:p>
          <w:p>
            <w:pPr>
              <w:pStyle w:val="TableContents"/>
              <w:bidi w:val="0"/>
              <w:jc w:val="center"/>
              <w:rPr>
                <w:rFonts w:ascii="Times New Roman" w:hAnsi="Times New Roman"/>
                <w:color w:val="000000"/>
                <w:sz w:val="24"/>
              </w:rPr>
            </w:pPr>
            <w:r>
              <w:rPr>
                <w:rFonts w:ascii="Times New Roman" w:hAnsi="Times New Roman"/>
                <w:color w:val="000000"/>
                <w:sz w:val="24"/>
              </w:rPr>
              <w:t>(Signature)</w:t>
            </w:r>
          </w:p>
          <w:p>
            <w:pPr>
              <w:pStyle w:val="TableContents"/>
              <w:bidi w:val="0"/>
              <w:jc w:val="left"/>
              <w:rPr>
                <w:rFonts w:ascii="Times New Roman" w:hAnsi="Times New Roman"/>
                <w:color w:val="000000"/>
                <w:sz w:val="24"/>
              </w:rPr>
            </w:pPr>
            <w:r>
              <w:rPr>
                <w:rFonts w:ascii="Times New Roman" w:hAnsi="Times New Roman"/>
                <w:color w:val="000000"/>
                <w:sz w:val="24"/>
              </w:rPr>
              <w:t>Name: Joel B. Kirschbaum</w:t>
            </w:r>
          </w:p>
          <w:p>
            <w:pPr>
              <w:pStyle w:val="TableContents"/>
              <w:bidi w:val="0"/>
              <w:jc w:val="left"/>
              <w:rPr>
                <w:rFonts w:ascii="Times New Roman" w:hAnsi="Times New Roman"/>
                <w:color w:val="000000"/>
                <w:sz w:val="24"/>
              </w:rPr>
            </w:pPr>
            <w:r>
              <w:rPr>
                <w:rFonts w:ascii="Times New Roman" w:hAnsi="Times New Roman"/>
                <w:color w:val="000000"/>
                <w:sz w:val="24"/>
              </w:rPr>
              <w:t>Title: Director, UCSF Office of</w:t>
            </w:r>
          </w:p>
          <w:p>
            <w:pPr>
              <w:pStyle w:val="TableContents"/>
              <w:bidi w:val="0"/>
              <w:jc w:val="left"/>
              <w:rPr>
                <w:color w:val="000000"/>
              </w:rPr>
            </w:pPr>
            <w:r>
              <w:rPr>
                <w:color w:val="000000"/>
              </w:rPr>
              <w:t> </w:t>
            </w:r>
            <w:r>
              <w:rPr>
                <w:rFonts w:ascii="Times New Roman" w:hAnsi="Times New Roman"/>
                <w:color w:val="000000"/>
                <w:sz w:val="24"/>
              </w:rPr>
              <w:t>Technology Management</w:t>
            </w:r>
          </w:p>
          <w:p>
            <w:pPr>
              <w:pStyle w:val="TableContents"/>
              <w:bidi w:val="0"/>
              <w:jc w:val="left"/>
              <w:rPr>
                <w:rFonts w:ascii="Times New Roman" w:hAnsi="Times New Roman"/>
                <w:color w:val="000000"/>
                <w:sz w:val="24"/>
              </w:rPr>
            </w:pPr>
            <w:r>
              <w:rPr>
                <w:rFonts w:ascii="Times New Roman" w:hAnsi="Times New Roman"/>
                <w:color w:val="000000"/>
                <w:sz w:val="24"/>
              </w:rPr>
              <w:t>Date signed: August 10, 2007</w:t>
            </w:r>
          </w:p>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spacing w:before="121" w:after="240"/>
        <w:jc w:val="center"/>
        <w:rPr/>
      </w:pPr>
      <w:r>
        <w:rPr/>
        <w:t> </w:t>
      </w:r>
    </w:p>
    <w:p>
      <w:pPr>
        <w:pStyle w:val="TextBody"/>
        <w:bidi w:val="0"/>
        <w:jc w:val="center"/>
        <w:rPr>
          <w:rFonts w:ascii="Times New Roman" w:hAnsi="Times New Roman"/>
          <w:sz w:val="20"/>
        </w:rPr>
      </w:pPr>
      <w:r>
        <w:rPr>
          <w:rFonts w:ascii="Times New Roman" w:hAnsi="Times New Roman"/>
          <w:b/>
          <w:color w:val="000000"/>
          <w:sz w:val="24"/>
          <w:u w:val="single"/>
        </w:rPr>
        <w:t>APPENDIX A</w:t>
      </w:r>
      <w:r>
        <w:rPr>
          <w:rFonts w:ascii="Times New Roman" w:hAnsi="Times New Roman"/>
          <w:color w:val="000000"/>
          <w:sz w:val="20"/>
        </w:rPr>
        <w:t xml:space="preserve">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ORIGINAL MATERIALS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B</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CONSENT TO SUBSTITUTION OF PARTY</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131313"/>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C</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MATERIAL TRANSFER AGREEMENT</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color w:val="131313"/>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AMENDMENT NO. 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to the</w:t>
      </w:r>
    </w:p>
    <w:p>
      <w:pPr>
        <w:pStyle w:val="TextBody"/>
        <w:bidi w:val="0"/>
        <w:jc w:val="center"/>
        <w:rPr>
          <w:rFonts w:ascii="Times New Roman" w:hAnsi="Times New Roman"/>
          <w:b/>
          <w:color w:val="000000"/>
          <w:sz w:val="24"/>
        </w:rPr>
      </w:pPr>
      <w:r>
        <w:rPr>
          <w:rFonts w:ascii="Times New Roman" w:hAnsi="Times New Roman"/>
          <w:b/>
          <w:color w:val="000000"/>
          <w:sz w:val="24"/>
        </w:rPr>
        <w:t>Exclusive License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August 10, 2007</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THE REGENTS OF THE UNIVERSITY OF CALIFORNIA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INTELLIIKINE INC.</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Effective March 13, 2009, THE REGENTS OF THE UNIVERSITY OF</w:t>
        <w:br/>
        <w:t>CALIFORNIA (“The Regents”), a California corporation having its statewide</w:t>
        <w:br/>
        <w:t>administrative offices at 1111 Franklin Street, Oakland, California, 94607-5200, and</w:t>
        <w:br/>
        <w:t>acting through its Office of Technology Management, University of California San</w:t>
        <w:br/>
        <w:t>Francisco, 185 Berry Street Suite 4603, San Francisco, CA 94107, (“UCSF”), and</w:t>
        <w:br/>
        <w:t>Intellikine, Inc., a Delaware corporation having a principal place of business at 10931</w:t>
        <w:br/>
        <w:t>North Torrey Pines Road, Suite 103, La Jolla, CA 92037 ("Licensee"), agree as follows: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(hereinafter collectively referred to as the “Parties”)</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 BACKGROUND</w:t>
      </w:r>
    </w:p>
    <w:p>
      <w:pPr>
        <w:pStyle w:val="TextBody"/>
        <w:pBdr/>
        <w:bidi w:val="0"/>
        <w:spacing w:before="0" w:after="240"/>
        <w:ind w:left="0" w:right="0" w:hanging="720"/>
        <w:jc w:val="left"/>
        <w:rPr>
          <w:rFonts w:ascii="Times New Roman" w:hAnsi="Times New Roman"/>
          <w:color w:val="000000"/>
          <w:sz w:val="24"/>
        </w:rPr>
      </w:pPr>
      <w:r>
        <w:rPr>
          <w:rFonts w:ascii="Times New Roman" w:hAnsi="Times New Roman"/>
          <w:color w:val="000000"/>
          <w:sz w:val="24"/>
        </w:rPr>
        <w:t>A.1 The Regents and Licensee entered into an Exclusive License Agreement dated</w:t>
        <w:br/>
        <w:t>August 10, 2007 (hereinafter the “Original Agreement”) covering [***].</w:t>
      </w:r>
    </w:p>
    <w:p>
      <w:pPr>
        <w:pStyle w:val="TextBody"/>
        <w:pBdr/>
        <w:bidi w:val="0"/>
        <w:spacing w:before="0" w:after="240"/>
        <w:ind w:left="0" w:right="0" w:hanging="720"/>
        <w:jc w:val="left"/>
        <w:rPr>
          <w:rFonts w:ascii="Times New Roman" w:hAnsi="Times New Roman"/>
          <w:color w:val="000000"/>
          <w:sz w:val="24"/>
        </w:rPr>
      </w:pPr>
      <w:r>
        <w:rPr>
          <w:rFonts w:ascii="Times New Roman" w:hAnsi="Times New Roman"/>
          <w:color w:val="000000"/>
          <w:sz w:val="24"/>
        </w:rPr>
        <w:t>A.2 The Regents and Licensee wish to amend the Original Agreement for the purpose</w:t>
        <w:br/>
        <w:t>of licensing the rights covered in [***] to Intellikine, under the terms of the</w:t>
        <w:br/>
        <w:t>Original Agreement.</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B. AMENDMENT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Original Agreement is hereby amended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B.1 Paragraph A in Background should be deleted and replaced with:</w:t>
      </w:r>
    </w:p>
    <w:p>
      <w:pPr>
        <w:pStyle w:val="TextBody"/>
        <w:bidi w:val="0"/>
        <w:spacing w:before="0" w:after="240"/>
        <w:ind w:left="720" w:right="0" w:firstLine="720"/>
        <w:jc w:val="left"/>
        <w:rPr/>
      </w:pPr>
      <w:r>
        <w:rPr>
          <w:color w:val="000000"/>
        </w:rPr>
        <w:t>“</w:t>
      </w:r>
      <w:r>
        <w:rPr>
          <w:rFonts w:ascii="Times New Roman" w:hAnsi="Times New Roman"/>
          <w:color w:val="000000"/>
          <w:sz w:val="24"/>
        </w:rPr>
        <w:t>A. Certain</w:t>
      </w:r>
      <w:r>
        <w:rPr>
          <w:rFonts w:ascii="Times New Roman" w:hAnsi="Times New Roman"/>
          <w:color w:val="000000"/>
          <w:sz w:val="20"/>
        </w:rPr>
        <w:t xml:space="preserve"> </w:t>
      </w:r>
      <w:r>
        <w:rPr>
          <w:rFonts w:ascii="Times New Roman" w:hAnsi="Times New Roman"/>
          <w:color w:val="000000"/>
          <w:sz w:val="24"/>
        </w:rPr>
        <w:t>inventions, generally characterized as [***]</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 (collectively, the “Invention”) were made in the course of research at UCSF,</w:t>
        <w:br/>
        <w:t>by [***], all employees of UCSF, [***], an employee of the Howard Hughes Medical Institute</w:t>
        <w:br/>
        <w:t>( “HHMI”) and a member of the faculty of UCSF, and [***], all employees of [***], (collectively, the “Inventors”) and are claimed in the Patent Rights as defined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B.2 A new Paragraph N should be added to Background as follows:</w:t>
      </w:r>
    </w:p>
    <w:p>
      <w:pPr>
        <w:pStyle w:val="TextBody"/>
        <w:bidi w:val="0"/>
        <w:jc w:val="left"/>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spacing w:before="0" w:after="240"/>
        <w:ind w:left="720" w:right="0" w:firstLine="720"/>
        <w:jc w:val="left"/>
        <w:rPr>
          <w:color w:val="000000"/>
        </w:rPr>
      </w:pPr>
      <w:r>
        <w:rPr>
          <w:color w:val="000000"/>
        </w:rPr>
        <w:t>“</w:t>
      </w:r>
      <w:r>
        <w:rPr>
          <w:rFonts w:ascii="Times New Roman" w:hAnsi="Times New Roman"/>
          <w:color w:val="000000"/>
          <w:sz w:val="24"/>
        </w:rPr>
        <w:t>N. [***] assigned its rights in UC Case No. [***] to The Regents, and accordingly, The Regents has the authority to license [***] interest as well as The Regents’ interest in the UC Case No. [***] to Licensee.”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B.3 Paragraph 1.23 (“[***] Licensed Product”) should be deleted and replaced by:</w:t>
      </w:r>
    </w:p>
    <w:p>
      <w:pPr>
        <w:pStyle w:val="TextBody"/>
        <w:bidi w:val="0"/>
        <w:spacing w:before="0" w:after="240"/>
        <w:ind w:left="720" w:right="0" w:firstLine="720"/>
        <w:jc w:val="left"/>
        <w:rPr/>
      </w:pPr>
      <w:r>
        <w:rPr>
          <w:color w:val="000000"/>
        </w:rPr>
        <w:t>“</w:t>
      </w:r>
      <w:r>
        <w:rPr>
          <w:rFonts w:ascii="Times New Roman" w:hAnsi="Times New Roman"/>
          <w:color w:val="000000"/>
          <w:sz w:val="24"/>
        </w:rPr>
        <w:t xml:space="preserve">1.23 </w:t>
      </w:r>
      <w:r>
        <w:rPr>
          <w:rFonts w:ascii="Times New Roman" w:hAnsi="Times New Roman"/>
          <w:color w:val="000000"/>
          <w:sz w:val="20"/>
          <w:u w:val="single"/>
        </w:rPr>
        <w:t>“</w:t>
      </w:r>
      <w:r>
        <w:rPr>
          <w:rFonts w:ascii="Times New Roman" w:hAnsi="Times New Roman"/>
          <w:color w:val="000000"/>
          <w:sz w:val="24"/>
          <w:u w:val="single"/>
        </w:rPr>
        <w:t>[***] Licensed Product”</w:t>
      </w:r>
      <w:r>
        <w:rPr>
          <w:rFonts w:ascii="Times New Roman" w:hAnsi="Times New Roman"/>
          <w:color w:val="000000"/>
          <w:sz w:val="20"/>
        </w:rPr>
        <w:t xml:space="preserve"> </w:t>
      </w:r>
      <w:r>
        <w:rPr>
          <w:rFonts w:ascii="Times New Roman" w:hAnsi="Times New Roman"/>
          <w:color w:val="000000"/>
          <w:sz w:val="24"/>
        </w:rPr>
        <w:t>means a Licensed Product covered by a</w:t>
        <w:br/>
        <w:t>Valid Claim in any of the Patent Rights that claim priority to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B.4 Paragraph 1.24 </w:t>
      </w:r>
      <w:r>
        <w:rPr>
          <w:rFonts w:ascii="Times New Roman" w:hAnsi="Times New Roman"/>
          <w:color w:val="000000"/>
          <w:sz w:val="24"/>
          <w:u w:val="single"/>
        </w:rPr>
        <w:t>(“[***] Licensed Product”)</w:t>
      </w:r>
      <w:r>
        <w:rPr>
          <w:rFonts w:ascii="Times New Roman" w:hAnsi="Times New Roman"/>
          <w:color w:val="000000"/>
          <w:sz w:val="20"/>
        </w:rPr>
        <w:t xml:space="preserve"> </w:t>
      </w:r>
      <w:r>
        <w:rPr>
          <w:rFonts w:ascii="Times New Roman" w:hAnsi="Times New Roman"/>
          <w:color w:val="000000"/>
          <w:sz w:val="24"/>
        </w:rPr>
        <w:t>should be deleted and replaced by:</w:t>
      </w:r>
    </w:p>
    <w:p>
      <w:pPr>
        <w:pStyle w:val="TextBody"/>
        <w:bidi w:val="0"/>
        <w:spacing w:before="0" w:after="240"/>
        <w:ind w:left="720" w:right="0" w:firstLine="720"/>
        <w:jc w:val="left"/>
        <w:rPr/>
      </w:pPr>
      <w:r>
        <w:rPr>
          <w:color w:val="000000"/>
        </w:rPr>
        <w:t>“</w:t>
      </w:r>
      <w:r>
        <w:rPr>
          <w:rFonts w:ascii="Times New Roman" w:hAnsi="Times New Roman"/>
          <w:color w:val="000000"/>
          <w:sz w:val="24"/>
        </w:rPr>
        <w:t xml:space="preserve">l.24 </w:t>
      </w:r>
      <w:r>
        <w:rPr>
          <w:rFonts w:ascii="Times New Roman" w:hAnsi="Times New Roman"/>
          <w:color w:val="000000"/>
          <w:sz w:val="20"/>
          <w:u w:val="single"/>
        </w:rPr>
        <w:t>“</w:t>
      </w:r>
      <w:r>
        <w:rPr>
          <w:rFonts w:ascii="Times New Roman" w:hAnsi="Times New Roman"/>
          <w:color w:val="000000"/>
          <w:sz w:val="24"/>
          <w:u w:val="single"/>
        </w:rPr>
        <w:t>[***] Licensed Product”</w:t>
      </w:r>
      <w:r>
        <w:rPr>
          <w:rFonts w:ascii="Times New Roman" w:hAnsi="Times New Roman"/>
          <w:color w:val="000000"/>
          <w:sz w:val="20"/>
        </w:rPr>
        <w:t xml:space="preserve"> </w:t>
      </w:r>
      <w:r>
        <w:rPr>
          <w:rFonts w:ascii="Times New Roman" w:hAnsi="Times New Roman"/>
          <w:color w:val="000000"/>
          <w:sz w:val="24"/>
        </w:rPr>
        <w:t>means a Licensed Product covered by</w:t>
        <w:br/>
        <w:t>a Valid Claim in any of the Patent Rights that claim priority to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B.5 The table in Paragraph 1.33 </w:t>
      </w:r>
      <w:r>
        <w:rPr>
          <w:rFonts w:ascii="Times New Roman" w:hAnsi="Times New Roman"/>
          <w:color w:val="000000"/>
          <w:sz w:val="24"/>
          <w:u w:val="single"/>
        </w:rPr>
        <w:t>(“Patent Rights”)</w:t>
      </w:r>
      <w:r>
        <w:rPr>
          <w:rFonts w:ascii="Times New Roman" w:hAnsi="Times New Roman"/>
          <w:color w:val="000000"/>
          <w:sz w:val="20"/>
        </w:rPr>
        <w:t xml:space="preserve"> </w:t>
      </w:r>
      <w:r>
        <w:rPr>
          <w:rFonts w:ascii="Times New Roman" w:hAnsi="Times New Roman"/>
          <w:color w:val="000000"/>
          <w:sz w:val="24"/>
        </w:rPr>
        <w:t>should be deleted and replaced with the</w:t>
        <w:br/>
        <w:t>following table: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B.6 Sub-paragraph 24.l.4(a) </w:t>
      </w:r>
      <w:r>
        <w:rPr>
          <w:rFonts w:ascii="Times New Roman" w:hAnsi="Times New Roman"/>
          <w:color w:val="000000"/>
          <w:sz w:val="24"/>
          <w:u w:val="single"/>
        </w:rPr>
        <w:t>(“Notices”)</w:t>
      </w:r>
      <w:r>
        <w:rPr>
          <w:rFonts w:ascii="Times New Roman" w:hAnsi="Times New Roman"/>
          <w:color w:val="000000"/>
          <w:sz w:val="20"/>
        </w:rPr>
        <w:t xml:space="preserve"> </w:t>
      </w:r>
      <w:r>
        <w:rPr>
          <w:rFonts w:ascii="Times New Roman" w:hAnsi="Times New Roman"/>
          <w:color w:val="000000"/>
          <w:sz w:val="24"/>
        </w:rPr>
        <w:t>should be deleted and replaced by:</w:t>
      </w:r>
    </w:p>
    <w:p>
      <w:pPr>
        <w:pStyle w:val="TextBody"/>
        <w:bidi w:val="0"/>
        <w:spacing w:before="0" w:after="240"/>
        <w:jc w:val="left"/>
        <w:rPr>
          <w:color w:val="000000"/>
        </w:rPr>
      </w:pPr>
      <w:r>
        <w:rPr>
          <w:color w:val="000000"/>
        </w:rPr>
        <w:t>“</w:t>
      </w:r>
      <w:r>
        <w:rPr>
          <w:rFonts w:ascii="Times New Roman" w:hAnsi="Times New Roman"/>
          <w:color w:val="000000"/>
          <w:sz w:val="24"/>
        </w:rPr>
        <w:t>(a) In the case of Licensee:</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Intellikine, Inc.</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l0931 North Torrey Pines Road</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Suite 103</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La Jolla, CA 92037</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Facsimile: (858) 558-5988</w:t>
      </w:r>
    </w:p>
    <w:p>
      <w:pPr>
        <w:pStyle w:val="TextBody"/>
        <w:bidi w:val="0"/>
        <w:spacing w:before="0" w:after="240"/>
        <w:ind w:left="3600" w:right="0" w:hanging="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B.7 Sub-paragraph 24.1.4 (b) </w:t>
      </w:r>
      <w:r>
        <w:rPr>
          <w:rFonts w:ascii="Times New Roman" w:hAnsi="Times New Roman"/>
          <w:color w:val="000000"/>
          <w:sz w:val="24"/>
          <w:u w:val="single"/>
        </w:rPr>
        <w:t>(“Notices”)</w:t>
      </w:r>
      <w:r>
        <w:rPr>
          <w:rFonts w:ascii="Times New Roman" w:hAnsi="Times New Roman"/>
          <w:color w:val="000000"/>
          <w:sz w:val="20"/>
        </w:rPr>
        <w:t xml:space="preserve"> </w:t>
      </w:r>
      <w:r>
        <w:rPr>
          <w:rFonts w:ascii="Times New Roman" w:hAnsi="Times New Roman"/>
          <w:color w:val="000000"/>
          <w:sz w:val="24"/>
        </w:rPr>
        <w:t>should be deleted and replaced by:</w:t>
      </w:r>
    </w:p>
    <w:p>
      <w:pPr>
        <w:pStyle w:val="TextBody"/>
        <w:bidi w:val="0"/>
        <w:ind w:left="0" w:right="0" w:firstLine="720"/>
        <w:jc w:val="left"/>
        <w:rPr>
          <w:color w:val="000000"/>
        </w:rPr>
      </w:pPr>
      <w:r>
        <w:rPr>
          <w:color w:val="000000"/>
        </w:rPr>
        <w:t>“</w:t>
      </w:r>
      <w:r>
        <w:rPr>
          <w:rFonts w:ascii="Times New Roman" w:hAnsi="Times New Roman"/>
          <w:color w:val="000000"/>
          <w:sz w:val="24"/>
        </w:rPr>
        <w:t>(b) In the case of The Regents, in each case referring to UC Case Nos. [***], as relevant:</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The Regents of the University of California</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Office of Technology Management</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Attention: [***]</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185 Berry Street, Suite 4603</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San Francisco, California 94107"</w:t>
      </w:r>
    </w:p>
    <w:p>
      <w:pPr>
        <w:pStyle w:val="TextBody"/>
        <w:bidi w:val="0"/>
        <w:jc w:val="left"/>
        <w:rPr>
          <w:rFonts w:ascii="Times New Roman" w:hAnsi="Times New Roman"/>
          <w:color w:val="000000"/>
          <w:sz w:val="24"/>
        </w:rPr>
      </w:pPr>
      <w:r>
        <w:rPr>
          <w:rFonts w:ascii="Times New Roman" w:hAnsi="Times New Roman"/>
          <w:color w:val="000000"/>
          <w:sz w:val="24"/>
        </w:rPr>
        <w:t>B.8 Paragraph 24.2 ( “Payments”) should be deleted and replaced by:</w:t>
      </w:r>
    </w:p>
    <w:p>
      <w:pPr>
        <w:pStyle w:val="TextBody"/>
        <w:bidi w:val="0"/>
        <w:spacing w:before="0" w:after="240"/>
        <w:ind w:left="0" w:right="0" w:firstLine="720"/>
        <w:jc w:val="left"/>
        <w:rPr>
          <w:color w:val="000000"/>
        </w:rPr>
      </w:pPr>
      <w:r>
        <w:rPr>
          <w:color w:val="000000"/>
        </w:rPr>
        <w:t>“</w:t>
      </w:r>
      <w:r>
        <w:rPr>
          <w:rFonts w:ascii="Times New Roman" w:hAnsi="Times New Roman"/>
          <w:color w:val="000000"/>
          <w:sz w:val="24"/>
        </w:rPr>
        <w:t>Payments to The Regents due under this Agreement must be directed to the</w:t>
        <w:br/>
        <w:t>following address, in each case referring to UC Case Nos. [***], as relevant:</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Office of Technology Transfer</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Attn.: [***]</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University of California</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Office of the President</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1111 Franklin Street, 7th Floor</w:t>
      </w:r>
    </w:p>
    <w:p>
      <w:pPr>
        <w:pStyle w:val="TextBody"/>
        <w:bidi w:val="0"/>
        <w:jc w:val="left"/>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3600" w:right="0" w:hanging="0"/>
        <w:jc w:val="left"/>
        <w:rPr>
          <w:rFonts w:ascii="Times New Roman" w:hAnsi="Times New Roman"/>
          <w:color w:val="000000"/>
          <w:sz w:val="24"/>
        </w:rPr>
      </w:pPr>
      <w:r>
        <w:rPr>
          <w:rFonts w:ascii="Times New Roman" w:hAnsi="Times New Roman"/>
          <w:color w:val="000000"/>
          <w:sz w:val="24"/>
        </w:rPr>
        <w:t>Oakland, CA 94607-5200”</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Amnendment shall be deemed an integral part of the Original Agreement. Except as</w:t>
        <w:br/>
        <w:t>expressly set forth herein, all provisions of the Original Agreement shall remain</w:t>
        <w:br/>
        <w:t>unchanged and in full force and effect. The Parties express herein their mutual intention</w:t>
        <w:br/>
        <w:t>that this Amendment shall constitute a legally binding Amendment to the Original</w:t>
        <w:br/>
        <w:t>Agreement.</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This Amendment shall be construed and interpreted pursuant to the laws stipulated in the</w:t>
        <w:br/>
        <w:t>Original Agreement.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IN WITNESS WHEREOF, the Parties hereto have executed these presents in</w:t>
        <w:br/>
        <w:t>duplicate by their duly authorized officers or representatives as of the dates below:</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INTELLIKINE INC. THE REGENTS OF THE UNIVERSITY</w:t>
        <w:br/>
        <w:t>OF CALIFORNIA</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By: /s/ D. Troy Wilson By: /s/ Joel B. Kirschbaum__</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Name: D. Troy Wilson Name: Joel B. Kirschbaum______</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Title: President and CEO Title: Director, OTM___________</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Date: April 27, 2009 Date: 4/30/09_______________</w:t>
      </w:r>
    </w:p>
    <w:p>
      <w:pPr>
        <w:pStyle w:val="TextBody"/>
        <w:bidi w:val="0"/>
        <w:jc w:val="left"/>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center"/>
        <w:rPr>
          <w:rFonts w:ascii="Times New Roman" w:hAnsi="Times New Roman"/>
          <w:sz w:val="20"/>
        </w:rPr>
      </w:pPr>
      <w:r>
        <w:rPr>
          <w:rFonts w:ascii="Times New Roman" w:hAnsi="Times New Roman"/>
          <w:b/>
          <w:color w:val="000000"/>
          <w:sz w:val="24"/>
        </w:rPr>
        <w:t xml:space="preserve">AMENDMENT NO. 2 </w:t>
        <w:br/>
        <w:br/>
        <w:t>to the</w:t>
        <w:br/>
        <w:br/>
        <w:t>Exclusive License Agreement</w:t>
        <w:br/>
        <w:t>dated August 10, 2007</w:t>
        <w:br/>
        <w:t>and Amended on March 13, 2009</w:t>
        <w:br/>
        <w:br/>
        <w:t>between</w:t>
        <w:br/>
      </w:r>
      <w:r>
        <w:rPr>
          <w:rFonts w:ascii="Times New Roman" w:hAnsi="Times New Roman"/>
          <w:color w:val="000000"/>
          <w:sz w:val="20"/>
        </w:rPr>
        <w:t> </w:t>
      </w:r>
    </w:p>
    <w:p>
      <w:pPr>
        <w:pStyle w:val="TextBody"/>
        <w:bidi w:val="0"/>
        <w:jc w:val="center"/>
        <w:rPr>
          <w:rFonts w:ascii="Times New Roman" w:hAnsi="Times New Roman"/>
          <w:b/>
          <w:color w:val="000000"/>
          <w:sz w:val="24"/>
        </w:rPr>
      </w:pPr>
      <w:r>
        <w:rPr>
          <w:rFonts w:ascii="Times New Roman" w:hAnsi="Times New Roman"/>
          <w:b/>
          <w:color w:val="000000"/>
          <w:sz w:val="24"/>
        </w:rPr>
        <w:t>THE REGENTS OF THE UNIVERSITY OF CALIFORNIA</w:t>
        <w:br/>
        <w:br/>
        <w:t>and</w:t>
        <w:br/>
        <w:br/>
        <w:t>INTELLIKINE INC.</w:t>
      </w:r>
    </w:p>
    <w:p>
      <w:pPr>
        <w:pStyle w:val="TextBody"/>
        <w:bidi w:val="0"/>
        <w:jc w:val="center"/>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Effective July 8, 2009, THE REGENTS OF THE UNIVERSITY OF CALIFORNIA (“The Regents”), a California corporation having its statewide administrative offices at 1111 Franklin Street, Oakland, California, 94607-5200, and acting through its Office of Technology Management, University of California San Francisco, 185 Berry Street Suite 4603, San Francisco, CA 94107, (“UCSF”), and Intellikine, Inc., a Delaware corporation having a principal place of business at 10931 North Torrey Pines Road, Suite 103, La Jolla, CA 92037 (“Licensee”) (hereinafter collectively referred to as the “Parties”), agree as follows:</w:t>
      </w:r>
    </w:p>
    <w:p>
      <w:pPr>
        <w:pStyle w:val="TextBody"/>
        <w:bidi w:val="0"/>
        <w:jc w:val="left"/>
        <w:rPr>
          <w:rFonts w:ascii="Times New Roman" w:hAnsi="Times New Roman"/>
          <w:color w:val="000000"/>
          <w:sz w:val="24"/>
        </w:rPr>
      </w:pPr>
      <w:r>
        <w:rPr>
          <w:rFonts w:ascii="Times New Roman" w:hAnsi="Times New Roman"/>
          <w:color w:val="000000"/>
          <w:sz w:val="24"/>
        </w:rPr>
        <w:t>BACKGROUND</w:t>
      </w:r>
    </w:p>
    <w:p>
      <w:pPr>
        <w:pStyle w:val="TextBody"/>
        <w:bidi w:val="0"/>
        <w:jc w:val="left"/>
        <w:rPr>
          <w:rFonts w:ascii="Times New Roman" w:hAnsi="Times New Roman"/>
          <w:color w:val="000000"/>
          <w:sz w:val="24"/>
        </w:rPr>
      </w:pPr>
      <w:r>
        <w:rPr>
          <w:rFonts w:ascii="Times New Roman" w:hAnsi="Times New Roman"/>
          <w:color w:val="000000"/>
          <w:sz w:val="24"/>
        </w:rPr>
        <w:t>The Regents and Licensee entered into an Exclusive License Agreement dated August 10, 2007 and Amended on March 13, 2009 (hereinafter collectively referred to as the “Original Agreement”) covering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Regents and Licensee wish to amend the Original Agreement for the purpose of licensing the rights covered in [***] to Licensee.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AMENDMENT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Original Agreement is hereby amended as follows: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AMENDMENT ISSUE FEE</w:t>
      </w:r>
    </w:p>
    <w:p>
      <w:pPr>
        <w:pStyle w:val="TextBody"/>
        <w:bidi w:val="0"/>
        <w:jc w:val="left"/>
        <w:rPr>
          <w:rFonts w:ascii="Times New Roman" w:hAnsi="Times New Roman"/>
          <w:color w:val="000000"/>
          <w:sz w:val="24"/>
        </w:rPr>
      </w:pPr>
      <w:r>
        <w:rPr>
          <w:rFonts w:ascii="Times New Roman" w:hAnsi="Times New Roman"/>
          <w:color w:val="000000"/>
          <w:sz w:val="24"/>
        </w:rPr>
        <w:t>Licensee will pay to The Regents an Amendment Issue Fee of [***]. The Amendment Issue Fee is non-refundable, non-cancelable and is not an advance, or otherwise creditable, against any amounts required to be paid by the Licensee under the terms of the Original Agreement.</w:t>
      </w:r>
    </w:p>
    <w:p>
      <w:pPr>
        <w:pStyle w:val="TextBody"/>
        <w:bidi w:val="0"/>
        <w:jc w:val="left"/>
        <w:rPr>
          <w:rFonts w:ascii="Times New Roman" w:hAnsi="Times New Roman"/>
          <w:color w:val="000000"/>
          <w:sz w:val="24"/>
        </w:rPr>
      </w:pPr>
      <w:r>
        <w:rPr>
          <w:rFonts w:ascii="Times New Roman" w:hAnsi="Times New Roman"/>
          <w:color w:val="000000"/>
          <w:sz w:val="24"/>
        </w:rPr>
        <w:t>Paragraph A in Background should be deleted and replaced with:</w:t>
      </w:r>
    </w:p>
    <w:p>
      <w:pPr>
        <w:pStyle w:val="TextBody"/>
        <w:bidi w:val="0"/>
        <w:jc w:val="left"/>
        <w:rPr/>
      </w:pPr>
      <w:r>
        <w:rPr>
          <w:color w:val="000000"/>
        </w:rPr>
        <w:t>“</w:t>
      </w:r>
      <w:r>
        <w:rPr>
          <w:rFonts w:ascii="Times New Roman" w:hAnsi="Times New Roman"/>
          <w:color w:val="000000"/>
          <w:sz w:val="24"/>
        </w:rPr>
        <w:t>A. Certain inventions, generally characterized as “PI3 Kinase Antagonists” (UC Case No. [***]), “Kinase Antagonists” (UC Case No. [***]), [***], (collectively, the “Invention”) were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made in the course of research by employees of UCSF, [***] Howard Hughes Medical Institute (“HHMI”), [***] and/or Intellikine, and are claimed in the Patent Rights as defined below.”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new Paragraph 1.44 is hereby added as follows:</w:t>
      </w:r>
    </w:p>
    <w:p>
      <w:pPr>
        <w:pStyle w:val="TextBody"/>
        <w:bidi w:val="0"/>
        <w:jc w:val="left"/>
        <w:rPr/>
      </w:pPr>
      <w:r>
        <w:rPr/>
        <w:t> </w:t>
      </w:r>
    </w:p>
    <w:p>
      <w:pPr>
        <w:pStyle w:val="TextBody"/>
        <w:bidi w:val="0"/>
        <w:spacing w:before="0" w:after="240"/>
        <w:ind w:left="720" w:right="0" w:firstLine="720"/>
        <w:jc w:val="left"/>
        <w:rPr/>
      </w:pPr>
      <w:r>
        <w:rPr>
          <w:color w:val="000000"/>
        </w:rPr>
        <w:t>“</w:t>
      </w:r>
      <w:r>
        <w:rPr>
          <w:rFonts w:ascii="Times New Roman" w:hAnsi="Times New Roman"/>
          <w:color w:val="000000"/>
          <w:sz w:val="24"/>
        </w:rPr>
        <w:t xml:space="preserve">1.44 </w:t>
      </w:r>
      <w:r>
        <w:rPr>
          <w:rFonts w:ascii="Times New Roman" w:hAnsi="Times New Roman"/>
          <w:color w:val="000000"/>
          <w:sz w:val="20"/>
          <w:u w:val="single"/>
        </w:rPr>
        <w:t>“</w:t>
      </w:r>
      <w:r>
        <w:rPr>
          <w:rFonts w:ascii="Times New Roman" w:hAnsi="Times New Roman"/>
          <w:color w:val="000000"/>
          <w:sz w:val="24"/>
          <w:u w:val="single"/>
        </w:rPr>
        <w:t>[***] Licensed Method”</w:t>
      </w:r>
      <w:r>
        <w:rPr>
          <w:rFonts w:ascii="Times New Roman" w:hAnsi="Times New Roman"/>
          <w:color w:val="000000"/>
          <w:sz w:val="20"/>
        </w:rPr>
        <w:t xml:space="preserve"> </w:t>
      </w:r>
      <w:r>
        <w:rPr>
          <w:rFonts w:ascii="Times New Roman" w:hAnsi="Times New Roman"/>
          <w:color w:val="000000"/>
          <w:sz w:val="24"/>
        </w:rPr>
        <w:t>means a Licensed Method covered by a Valid Claim in any of the Patent Rights that claim priority to [***].”</w:t>
      </w:r>
    </w:p>
    <w:p>
      <w:pPr>
        <w:pStyle w:val="TextBody"/>
        <w:bidi w:val="0"/>
        <w:jc w:val="left"/>
        <w:rPr>
          <w:rFonts w:ascii="Times New Roman" w:hAnsi="Times New Roman"/>
          <w:color w:val="000000"/>
          <w:sz w:val="24"/>
        </w:rPr>
      </w:pPr>
      <w:r>
        <w:rPr>
          <w:rFonts w:ascii="Times New Roman" w:hAnsi="Times New Roman"/>
          <w:color w:val="000000"/>
          <w:sz w:val="24"/>
        </w:rPr>
        <w:t>The table in Paragraph 1.33 (“Patent Rights”) is hereby deleted and replaced with the following table:</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Section 6 (“Annual License Maintenance Fee”) is hereby deleted and replaced by:</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The Licensee will also pay to The Regents a license maintenance fee (the “</w:t>
      </w:r>
      <w:r>
        <w:rPr>
          <w:rFonts w:ascii="Times New Roman" w:hAnsi="Times New Roman"/>
          <w:color w:val="000000"/>
          <w:sz w:val="24"/>
          <w:u w:val="single"/>
        </w:rPr>
        <w:t>Annual License Maintenance Fee</w:t>
      </w:r>
      <w:r>
        <w:rPr>
          <w:rFonts w:ascii="Times New Roman" w:hAnsi="Times New Roman"/>
          <w:color w:val="000000"/>
          <w:sz w:val="20"/>
        </w:rPr>
        <w:t>”</w:t>
      </w:r>
      <w:r>
        <w:rPr>
          <w:rFonts w:ascii="Times New Roman" w:hAnsi="Times New Roman"/>
          <w:color w:val="000000"/>
          <w:sz w:val="24"/>
        </w:rPr>
        <w:t>) of [***] beginning on, and payable within [***], the [***], and twenty-five thousand dollars ($25,000.00) payable within [***] after [***], until such time as the Licensee is Selling or otherwise Exploiting Licensed Products or Licensed Services and is paying Earned Royalties to The Regents. No Annual License Maintenance Fee will be due or payable, other than any such Annual License Maintenance Fee which otherwise then is due and payable as to prior periods and which has not yet been paid by the Licensee to The Regents, from and after the date upon which the first obligation of the Licensee hereunder to pay and Earned Royalties to The Regents has accrued. Amounts paid by the Licensee to The Regents as Annual License Maintenance Fees are non-refundable, non-cancelable, and will not be credited as an advance against, or otherwise creditable against, any other amounts due from the Licensee to The Regents under this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8.2 is hereby deleted and replaced by:</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8.2 The Licensee will also pay to The Regents a Minimum Annual Royalty (the “</w:t>
      </w:r>
      <w:r>
        <w:rPr>
          <w:rFonts w:ascii="Times New Roman" w:hAnsi="Times New Roman"/>
          <w:color w:val="000000"/>
          <w:sz w:val="24"/>
          <w:u w:val="single"/>
        </w:rPr>
        <w:t>Minimum Annual Royalty</w:t>
      </w:r>
      <w:r>
        <w:rPr>
          <w:rFonts w:ascii="Times New Roman" w:hAnsi="Times New Roman"/>
          <w:color w:val="000000"/>
          <w:sz w:val="20"/>
        </w:rPr>
        <w:t>”</w:t>
      </w:r>
      <w:r>
        <w:rPr>
          <w:rFonts w:ascii="Times New Roman" w:hAnsi="Times New Roman"/>
          <w:color w:val="000000"/>
          <w:sz w:val="24"/>
        </w:rPr>
        <w:t>) of twenty-five thousand dollars ($25,000.00) in cash for the life of the Patent Rights during the term hereof, beginning with the year in which the first Sale of the first Licensed Product to be Sold occurs. Such Minimum Annual Royalty will be paid to The Regents [***] and will be credited against the Earned Royalties due for the calendar year in which such payment of the Minimum Annual Royalty was made. The Licensee’s obligation to pay the Minimum Annual Royalty in the first calendar year in which such first Sale occurs will be prorated for the number of months remaining in such calendar year and will be due the next-occurring [***] (along with the Minimum Annual Royalty payment for such next year), to allow for crediting of such prorated year’s Earned Royalties. Licensee’s obligation to pay a Minimum Annual Royalty as defined in this Section 8.2 will cease on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Section 9 (“MILESTONE PAYMENTS”) is hereby deleted and replaced by: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9. MILESTONE PAYMENTS</w:t>
      </w:r>
    </w:p>
    <w:p>
      <w:pPr>
        <w:pStyle w:val="TextBody"/>
        <w:bidi w:val="0"/>
        <w:ind w:left="0" w:right="0" w:firstLine="720"/>
        <w:jc w:val="left"/>
        <w:rPr>
          <w:rFonts w:ascii="Times New Roman" w:hAnsi="Times New Roman"/>
          <w:sz w:val="20"/>
        </w:rPr>
      </w:pPr>
      <w:r>
        <w:rPr>
          <w:rFonts w:ascii="Times New Roman" w:hAnsi="Times New Roman"/>
          <w:color w:val="000000"/>
          <w:sz w:val="24"/>
        </w:rPr>
        <w:t>9.1 With respect to each [***] Licensed Product, [***] Licensed Product, and [***] Licensed Method, the Licensee will pay to The Regents the following amounts for each milestone below achieved by the Licensee or any Affiliate, Joint Venture, or Sublicensee, which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sz w:val="20"/>
        </w:rPr>
      </w:pPr>
      <w:r>
        <w:rPr>
          <w:rFonts w:ascii="Times New Roman" w:hAnsi="Times New Roman"/>
          <w:color w:val="000000"/>
          <w:sz w:val="24"/>
        </w:rPr>
        <w:t>will be non-refundable and which may not be credited against any other amounts owed to The Regents by the Licensee under this Agreement ( each a “</w:t>
      </w:r>
      <w:r>
        <w:rPr>
          <w:rFonts w:ascii="Times New Roman" w:hAnsi="Times New Roman"/>
          <w:color w:val="000000"/>
          <w:sz w:val="24"/>
          <w:u w:val="single"/>
        </w:rPr>
        <w:t>Milestone Payment</w:t>
      </w:r>
      <w:r>
        <w:rPr>
          <w:rFonts w:ascii="Times New Roman" w:hAnsi="Times New Roman"/>
          <w:color w:val="000000"/>
          <w:sz w:val="20"/>
        </w:rPr>
        <w:t>”</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9.1.1 [***];</w:t>
      </w:r>
    </w:p>
    <w:p>
      <w:pPr>
        <w:pStyle w:val="TextBody"/>
        <w:bidi w:val="0"/>
        <w:jc w:val="left"/>
        <w:rPr>
          <w:rFonts w:ascii="Times New Roman" w:hAnsi="Times New Roman"/>
          <w:color w:val="000000"/>
          <w:sz w:val="24"/>
        </w:rPr>
      </w:pPr>
      <w:r>
        <w:rPr>
          <w:rFonts w:ascii="Times New Roman" w:hAnsi="Times New Roman"/>
          <w:color w:val="000000"/>
          <w:sz w:val="24"/>
        </w:rPr>
        <w:t>9.1.2 [***];</w:t>
      </w:r>
    </w:p>
    <w:p>
      <w:pPr>
        <w:pStyle w:val="TextBody"/>
        <w:bidi w:val="0"/>
        <w:jc w:val="left"/>
        <w:rPr>
          <w:rFonts w:ascii="Times New Roman" w:hAnsi="Times New Roman"/>
          <w:color w:val="000000"/>
          <w:sz w:val="24"/>
        </w:rPr>
      </w:pPr>
      <w:r>
        <w:rPr>
          <w:rFonts w:ascii="Times New Roman" w:hAnsi="Times New Roman"/>
          <w:color w:val="000000"/>
          <w:sz w:val="24"/>
        </w:rPr>
        <w:t>9.1.3 [***];</w:t>
      </w:r>
    </w:p>
    <w:p>
      <w:pPr>
        <w:pStyle w:val="TextBody"/>
        <w:bidi w:val="0"/>
        <w:jc w:val="left"/>
        <w:rPr>
          <w:rFonts w:ascii="Times New Roman" w:hAnsi="Times New Roman"/>
          <w:color w:val="000000"/>
          <w:sz w:val="24"/>
        </w:rPr>
      </w:pPr>
      <w:r>
        <w:rPr>
          <w:rFonts w:ascii="Times New Roman" w:hAnsi="Times New Roman"/>
          <w:color w:val="000000"/>
          <w:sz w:val="24"/>
        </w:rPr>
        <w:t>9.1.4 [***];</w:t>
      </w:r>
    </w:p>
    <w:p>
      <w:pPr>
        <w:pStyle w:val="TextBody"/>
        <w:bidi w:val="0"/>
        <w:jc w:val="left"/>
        <w:rPr>
          <w:rFonts w:ascii="Times New Roman" w:hAnsi="Times New Roman"/>
          <w:color w:val="000000"/>
          <w:sz w:val="24"/>
        </w:rPr>
      </w:pPr>
      <w:r>
        <w:rPr>
          <w:rFonts w:ascii="Times New Roman" w:hAnsi="Times New Roman"/>
          <w:color w:val="000000"/>
          <w:sz w:val="24"/>
        </w:rPr>
        <w:t>9.1.5 [***];</w:t>
      </w:r>
    </w:p>
    <w:p>
      <w:pPr>
        <w:pStyle w:val="TextBody"/>
        <w:bidi w:val="0"/>
        <w:jc w:val="left"/>
        <w:rPr>
          <w:rFonts w:ascii="Times New Roman" w:hAnsi="Times New Roman"/>
          <w:color w:val="000000"/>
          <w:sz w:val="24"/>
        </w:rPr>
      </w:pPr>
      <w:r>
        <w:rPr>
          <w:rFonts w:ascii="Times New Roman" w:hAnsi="Times New Roman"/>
          <w:color w:val="000000"/>
          <w:sz w:val="24"/>
        </w:rPr>
        <w:t>9.1.6 [***];</w:t>
      </w:r>
    </w:p>
    <w:p>
      <w:pPr>
        <w:pStyle w:val="TextBody"/>
        <w:bidi w:val="0"/>
        <w:jc w:val="left"/>
        <w:rPr>
          <w:rFonts w:ascii="Times New Roman" w:hAnsi="Times New Roman"/>
          <w:color w:val="000000"/>
          <w:sz w:val="24"/>
        </w:rPr>
      </w:pPr>
      <w:r>
        <w:rPr>
          <w:rFonts w:ascii="Times New Roman" w:hAnsi="Times New Roman"/>
          <w:color w:val="000000"/>
          <w:sz w:val="24"/>
        </w:rPr>
        <w:t>9.1.7 [***];</w:t>
      </w:r>
    </w:p>
    <w:p>
      <w:pPr>
        <w:pStyle w:val="TextBody"/>
        <w:bidi w:val="0"/>
        <w:jc w:val="left"/>
        <w:rPr>
          <w:rFonts w:ascii="Times New Roman" w:hAnsi="Times New Roman"/>
          <w:color w:val="000000"/>
          <w:sz w:val="24"/>
        </w:rPr>
      </w:pPr>
      <w:r>
        <w:rPr>
          <w:rFonts w:ascii="Times New Roman" w:hAnsi="Times New Roman"/>
          <w:color w:val="000000"/>
          <w:sz w:val="24"/>
        </w:rPr>
        <w:t>9.1.8 [***];</w:t>
      </w:r>
    </w:p>
    <w:p>
      <w:pPr>
        <w:pStyle w:val="TextBody"/>
        <w:bidi w:val="0"/>
        <w:jc w:val="left"/>
        <w:rPr>
          <w:rFonts w:ascii="Times New Roman" w:hAnsi="Times New Roman"/>
          <w:color w:val="000000"/>
          <w:sz w:val="24"/>
        </w:rPr>
      </w:pPr>
      <w:r>
        <w:rPr>
          <w:rFonts w:ascii="Times New Roman" w:hAnsi="Times New Roman"/>
          <w:color w:val="000000"/>
          <w:sz w:val="24"/>
        </w:rPr>
        <w:t>9.1.9 [***];</w:t>
      </w:r>
    </w:p>
    <w:p>
      <w:pPr>
        <w:pStyle w:val="TextBody"/>
        <w:bidi w:val="0"/>
        <w:jc w:val="left"/>
        <w:rPr>
          <w:rFonts w:ascii="Times New Roman" w:hAnsi="Times New Roman"/>
          <w:color w:val="000000"/>
          <w:sz w:val="24"/>
        </w:rPr>
      </w:pPr>
      <w:r>
        <w:rPr>
          <w:rFonts w:ascii="Times New Roman" w:hAnsi="Times New Roman"/>
          <w:color w:val="000000"/>
          <w:sz w:val="24"/>
        </w:rPr>
        <w:t>9.1.10 [***];</w:t>
      </w:r>
    </w:p>
    <w:p>
      <w:pPr>
        <w:pStyle w:val="TextBody"/>
        <w:bidi w:val="0"/>
        <w:jc w:val="left"/>
        <w:rPr>
          <w:rFonts w:ascii="Times New Roman" w:hAnsi="Times New Roman"/>
          <w:color w:val="000000"/>
          <w:sz w:val="24"/>
        </w:rPr>
      </w:pPr>
      <w:r>
        <w:rPr>
          <w:rFonts w:ascii="Times New Roman" w:hAnsi="Times New Roman"/>
          <w:color w:val="000000"/>
          <w:sz w:val="24"/>
        </w:rPr>
        <w:t>9.1.11 [***];</w:t>
      </w:r>
    </w:p>
    <w:p>
      <w:pPr>
        <w:pStyle w:val="TextBody"/>
        <w:bidi w:val="0"/>
        <w:jc w:val="left"/>
        <w:rPr>
          <w:rFonts w:ascii="Times New Roman" w:hAnsi="Times New Roman"/>
          <w:color w:val="000000"/>
          <w:sz w:val="24"/>
        </w:rPr>
      </w:pPr>
      <w:r>
        <w:rPr>
          <w:rFonts w:ascii="Times New Roman" w:hAnsi="Times New Roman"/>
          <w:color w:val="000000"/>
          <w:sz w:val="24"/>
        </w:rPr>
        <w:t>9.1.12 [***];</w:t>
      </w:r>
    </w:p>
    <w:p>
      <w:pPr>
        <w:pStyle w:val="TextBody"/>
        <w:bidi w:val="0"/>
        <w:jc w:val="left"/>
        <w:rPr>
          <w:rFonts w:ascii="Times New Roman" w:hAnsi="Times New Roman"/>
          <w:color w:val="000000"/>
          <w:sz w:val="24"/>
        </w:rPr>
      </w:pPr>
      <w:r>
        <w:rPr>
          <w:rFonts w:ascii="Times New Roman" w:hAnsi="Times New Roman"/>
          <w:color w:val="000000"/>
          <w:sz w:val="24"/>
        </w:rPr>
        <w:t>9.1.13 [***];</w:t>
      </w:r>
    </w:p>
    <w:p>
      <w:pPr>
        <w:pStyle w:val="TextBody"/>
        <w:bidi w:val="0"/>
        <w:jc w:val="left"/>
        <w:rPr>
          <w:rFonts w:ascii="Times New Roman" w:hAnsi="Times New Roman"/>
          <w:color w:val="000000"/>
          <w:sz w:val="24"/>
        </w:rPr>
      </w:pPr>
      <w:r>
        <w:rPr>
          <w:rFonts w:ascii="Times New Roman" w:hAnsi="Times New Roman"/>
          <w:color w:val="000000"/>
          <w:sz w:val="24"/>
        </w:rPr>
        <w:t>9.1.14 [***];</w:t>
      </w:r>
    </w:p>
    <w:p>
      <w:pPr>
        <w:pStyle w:val="TextBody"/>
        <w:bidi w:val="0"/>
        <w:jc w:val="left"/>
        <w:rPr>
          <w:rFonts w:ascii="Times New Roman" w:hAnsi="Times New Roman"/>
          <w:color w:val="000000"/>
          <w:sz w:val="24"/>
        </w:rPr>
      </w:pPr>
      <w:r>
        <w:rPr>
          <w:rFonts w:ascii="Times New Roman" w:hAnsi="Times New Roman"/>
          <w:color w:val="000000"/>
          <w:sz w:val="24"/>
        </w:rPr>
        <w:t>9.1.15 [***];</w:t>
      </w:r>
    </w:p>
    <w:p>
      <w:pPr>
        <w:pStyle w:val="TextBody"/>
        <w:bidi w:val="0"/>
        <w:jc w:val="left"/>
        <w:rPr>
          <w:rFonts w:ascii="Times New Roman" w:hAnsi="Times New Roman"/>
          <w:color w:val="000000"/>
          <w:sz w:val="24"/>
        </w:rPr>
      </w:pPr>
      <w:r>
        <w:rPr>
          <w:rFonts w:ascii="Times New Roman" w:hAnsi="Times New Roman"/>
          <w:color w:val="000000"/>
          <w:sz w:val="24"/>
        </w:rPr>
        <w:t>9.1.16 [***];</w:t>
      </w:r>
    </w:p>
    <w:p>
      <w:pPr>
        <w:pStyle w:val="TextBody"/>
        <w:bidi w:val="0"/>
        <w:jc w:val="left"/>
        <w:rPr>
          <w:rFonts w:ascii="Times New Roman" w:hAnsi="Times New Roman"/>
          <w:color w:val="000000"/>
          <w:sz w:val="24"/>
        </w:rPr>
      </w:pPr>
      <w:r>
        <w:rPr>
          <w:rFonts w:ascii="Times New Roman" w:hAnsi="Times New Roman"/>
          <w:color w:val="000000"/>
          <w:sz w:val="24"/>
        </w:rPr>
        <w:t>9.1.17 [***];</w:t>
      </w:r>
    </w:p>
    <w:p>
      <w:pPr>
        <w:pStyle w:val="TextBody"/>
        <w:bidi w:val="0"/>
        <w:jc w:val="left"/>
        <w:rPr>
          <w:rFonts w:ascii="Times New Roman" w:hAnsi="Times New Roman"/>
          <w:color w:val="000000"/>
          <w:sz w:val="24"/>
        </w:rPr>
      </w:pPr>
      <w:r>
        <w:rPr>
          <w:rFonts w:ascii="Times New Roman" w:hAnsi="Times New Roman"/>
          <w:color w:val="000000"/>
          <w:sz w:val="24"/>
        </w:rPr>
        <w:t>9.1.18 [***].</w:t>
      </w:r>
    </w:p>
    <w:p>
      <w:pPr>
        <w:pStyle w:val="TextBody"/>
        <w:bidi w:val="0"/>
        <w:spacing w:before="0" w:after="240"/>
        <w:ind w:left="0" w:right="360" w:firstLine="720"/>
        <w:jc w:val="both"/>
        <w:rPr>
          <w:rFonts w:ascii="Times New Roman" w:hAnsi="Times New Roman"/>
          <w:color w:val="000000"/>
          <w:sz w:val="24"/>
        </w:rPr>
      </w:pPr>
      <w:r>
        <w:rPr>
          <w:rFonts w:ascii="Times New Roman" w:hAnsi="Times New Roman"/>
          <w:color w:val="000000"/>
          <w:sz w:val="24"/>
        </w:rPr>
        <w:t>9.2 Each of the Milestone Payments set forth in Section 9.1 will be payable by the Licensee to The Regents with respect to only the first Licensed Product or Licensed Method to achieve such milestone and regardless of whether the applicable milestone event has been achieved by the Licensee or any Affiliate, Joint Venture, or Sublicensee. All Milestone Payments are due to The Regents within [***].”</w:t>
      </w:r>
    </w:p>
    <w:p>
      <w:pPr>
        <w:pStyle w:val="TextBody"/>
        <w:bidi w:val="0"/>
        <w:jc w:val="left"/>
        <w:rPr>
          <w:rFonts w:ascii="Times New Roman" w:hAnsi="Times New Roman"/>
          <w:color w:val="000000"/>
          <w:sz w:val="24"/>
        </w:rPr>
      </w:pPr>
      <w:r>
        <w:rPr>
          <w:rFonts w:ascii="Times New Roman" w:hAnsi="Times New Roman"/>
          <w:color w:val="000000"/>
          <w:sz w:val="24"/>
        </w:rPr>
        <w:t>A new Paragraph 10.9 is hereby added as follows:</w:t>
      </w:r>
    </w:p>
    <w:p>
      <w:pPr>
        <w:pStyle w:val="TextBody"/>
        <w:bidi w:val="0"/>
        <w:jc w:val="left"/>
        <w:rPr/>
      </w:pPr>
      <w:r>
        <w:rPr/>
        <w:t> </w:t>
      </w:r>
    </w:p>
    <w:p>
      <w:pPr>
        <w:pStyle w:val="TextBody"/>
        <w:bidi w:val="0"/>
        <w:spacing w:before="0" w:after="240"/>
        <w:ind w:left="0" w:right="360" w:firstLine="720"/>
        <w:jc w:val="both"/>
        <w:rPr>
          <w:color w:val="000000"/>
        </w:rPr>
      </w:pPr>
      <w:r>
        <w:rPr>
          <w:color w:val="000000"/>
        </w:rPr>
        <w:t>“</w:t>
      </w:r>
      <w:r>
        <w:rPr>
          <w:rFonts w:ascii="Times New Roman" w:hAnsi="Times New Roman"/>
          <w:color w:val="000000"/>
          <w:sz w:val="24"/>
        </w:rPr>
        <w:t>10.9 The Licensee, upon execution of this Agreement, will engage in efforts that are [***], to develop and/or Sell a product covered by the [***] Licensed Method. In the event that Licensee ceases to develop or Sell the [***] Licensed Products, Licensee and The Regents will meet and amend into this Agreement a mutually agreeable and commercially reasonable development plan, with specific diligence requirements, for the [***] Licensed Method within [***].”</w:t>
      </w:r>
    </w:p>
    <w:p>
      <w:pPr>
        <w:pStyle w:val="TextBody"/>
        <w:bidi w:val="0"/>
        <w:jc w:val="left"/>
        <w:rPr>
          <w:rFonts w:ascii="Times New Roman" w:hAnsi="Times New Roman"/>
          <w:sz w:val="20"/>
        </w:rPr>
      </w:pPr>
      <w:r>
        <w:rPr>
          <w:rFonts w:ascii="Times New Roman" w:hAnsi="Times New Roman"/>
          <w:color w:val="000000"/>
          <w:sz w:val="24"/>
        </w:rPr>
        <w:t>Sub-paragraph 24.1.4(b) (“</w:t>
      </w:r>
      <w:r>
        <w:rPr>
          <w:rFonts w:ascii="Times New Roman" w:hAnsi="Times New Roman"/>
          <w:color w:val="000000"/>
          <w:sz w:val="24"/>
          <w:u w:val="single"/>
        </w:rPr>
        <w:t>Notices</w:t>
      </w:r>
      <w:r>
        <w:rPr>
          <w:rFonts w:ascii="Times New Roman" w:hAnsi="Times New Roman"/>
          <w:color w:val="000000"/>
          <w:sz w:val="20"/>
        </w:rPr>
        <w:t>”</w:t>
      </w:r>
      <w:r>
        <w:rPr>
          <w:rFonts w:ascii="Times New Roman" w:hAnsi="Times New Roman"/>
          <w:color w:val="000000"/>
          <w:sz w:val="24"/>
        </w:rPr>
        <w:t>) is hereby deleted and replaced by:</w:t>
      </w:r>
    </w:p>
    <w:p>
      <w:pPr>
        <w:pStyle w:val="TextBody"/>
        <w:bidi w:val="0"/>
        <w:jc w:val="left"/>
        <w:rPr/>
      </w:pPr>
      <w:r>
        <w:rPr/>
        <w:t> </w:t>
      </w:r>
    </w:p>
    <w:p>
      <w:pPr>
        <w:pStyle w:val="TextBody"/>
        <w:bidi w:val="0"/>
        <w:spacing w:before="0" w:after="240"/>
        <w:ind w:left="0" w:right="360" w:firstLine="720"/>
        <w:jc w:val="both"/>
        <w:rPr>
          <w:color w:val="000000"/>
        </w:rPr>
      </w:pPr>
      <w:r>
        <w:rPr>
          <w:color w:val="000000"/>
        </w:rPr>
        <w:t>“</w:t>
      </w:r>
      <w:r>
        <w:rPr>
          <w:rFonts w:ascii="Times New Roman" w:hAnsi="Times New Roman"/>
          <w:color w:val="000000"/>
          <w:sz w:val="24"/>
        </w:rPr>
        <w:t>(b) In the case of The Regents, in each case referring to UC Case Nos. [***] as relevant:</w:t>
      </w:r>
    </w:p>
    <w:p>
      <w:pPr>
        <w:pStyle w:val="TextBody"/>
        <w:bidi w:val="0"/>
        <w:spacing w:before="0" w:after="360"/>
        <w:ind w:left="4320" w:right="0" w:hanging="0"/>
        <w:jc w:val="left"/>
        <w:rPr>
          <w:rFonts w:ascii="Times New Roman" w:hAnsi="Times New Roman"/>
          <w:color w:val="000000"/>
          <w:sz w:val="24"/>
        </w:rPr>
      </w:pPr>
      <w:r>
        <w:rPr>
          <w:rFonts w:ascii="Times New Roman" w:hAnsi="Times New Roman"/>
          <w:color w:val="000000"/>
          <w:sz w:val="24"/>
        </w:rPr>
        <w:t>The Regents of the University of California</w:t>
        <w:br/>
        <w:t>Office of Technology Management</w:t>
        <w:br/>
        <w:t>Attention: [***]</w:t>
        <w:br/>
        <w:t>185 Berry Street, Suite 4603</w:t>
        <w:br/>
        <w:t>San Francisco, California 94107”</w:t>
      </w:r>
    </w:p>
    <w:p>
      <w:pPr>
        <w:pStyle w:val="TextBody"/>
        <w:bidi w:val="0"/>
        <w:jc w:val="left"/>
        <w:rPr>
          <w:rFonts w:ascii="Times New Roman" w:hAnsi="Times New Roman"/>
          <w:sz w:val="20"/>
        </w:rPr>
      </w:pPr>
      <w:r>
        <w:rPr>
          <w:rFonts w:ascii="Times New Roman" w:hAnsi="Times New Roman"/>
          <w:color w:val="000000"/>
          <w:sz w:val="24"/>
        </w:rPr>
        <w:t>Paragraph 24.2 (“Payments”) is hereby deleted and replaced by: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Payments to The Regents due under this Agreement must be directed to the following address, in each case referring to UC Case Nos. [***] as relevant:</w:t>
      </w:r>
    </w:p>
    <w:p>
      <w:pPr>
        <w:pStyle w:val="TextBody"/>
        <w:bidi w:val="0"/>
        <w:spacing w:before="0" w:after="360"/>
        <w:ind w:left="4320" w:right="0" w:hanging="0"/>
        <w:jc w:val="left"/>
        <w:rPr>
          <w:rFonts w:ascii="Times New Roman" w:hAnsi="Times New Roman"/>
          <w:color w:val="000000"/>
          <w:sz w:val="24"/>
        </w:rPr>
      </w:pPr>
      <w:r>
        <w:rPr>
          <w:rFonts w:ascii="Times New Roman" w:hAnsi="Times New Roman"/>
          <w:color w:val="000000"/>
          <w:sz w:val="24"/>
        </w:rPr>
        <w:t>Office of Technology Transfer</w:t>
        <w:br/>
        <w:t>Attn.: [***]</w:t>
        <w:br/>
        <w:t>University of California</w:t>
        <w:br/>
        <w:t>Office of the President</w:t>
        <w:br/>
        <w:t>1111 Franklin Street, 7th Floor</w:t>
        <w:br/>
        <w:t>Oakland, CA 94607-5200”</w:t>
      </w:r>
    </w:p>
    <w:p>
      <w:pPr>
        <w:pStyle w:val="TextBody"/>
        <w:bidi w:val="0"/>
        <w:jc w:val="both"/>
        <w:rPr>
          <w:rFonts w:ascii="Times New Roman" w:hAnsi="Times New Roman"/>
          <w:color w:val="000000"/>
          <w:sz w:val="24"/>
        </w:rPr>
      </w:pPr>
      <w:r>
        <w:rPr>
          <w:rFonts w:ascii="Times New Roman" w:hAnsi="Times New Roman"/>
          <w:color w:val="000000"/>
          <w:sz w:val="24"/>
        </w:rPr>
        <w:t>This Amendment shall be deemed an integral part of the Original Agreement. Except as expressly set forth herein, all provisions of the Original Agreement shall remain unchanged and in full force and effect. The Parties express herein their mutual intention that this Amendment shall constitute a legally binding Amendment to the Original Agreement.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Amendment shall be construed and interpreted pursuant to the laws stipulated in the Original Agreement.</w:t>
      </w:r>
    </w:p>
    <w:p>
      <w:pPr>
        <w:pStyle w:val="TextBody"/>
        <w:bidi w:val="0"/>
        <w:jc w:val="both"/>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IN WITNESS WHEREOF, the Parties hereto have executed these presents in duplicate by their duly authorized officers or representatives as of the dates below:</w:t>
      </w:r>
    </w:p>
    <w:tbl>
      <w:tblPr>
        <w:tblW w:w="10205" w:type="dxa"/>
        <w:jc w:val="left"/>
        <w:tblInd w:w="0" w:type="dxa"/>
        <w:tblLayout w:type="fixed"/>
        <w:tblCellMar>
          <w:top w:w="28" w:type="dxa"/>
          <w:left w:w="28" w:type="dxa"/>
          <w:bottom w:w="28" w:type="dxa"/>
          <w:right w:w="28" w:type="dxa"/>
        </w:tblCellMar>
      </w:tblPr>
      <w:tblGrid>
        <w:gridCol w:w="4129"/>
        <w:gridCol w:w="6076"/>
      </w:tblGrid>
      <w:tr>
        <w:trPr/>
        <w:tc>
          <w:tcPr>
            <w:tcW w:w="4129"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r>
      <w:tr>
        <w:trPr/>
        <w:tc>
          <w:tcPr>
            <w:tcW w:w="4129" w:type="dxa"/>
            <w:tcBorders/>
            <w:tcMar>
              <w:top w:w="0" w:type="dxa"/>
              <w:left w:w="0" w:type="dxa"/>
              <w:bottom w:w="0" w:type="dxa"/>
              <w:right w:w="0" w:type="dxa"/>
            </w:tcMar>
            <w:vAlign w:val="center"/>
          </w:tcPr>
          <w:p>
            <w:pPr>
              <w:pStyle w:val="TableContents"/>
              <w:bidi w:val="0"/>
              <w:spacing w:before="480" w:after="720"/>
              <w:jc w:val="left"/>
              <w:rPr>
                <w:rFonts w:ascii="Times New Roman" w:hAnsi="Times New Roman"/>
                <w:b/>
                <w:smallCaps/>
                <w:color w:val="000000"/>
                <w:sz w:val="24"/>
              </w:rPr>
            </w:pPr>
            <w:r>
              <w:rPr>
                <w:rFonts w:ascii="Times New Roman" w:hAnsi="Times New Roman"/>
                <w:b/>
                <w:smallCaps/>
                <w:color w:val="000000"/>
                <w:sz w:val="24"/>
              </w:rPr>
              <w:t>INTELLIKINE INC.</w:t>
            </w:r>
          </w:p>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spacing w:before="480" w:after="720"/>
              <w:jc w:val="left"/>
              <w:rPr>
                <w:rFonts w:ascii="Times New Roman" w:hAnsi="Times New Roman"/>
                <w:b/>
                <w:color w:val="000000"/>
                <w:sz w:val="24"/>
              </w:rPr>
            </w:pPr>
            <w:r>
              <w:rPr>
                <w:rFonts w:ascii="Times New Roman" w:hAnsi="Times New Roman"/>
                <w:b/>
                <w:color w:val="000000"/>
                <w:sz w:val="24"/>
              </w:rPr>
              <w:t>THE REGENTS OF THE UNIVERSITY OF CALIFORNIA</w:t>
            </w:r>
          </w:p>
        </w:tc>
      </w:tr>
      <w:tr>
        <w:trPr/>
        <w:tc>
          <w:tcPr>
            <w:tcW w:w="412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xml:space="preserve"> </w:t>
            </w:r>
            <w:r>
              <w:rPr>
                <w:rFonts w:ascii="Times New Roman" w:hAnsi="Times New Roman"/>
                <w:i/>
                <w:color w:val="000000"/>
                <w:sz w:val="24"/>
                <w:u w:val="single"/>
              </w:rPr>
              <w:t>/s/ Paul Resnick</w:t>
            </w:r>
          </w:p>
          <w:p>
            <w:pPr>
              <w:pStyle w:val="TableContents"/>
              <w:bidi w:val="0"/>
              <w:spacing w:before="0" w:after="24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Paul Resnick</w:t>
            </w:r>
          </w:p>
          <w:p>
            <w:pPr>
              <w:pStyle w:val="TableContents"/>
              <w:bidi w:val="0"/>
              <w:spacing w:before="0" w:after="240"/>
              <w:jc w:val="left"/>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Vice President, Business Development</w:t>
            </w:r>
          </w:p>
          <w:p>
            <w:pPr>
              <w:pStyle w:val="TableContents"/>
              <w:bidi w:val="0"/>
              <w:spacing w:before="0" w:after="240"/>
              <w:jc w:val="left"/>
              <w:rPr>
                <w:rFonts w:ascii="Times New Roman" w:hAnsi="Times New Roman"/>
                <w:sz w:val="24"/>
              </w:rPr>
            </w:pPr>
            <w:r>
              <w:rPr>
                <w:rFonts w:ascii="Times New Roman" w:hAnsi="Times New Roman"/>
                <w:color w:val="000000"/>
                <w:sz w:val="24"/>
              </w:rPr>
              <w:t>Date:</w:t>
            </w:r>
            <w:r>
              <w:rPr>
                <w:rFonts w:ascii="Times New Roman" w:hAnsi="Times New Roman"/>
                <w:color w:val="000000"/>
                <w:sz w:val="24"/>
                <w:u w:val="single"/>
              </w:rPr>
              <w:t> July 14, 2009</w:t>
            </w:r>
          </w:p>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xml:space="preserve"> </w:t>
            </w:r>
            <w:r>
              <w:rPr>
                <w:rFonts w:ascii="Times New Roman" w:hAnsi="Times New Roman"/>
                <w:i/>
                <w:color w:val="000000"/>
                <w:sz w:val="24"/>
                <w:u w:val="single"/>
              </w:rPr>
              <w:t>/s/ Joel B. Kirschbaum</w:t>
            </w:r>
          </w:p>
          <w:p>
            <w:pPr>
              <w:pStyle w:val="TableContents"/>
              <w:bidi w:val="0"/>
              <w:spacing w:before="0" w:after="24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Joel B. Kirschbaum</w:t>
            </w:r>
          </w:p>
          <w:p>
            <w:pPr>
              <w:pStyle w:val="TableContents"/>
              <w:bidi w:val="0"/>
              <w:spacing w:before="0" w:after="240"/>
              <w:jc w:val="left"/>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Director, OTM</w:t>
            </w:r>
          </w:p>
          <w:p>
            <w:pPr>
              <w:pStyle w:val="TableContents"/>
              <w:bidi w:val="0"/>
              <w:spacing w:before="0" w:after="240"/>
              <w:jc w:val="left"/>
              <w:rPr>
                <w:rFonts w:ascii="Times New Roman" w:hAnsi="Times New Roman"/>
                <w:sz w:val="24"/>
              </w:rPr>
            </w:pPr>
            <w:r>
              <w:rPr>
                <w:rFonts w:ascii="Times New Roman" w:hAnsi="Times New Roman"/>
                <w:color w:val="000000"/>
                <w:sz w:val="24"/>
              </w:rPr>
              <w:t>Date:</w:t>
            </w:r>
            <w:r>
              <w:rPr>
                <w:rFonts w:ascii="Times New Roman" w:hAnsi="Times New Roman"/>
                <w:color w:val="000000"/>
                <w:sz w:val="24"/>
                <w:u w:val="single"/>
              </w:rPr>
              <w:t> 7/20/09</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center"/>
        <w:rPr/>
      </w:pPr>
      <w:r>
        <w:rPr/>
        <w:t> </w:t>
      </w:r>
    </w:p>
    <w:p>
      <w:pPr>
        <w:pStyle w:val="TextBody"/>
        <w:bidi w:val="0"/>
        <w:ind w:left="0" w:right="0" w:firstLine="720"/>
        <w:jc w:val="center"/>
        <w:rPr/>
      </w:pPr>
      <w:r>
        <w:rPr/>
        <w:t> </w:t>
      </w:r>
    </w:p>
    <w:p>
      <w:pPr>
        <w:pStyle w:val="TextBody"/>
        <w:bidi w:val="0"/>
        <w:ind w:left="0" w:right="0" w:firstLine="720"/>
        <w:jc w:val="center"/>
        <w:rPr>
          <w:rFonts w:ascii="Times New Roman" w:hAnsi="Times New Roman"/>
          <w:b/>
          <w:color w:val="000000"/>
          <w:sz w:val="24"/>
        </w:rPr>
      </w:pPr>
      <w:r>
        <w:rPr>
          <w:rFonts w:ascii="Times New Roman" w:hAnsi="Times New Roman"/>
          <w:b/>
          <w:color w:val="000000"/>
          <w:sz w:val="24"/>
        </w:rPr>
        <w:t>AMENDMENT NO. 3</w:t>
      </w:r>
    </w:p>
    <w:p>
      <w:pPr>
        <w:pStyle w:val="TextBody"/>
        <w:bidi w:val="0"/>
        <w:ind w:left="0" w:right="0" w:firstLine="720"/>
        <w:jc w:val="center"/>
        <w:rPr>
          <w:rFonts w:ascii="Times New Roman" w:hAnsi="Times New Roman"/>
          <w:b/>
          <w:color w:val="000000"/>
          <w:sz w:val="24"/>
        </w:rPr>
      </w:pPr>
      <w:r>
        <w:rPr>
          <w:rFonts w:ascii="Times New Roman" w:hAnsi="Times New Roman"/>
          <w:b/>
          <w:color w:val="000000"/>
          <w:sz w:val="24"/>
        </w:rPr>
        <w:t>to the</w:t>
      </w:r>
    </w:p>
    <w:p>
      <w:pPr>
        <w:pStyle w:val="TextBody"/>
        <w:bidi w:val="0"/>
        <w:ind w:left="0" w:right="0" w:firstLine="720"/>
        <w:jc w:val="center"/>
        <w:rPr>
          <w:rFonts w:ascii="Times New Roman" w:hAnsi="Times New Roman"/>
          <w:b/>
          <w:color w:val="000000"/>
          <w:sz w:val="24"/>
        </w:rPr>
      </w:pPr>
      <w:r>
        <w:rPr>
          <w:rFonts w:ascii="Times New Roman" w:hAnsi="Times New Roman"/>
          <w:b/>
          <w:color w:val="000000"/>
          <w:sz w:val="24"/>
        </w:rPr>
        <w:t>Exclusive License Agreement</w:t>
      </w:r>
    </w:p>
    <w:p>
      <w:pPr>
        <w:pStyle w:val="TextBody"/>
        <w:bidi w:val="0"/>
        <w:ind w:left="0" w:right="0" w:firstLine="720"/>
        <w:jc w:val="center"/>
        <w:rPr>
          <w:rFonts w:ascii="Times New Roman" w:hAnsi="Times New Roman"/>
          <w:b/>
          <w:color w:val="000000"/>
          <w:sz w:val="24"/>
        </w:rPr>
      </w:pPr>
      <w:r>
        <w:rPr>
          <w:rFonts w:ascii="Times New Roman" w:hAnsi="Times New Roman"/>
          <w:b/>
          <w:color w:val="000000"/>
          <w:sz w:val="24"/>
        </w:rPr>
        <w:t>dated August 10, 2007</w:t>
      </w:r>
    </w:p>
    <w:p>
      <w:pPr>
        <w:pStyle w:val="TextBody"/>
        <w:bidi w:val="0"/>
        <w:ind w:left="0" w:right="0" w:firstLine="720"/>
        <w:jc w:val="center"/>
        <w:rPr>
          <w:rFonts w:ascii="Times New Roman" w:hAnsi="Times New Roman"/>
          <w:b/>
          <w:color w:val="000000"/>
          <w:sz w:val="24"/>
        </w:rPr>
      </w:pPr>
      <w:r>
        <w:rPr>
          <w:rFonts w:ascii="Times New Roman" w:hAnsi="Times New Roman"/>
          <w:b/>
          <w:color w:val="000000"/>
          <w:sz w:val="24"/>
        </w:rPr>
        <w:t>and amended on March 13, 2009 and July 8, 2009</w:t>
      </w:r>
    </w:p>
    <w:p>
      <w:pPr>
        <w:pStyle w:val="TextBody"/>
        <w:bidi w:val="0"/>
        <w:ind w:left="0" w:right="0" w:firstLine="720"/>
        <w:jc w:val="center"/>
        <w:rPr>
          <w:rFonts w:ascii="Times New Roman" w:hAnsi="Times New Roman"/>
          <w:b/>
          <w:color w:val="000000"/>
          <w:sz w:val="24"/>
        </w:rPr>
      </w:pPr>
      <w:r>
        <w:rPr>
          <w:rFonts w:ascii="Times New Roman" w:hAnsi="Times New Roman"/>
          <w:b/>
          <w:color w:val="000000"/>
          <w:sz w:val="24"/>
        </w:rPr>
        <w:t>between</w:t>
      </w:r>
    </w:p>
    <w:p>
      <w:pPr>
        <w:pStyle w:val="TextBody"/>
        <w:bidi w:val="0"/>
        <w:ind w:left="0" w:right="0" w:firstLine="720"/>
        <w:jc w:val="center"/>
        <w:rPr>
          <w:rFonts w:ascii="Times New Roman" w:hAnsi="Times New Roman"/>
          <w:b/>
          <w:color w:val="000000"/>
          <w:sz w:val="24"/>
        </w:rPr>
      </w:pPr>
      <w:r>
        <w:rPr>
          <w:rFonts w:ascii="Times New Roman" w:hAnsi="Times New Roman"/>
          <w:b/>
          <w:color w:val="000000"/>
          <w:sz w:val="24"/>
        </w:rPr>
        <w:t>THE REGENTS OF THE UNIVERSITY OF CALIFORNIA</w:t>
      </w:r>
    </w:p>
    <w:p>
      <w:pPr>
        <w:pStyle w:val="TextBody"/>
        <w:bidi w:val="0"/>
        <w:ind w:left="0" w:right="0" w:firstLine="72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600"/>
        <w:ind w:left="0" w:right="0" w:firstLine="720"/>
        <w:jc w:val="center"/>
        <w:rPr>
          <w:rFonts w:ascii="Times New Roman" w:hAnsi="Times New Roman"/>
          <w:b/>
          <w:color w:val="000000"/>
          <w:sz w:val="24"/>
        </w:rPr>
      </w:pPr>
      <w:r>
        <w:rPr>
          <w:rFonts w:ascii="Times New Roman" w:hAnsi="Times New Roman"/>
          <w:b/>
          <w:color w:val="000000"/>
          <w:sz w:val="24"/>
        </w:rPr>
        <w:t>INTELLIKINE, INC.</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Effective November 30, 2010, THE REGENTS OF THE UNIVERSITY OF CALIFORNIA (“The Regents”), a California corporation having its statewide administrative offices at 1111 Franklin Street, Oakland, California, 94607-5200, and acting through its Office of Technology Management, University of California San Francisco, 185 Berry Street, Suite 4603, San Francisco, CA 94107 (“UCSF”), and Intellikine, Inc., a Delaware corporation having a principal place of business at 10931 North Torrey Pines Road, Suite 103, La Jolla, CA92037 (“Licensee”) (hereinafter collectively referred to as the “Parties”), agree as follows:</w:t>
      </w:r>
    </w:p>
    <w:p>
      <w:pPr>
        <w:pStyle w:val="TextBody"/>
        <w:bidi w:val="0"/>
        <w:ind w:left="0" w:right="0" w:firstLine="720"/>
        <w:jc w:val="left"/>
        <w:rPr>
          <w:rFonts w:ascii="Times New Roman" w:hAnsi="Times New Roman"/>
          <w:sz w:val="20"/>
        </w:rPr>
      </w:pPr>
      <w:r>
        <w:rPr>
          <w:rFonts w:ascii="Times New Roman" w:hAnsi="Times New Roman"/>
          <w:b/>
          <w:color w:val="000000"/>
          <w:sz w:val="24"/>
        </w:rPr>
        <w:t xml:space="preserve">A. </w:t>
      </w:r>
      <w:r>
        <w:rPr>
          <w:rFonts w:ascii="Times New Roman" w:hAnsi="Times New Roman"/>
          <w:b/>
          <w:color w:val="000000"/>
          <w:sz w:val="24"/>
          <w:u w:val="single"/>
        </w:rPr>
        <w:t>BACKGROUND</w:t>
      </w:r>
    </w:p>
    <w:p>
      <w:pPr>
        <w:pStyle w:val="TextBody"/>
        <w:pBdr/>
        <w:bidi w:val="0"/>
        <w:ind w:left="0" w:right="0" w:hanging="720"/>
        <w:jc w:val="left"/>
        <w:rPr>
          <w:rFonts w:ascii="Times New Roman" w:hAnsi="Times New Roman"/>
          <w:color w:val="000000"/>
          <w:sz w:val="24"/>
        </w:rPr>
      </w:pPr>
      <w:r>
        <w:rPr>
          <w:rFonts w:ascii="Times New Roman" w:hAnsi="Times New Roman"/>
          <w:color w:val="000000"/>
          <w:sz w:val="24"/>
        </w:rPr>
        <w:t>A.1 The Regents and Licensee entered into a Exclusive License Agreement dated August 10, 2007 and amended on March 13, 2009 and July 8, 2009 (hereinafter collectively referred to as the “Original Agreement”).</w:t>
      </w:r>
    </w:p>
    <w:p>
      <w:pPr>
        <w:pStyle w:val="TextBody"/>
        <w:pBdr/>
        <w:bidi w:val="0"/>
        <w:ind w:left="0" w:right="0" w:hanging="720"/>
        <w:jc w:val="left"/>
        <w:rPr>
          <w:rFonts w:ascii="Times New Roman" w:hAnsi="Times New Roman"/>
          <w:color w:val="000000"/>
          <w:sz w:val="24"/>
        </w:rPr>
      </w:pPr>
      <w:r>
        <w:rPr>
          <w:rFonts w:ascii="Times New Roman" w:hAnsi="Times New Roman"/>
          <w:color w:val="000000"/>
          <w:sz w:val="24"/>
        </w:rPr>
        <w:t>A-2 To clarify the original intent of the Parties, The Regents and Licensee wish to amend the Original Agreement for the purpose of authorizing the disclosure of certain Proprietary Information to potential Direct Sublicensees.</w:t>
      </w:r>
    </w:p>
    <w:p>
      <w:pPr>
        <w:pStyle w:val="TextBody"/>
        <w:bidi w:val="0"/>
        <w:ind w:left="0" w:right="0" w:firstLine="720"/>
        <w:jc w:val="left"/>
        <w:rPr>
          <w:rFonts w:ascii="Times New Roman" w:hAnsi="Times New Roman"/>
          <w:sz w:val="20"/>
        </w:rPr>
      </w:pPr>
      <w:r>
        <w:rPr>
          <w:rFonts w:ascii="Times New Roman" w:hAnsi="Times New Roman"/>
          <w:b/>
          <w:color w:val="000000"/>
          <w:sz w:val="24"/>
        </w:rPr>
        <w:t xml:space="preserve">B. </w:t>
      </w:r>
      <w:r>
        <w:rPr>
          <w:rFonts w:ascii="Times New Roman" w:hAnsi="Times New Roman"/>
          <w:b/>
          <w:color w:val="000000"/>
          <w:sz w:val="24"/>
          <w:u w:val="single"/>
        </w:rPr>
        <w:t>AMENDMENT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Original Agreement is hereby amended as follows:</w:t>
      </w:r>
    </w:p>
    <w:p>
      <w:pPr>
        <w:pStyle w:val="TextBody"/>
        <w:pBdr/>
        <w:bidi w:val="0"/>
        <w:ind w:left="0" w:right="0" w:hanging="720"/>
        <w:jc w:val="left"/>
        <w:rPr>
          <w:rFonts w:ascii="Times New Roman" w:hAnsi="Times New Roman"/>
          <w:sz w:val="20"/>
        </w:rPr>
      </w:pPr>
      <w:r>
        <w:rPr>
          <w:rFonts w:ascii="Times New Roman" w:hAnsi="Times New Roman"/>
          <w:color w:val="000000"/>
          <w:sz w:val="24"/>
        </w:rPr>
        <w:t>B-1 Section 31.2 is amended to add the following sentences immediately after the first sentence: “The Licensee may disclose Proprietary Information, to potential Direct Sublicensees, provided that such potential Direct Sublicensees are bound by a like duty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720" w:right="0" w:hanging="0"/>
        <w:jc w:val="left"/>
        <w:rPr>
          <w:rFonts w:ascii="Times New Roman" w:hAnsi="Times New Roman"/>
          <w:color w:val="000000"/>
          <w:sz w:val="24"/>
        </w:rPr>
      </w:pPr>
      <w:r>
        <w:rPr>
          <w:rFonts w:ascii="Times New Roman" w:hAnsi="Times New Roman"/>
          <w:color w:val="000000"/>
          <w:sz w:val="24"/>
        </w:rPr>
        <w:t>confidentiality as that found in this Article 31 and Licensee immediately notifies The Regents of such disclosure and the identity of such potential Direct Sublicensees. Potential Direct Sublicensees may only disclose Proprietary Information to those of its employees, agents, consultants and contractors who 1) require such Proprietary Information to assist the potential Direct Sublicensee in its evaluation of the Proprietary Information for the purpose of determining the potential Direct Sublicensee’s interest in becoming a Direct Sublicensee and 2) are bound by a like duty of confidentiality as that found in this Article 31 and 3) may not use the Proprietary Information for any other purpose. Such employees, agents, consultants, and contractors may not disclose Proprietary Information to any third party.”</w:t>
      </w:r>
    </w:p>
    <w:p>
      <w:pPr>
        <w:pStyle w:val="TextBody"/>
        <w:pBdr/>
        <w:bidi w:val="0"/>
        <w:ind w:left="0" w:right="0" w:hanging="720"/>
        <w:jc w:val="left"/>
        <w:rPr>
          <w:rFonts w:ascii="Times New Roman" w:hAnsi="Times New Roman"/>
          <w:color w:val="000000"/>
          <w:sz w:val="24"/>
        </w:rPr>
      </w:pPr>
      <w:r>
        <w:rPr>
          <w:rFonts w:ascii="Times New Roman" w:hAnsi="Times New Roman"/>
          <w:color w:val="000000"/>
          <w:sz w:val="24"/>
        </w:rPr>
        <w:t>B-2 The amendment described in B-1 above shall apply retroactively and be effective as of January 1, 2010.</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This Amendment shall be deemed an integral part of the Original Agreement. Except as expressly set forth herein, all provisions of the Original Agreement shall remain unchanged and in full force and effect. The Parties express herein their mutual intention that this Amendment shall constitute a legally binding Amendment to the Original Agreement. This Amendment shall be construed and interpreted pursuant to the laws stipulated in the Original Agreement.</w:t>
      </w:r>
    </w:p>
    <w:p>
      <w:pPr>
        <w:pStyle w:val="TextBody"/>
        <w:bidi w:val="0"/>
        <w:spacing w:before="720" w:after="283"/>
        <w:ind w:left="0" w:right="0" w:firstLine="720"/>
        <w:jc w:val="left"/>
        <w:rPr>
          <w:rFonts w:ascii="Times New Roman" w:hAnsi="Times New Roman"/>
          <w:color w:val="000000"/>
          <w:sz w:val="24"/>
        </w:rPr>
      </w:pPr>
      <w:r>
        <w:rPr>
          <w:rFonts w:ascii="Times New Roman" w:hAnsi="Times New Roman"/>
          <w:color w:val="000000"/>
          <w:sz w:val="24"/>
        </w:rPr>
        <w:t>IN WITNESS WHEREOF, the Parties hereto, have executed these presents in duplicate by their duly authorized officers or representatives as of the date below:</w:t>
      </w:r>
    </w:p>
    <w:tbl>
      <w:tblPr>
        <w:tblW w:w="10205" w:type="dxa"/>
        <w:jc w:val="left"/>
        <w:tblInd w:w="0" w:type="dxa"/>
        <w:tblLayout w:type="fixed"/>
        <w:tblCellMar>
          <w:top w:w="28" w:type="dxa"/>
          <w:left w:w="28" w:type="dxa"/>
          <w:bottom w:w="28" w:type="dxa"/>
          <w:right w:w="28" w:type="dxa"/>
        </w:tblCellMar>
      </w:tblPr>
      <w:tblGrid>
        <w:gridCol w:w="3416"/>
        <w:gridCol w:w="6789"/>
      </w:tblGrid>
      <w:tr>
        <w:trPr/>
        <w:tc>
          <w:tcPr>
            <w:tcW w:w="3416" w:type="dxa"/>
            <w:tcBorders/>
            <w:vAlign w:val="center"/>
          </w:tcPr>
          <w:p>
            <w:pPr>
              <w:pStyle w:val="TableContents"/>
              <w:bidi w:val="0"/>
              <w:spacing w:before="0" w:after="283"/>
              <w:jc w:val="left"/>
              <w:rPr>
                <w:sz w:val="4"/>
                <w:szCs w:val="4"/>
              </w:rPr>
            </w:pPr>
            <w:r>
              <w:rPr>
                <w:sz w:val="4"/>
                <w:szCs w:val="4"/>
              </w:rPr>
            </w:r>
          </w:p>
        </w:tc>
        <w:tc>
          <w:tcPr>
            <w:tcW w:w="6789" w:type="dxa"/>
            <w:tcBorders/>
            <w:vAlign w:val="center"/>
          </w:tcPr>
          <w:p>
            <w:pPr>
              <w:pStyle w:val="TableContents"/>
              <w:bidi w:val="0"/>
              <w:spacing w:before="0" w:after="283"/>
              <w:jc w:val="left"/>
              <w:rPr>
                <w:sz w:val="4"/>
                <w:szCs w:val="4"/>
              </w:rPr>
            </w:pPr>
            <w:r>
              <w:rPr>
                <w:sz w:val="4"/>
                <w:szCs w:val="4"/>
              </w:rPr>
            </w:r>
          </w:p>
        </w:tc>
      </w:tr>
      <w:tr>
        <w:trPr/>
        <w:tc>
          <w:tcPr>
            <w:tcW w:w="3416" w:type="dxa"/>
            <w:tcBorders/>
            <w:tcMar>
              <w:top w:w="0" w:type="dxa"/>
              <w:left w:w="0" w:type="dxa"/>
              <w:bottom w:w="0" w:type="dxa"/>
              <w:right w:w="0" w:type="dxa"/>
            </w:tcMar>
            <w:vAlign w:val="center"/>
          </w:tcPr>
          <w:p>
            <w:pPr>
              <w:pStyle w:val="TableContents"/>
              <w:bidi w:val="0"/>
              <w:spacing w:before="720" w:after="283"/>
              <w:ind w:left="0" w:right="0" w:firstLine="720"/>
              <w:jc w:val="left"/>
              <w:rPr>
                <w:rFonts w:ascii="Times New Roman" w:hAnsi="Times New Roman"/>
                <w:color w:val="000000"/>
                <w:sz w:val="24"/>
              </w:rPr>
            </w:pPr>
            <w:r>
              <w:rPr>
                <w:rFonts w:ascii="Times New Roman" w:hAnsi="Times New Roman"/>
                <w:color w:val="000000"/>
                <w:sz w:val="24"/>
              </w:rPr>
              <w:t>INTELLIKINE, INC.</w:t>
            </w:r>
          </w:p>
        </w:tc>
        <w:tc>
          <w:tcPr>
            <w:tcW w:w="6789" w:type="dxa"/>
            <w:tcBorders/>
            <w:tcMar>
              <w:top w:w="0" w:type="dxa"/>
              <w:left w:w="0" w:type="dxa"/>
              <w:bottom w:w="0" w:type="dxa"/>
              <w:right w:w="0" w:type="dxa"/>
            </w:tcMar>
            <w:vAlign w:val="center"/>
          </w:tcPr>
          <w:p>
            <w:pPr>
              <w:pStyle w:val="TableContents"/>
              <w:bidi w:val="0"/>
              <w:spacing w:before="720" w:after="283"/>
              <w:ind w:left="0" w:right="0" w:firstLine="720"/>
              <w:jc w:val="left"/>
              <w:rPr>
                <w:rFonts w:ascii="Times New Roman" w:hAnsi="Times New Roman"/>
                <w:color w:val="000000"/>
                <w:sz w:val="24"/>
              </w:rPr>
            </w:pPr>
            <w:r>
              <w:rPr>
                <w:rFonts w:ascii="Times New Roman" w:hAnsi="Times New Roman"/>
                <w:color w:val="000000"/>
                <w:sz w:val="24"/>
              </w:rPr>
              <w:t>THE REGENTS OF THE UNIVERSITY OF CALIFORNIA</w:t>
            </w:r>
          </w:p>
        </w:tc>
      </w:tr>
      <w:tr>
        <w:trPr/>
        <w:tc>
          <w:tcPr>
            <w:tcW w:w="341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w:t>
            </w:r>
            <w:r>
              <w:rPr>
                <w:rFonts w:ascii="Times New Roman" w:hAnsi="Times New Roman"/>
                <w:i/>
                <w:color w:val="000000"/>
                <w:sz w:val="24"/>
                <w:u w:val="single"/>
              </w:rPr>
              <w:t>/s/ Troy Wilson</w:t>
            </w:r>
          </w:p>
        </w:tc>
        <w:tc>
          <w:tcPr>
            <w:tcW w:w="6789"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w:t>
            </w:r>
            <w:r>
              <w:rPr>
                <w:rFonts w:ascii="Times New Roman" w:hAnsi="Times New Roman"/>
                <w:i/>
                <w:color w:val="000000"/>
                <w:sz w:val="24"/>
                <w:u w:val="single"/>
              </w:rPr>
              <w:t>/s/ Joel B. Kirschbaum</w:t>
            </w:r>
          </w:p>
        </w:tc>
      </w:tr>
      <w:tr>
        <w:trPr/>
        <w:tc>
          <w:tcPr>
            <w:tcW w:w="341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Troy Wilson</w:t>
            </w:r>
          </w:p>
        </w:tc>
        <w:tc>
          <w:tcPr>
            <w:tcW w:w="6789"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Joel B. Kirschbaum</w:t>
            </w:r>
          </w:p>
        </w:tc>
      </w:tr>
      <w:tr>
        <w:trPr/>
        <w:tc>
          <w:tcPr>
            <w:tcW w:w="341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President and CEO</w:t>
            </w:r>
          </w:p>
        </w:tc>
        <w:tc>
          <w:tcPr>
            <w:tcW w:w="6789"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Director - OTM</w:t>
            </w:r>
          </w:p>
        </w:tc>
      </w:tr>
      <w:tr>
        <w:trPr/>
        <w:tc>
          <w:tcPr>
            <w:tcW w:w="341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Date:</w:t>
            </w:r>
            <w:r>
              <w:rPr>
                <w:rFonts w:ascii="Times New Roman" w:hAnsi="Times New Roman"/>
                <w:color w:val="000000"/>
                <w:sz w:val="24"/>
                <w:u w:val="single"/>
              </w:rPr>
              <w:t>   November 30, 2010</w:t>
            </w:r>
          </w:p>
        </w:tc>
        <w:tc>
          <w:tcPr>
            <w:tcW w:w="6789"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4"/>
              </w:rPr>
            </w:pPr>
            <w:r>
              <w:rPr>
                <w:rFonts w:ascii="Times New Roman" w:hAnsi="Times New Roman"/>
                <w:color w:val="000000"/>
                <w:sz w:val="24"/>
              </w:rPr>
              <w:t>Date:</w:t>
            </w:r>
            <w:r>
              <w:rPr>
                <w:rFonts w:ascii="Times New Roman" w:hAnsi="Times New Roman"/>
                <w:color w:val="000000"/>
                <w:sz w:val="24"/>
                <w:u w:val="single"/>
              </w:rPr>
              <w:t>   12/7/10</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center"/>
        <w:rPr>
          <w:rFonts w:ascii="Times New Roman" w:hAnsi="Times New Roman"/>
          <w:b/>
          <w:color w:val="000000"/>
          <w:sz w:val="24"/>
        </w:rPr>
      </w:pPr>
      <w:r>
        <w:rPr>
          <w:rFonts w:ascii="Times New Roman" w:hAnsi="Times New Roman"/>
          <w:b/>
          <w:color w:val="000000"/>
          <w:sz w:val="24"/>
        </w:rPr>
        <w:t>AMENDMENT NO. 4</w:t>
      </w:r>
    </w:p>
    <w:p>
      <w:pPr>
        <w:pStyle w:val="TextBody"/>
        <w:bidi w:val="0"/>
        <w:jc w:val="center"/>
        <w:rPr>
          <w:rFonts w:ascii="Times New Roman" w:hAnsi="Times New Roman"/>
          <w:b/>
          <w:color w:val="000000"/>
          <w:sz w:val="24"/>
        </w:rPr>
      </w:pPr>
      <w:r>
        <w:rPr>
          <w:rFonts w:ascii="Times New Roman" w:hAnsi="Times New Roman"/>
          <w:b/>
          <w:color w:val="000000"/>
          <w:sz w:val="24"/>
        </w:rPr>
        <w:t>to the</w:t>
      </w:r>
    </w:p>
    <w:p>
      <w:pPr>
        <w:pStyle w:val="TextBody"/>
        <w:bidi w:val="0"/>
        <w:jc w:val="center"/>
        <w:rPr>
          <w:rFonts w:ascii="Times New Roman" w:hAnsi="Times New Roman"/>
          <w:b/>
          <w:color w:val="000000"/>
          <w:sz w:val="24"/>
        </w:rPr>
      </w:pPr>
      <w:r>
        <w:rPr>
          <w:rFonts w:ascii="Times New Roman" w:hAnsi="Times New Roman"/>
          <w:b/>
          <w:color w:val="000000"/>
          <w:sz w:val="24"/>
        </w:rPr>
        <w:t>Exclusive License Agreement</w:t>
      </w:r>
    </w:p>
    <w:p>
      <w:pPr>
        <w:pStyle w:val="TextBody"/>
        <w:bidi w:val="0"/>
        <w:jc w:val="center"/>
        <w:rPr>
          <w:rFonts w:ascii="Times New Roman" w:hAnsi="Times New Roman"/>
          <w:sz w:val="20"/>
        </w:rPr>
      </w:pPr>
      <w:r>
        <w:rPr>
          <w:rFonts w:ascii="Times New Roman" w:hAnsi="Times New Roman"/>
          <w:b/>
          <w:color w:val="000000"/>
          <w:sz w:val="24"/>
        </w:rPr>
        <w:t>dated August 10, 2007</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and amended on March 13, 2009, July 8, 2009, and November 30, 2010</w:t>
      </w:r>
    </w:p>
    <w:p>
      <w:pPr>
        <w:pStyle w:val="TextBody"/>
        <w:bidi w:val="0"/>
        <w:jc w:val="center"/>
        <w:rPr>
          <w:rFonts w:ascii="Times New Roman" w:hAnsi="Times New Roman"/>
          <w:b/>
          <w:color w:val="000000"/>
          <w:sz w:val="24"/>
        </w:rPr>
      </w:pPr>
      <w:r>
        <w:rPr>
          <w:rFonts w:ascii="Times New Roman" w:hAnsi="Times New Roman"/>
          <w:b/>
          <w:color w:val="000000"/>
          <w:sz w:val="24"/>
        </w:rPr>
        <w:t>between</w:t>
      </w:r>
    </w:p>
    <w:p>
      <w:pPr>
        <w:pStyle w:val="TextBody"/>
        <w:bidi w:val="0"/>
        <w:jc w:val="center"/>
        <w:rPr>
          <w:rFonts w:ascii="Times New Roman" w:hAnsi="Times New Roman"/>
          <w:b/>
          <w:color w:val="000000"/>
          <w:sz w:val="24"/>
        </w:rPr>
      </w:pPr>
      <w:r>
        <w:rPr>
          <w:rFonts w:ascii="Times New Roman" w:hAnsi="Times New Roman"/>
          <w:b/>
          <w:color w:val="000000"/>
          <w:sz w:val="24"/>
        </w:rPr>
        <w:t>THE REGENTS OF THE UNIVERSITY OF CALIFORNIA</w:t>
      </w:r>
    </w:p>
    <w:p>
      <w:pPr>
        <w:pStyle w:val="TextBody"/>
        <w:bidi w:val="0"/>
        <w:jc w:val="center"/>
        <w:rPr>
          <w:rFonts w:ascii="Times New Roman" w:hAnsi="Times New Roman"/>
          <w:b/>
          <w:color w:val="000000"/>
          <w:sz w:val="24"/>
        </w:rPr>
      </w:pPr>
      <w:r>
        <w:rPr>
          <w:rFonts w:ascii="Times New Roman" w:hAnsi="Times New Roman"/>
          <w:b/>
          <w:color w:val="000000"/>
          <w:sz w:val="24"/>
        </w:rPr>
        <w:t>and·</w:t>
      </w:r>
    </w:p>
    <w:p>
      <w:pPr>
        <w:pStyle w:val="TextBody"/>
        <w:bidi w:val="0"/>
        <w:jc w:val="center"/>
        <w:rPr>
          <w:rFonts w:ascii="Times New Roman" w:hAnsi="Times New Roman"/>
          <w:b/>
          <w:color w:val="000000"/>
          <w:sz w:val="24"/>
        </w:rPr>
      </w:pPr>
      <w:r>
        <w:rPr>
          <w:rFonts w:ascii="Times New Roman" w:hAnsi="Times New Roman"/>
          <w:b/>
          <w:color w:val="000000"/>
          <w:sz w:val="24"/>
        </w:rPr>
        <w:t>TAKEDA PHARMACEUTICALS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Effective September 8, 2014, THE REGENTS OF THE UNIVERSITY OF CALIFORNIA (“The Regents”), a California corporation having its statewide administrative offices at 1111 Franklin Street, Oakland, California, 94607-5200, and acting through its Office of Innovation, Technology, and Alliances, University of California San Francisco, 3333 California Street, Suite S-11, San Francisco, CA 94143 (“UCSF”), and MILLENIUM PHARMACEUTICALS INC. (doing business as Takeda Pharmaceuticals International Co. “Takeda”), a Delaware corporation having a principal place of business 40 Landsdowne Street, Cambridge, MA 02139 (“Licensee”) (hereinafter collectively referred to as the “Parties”), agree as follows: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A. </w:t>
      </w:r>
      <w:r>
        <w:rPr>
          <w:rFonts w:ascii="Times New Roman" w:hAnsi="Times New Roman"/>
          <w:b/>
          <w:color w:val="000000"/>
          <w:sz w:val="24"/>
          <w:u w:val="single"/>
        </w:rPr>
        <w:t>BACKGROUND</w:t>
      </w:r>
    </w:p>
    <w:p>
      <w:pPr>
        <w:pStyle w:val="TextBody"/>
        <w:bidi w:val="0"/>
        <w:jc w:val="left"/>
        <w:rPr>
          <w:rFonts w:ascii="Times New Roman" w:hAnsi="Times New Roman"/>
          <w:sz w:val="20"/>
        </w:rPr>
      </w:pPr>
      <w:r>
        <w:rPr>
          <w:rFonts w:ascii="Times New Roman" w:hAnsi="Times New Roman"/>
          <w:b/>
          <w:color w:val="000000"/>
          <w:sz w:val="24"/>
        </w:rPr>
        <w:t>A.1</w:t>
      </w:r>
      <w:r>
        <w:rPr>
          <w:rFonts w:ascii="Times New Roman" w:hAnsi="Times New Roman"/>
          <w:color w:val="000000"/>
          <w:sz w:val="20"/>
        </w:rPr>
        <w:t xml:space="preserve"> </w:t>
      </w:r>
      <w:r>
        <w:rPr>
          <w:rFonts w:ascii="Times New Roman" w:hAnsi="Times New Roman"/>
          <w:color w:val="000000"/>
          <w:sz w:val="24"/>
        </w:rPr>
        <w:t>The Regents and Intellikine, Inc. (“Original Licensee”) entered into an Exclusive License</w:t>
      </w:r>
    </w:p>
    <w:p>
      <w:pPr>
        <w:pStyle w:val="TextBody"/>
        <w:bidi w:val="0"/>
        <w:ind w:left="720" w:right="0" w:hanging="0"/>
        <w:jc w:val="left"/>
        <w:rPr>
          <w:rFonts w:ascii="Times New Roman" w:hAnsi="Times New Roman"/>
          <w:color w:val="000000"/>
          <w:sz w:val="24"/>
        </w:rPr>
      </w:pPr>
      <w:r>
        <w:rPr>
          <w:rFonts w:ascii="Times New Roman" w:hAnsi="Times New Roman"/>
          <w:color w:val="000000"/>
          <w:sz w:val="24"/>
        </w:rPr>
        <w:t>Agreement dated August 10, 2007 and amended on March 13, 2009, July 8, 2009, and November 30, 2010 (hereinafter collectively referred to as the “Original Agreement”).</w:t>
      </w:r>
    </w:p>
    <w:p>
      <w:pPr>
        <w:pStyle w:val="TextBody"/>
        <w:bidi w:val="0"/>
        <w:ind w:left="720" w:right="0" w:hanging="0"/>
        <w:jc w:val="left"/>
        <w:rPr/>
      </w:pPr>
      <w:r>
        <w:rPr/>
        <w:t> </w:t>
      </w:r>
    </w:p>
    <w:p>
      <w:pPr>
        <w:pStyle w:val="TextBody"/>
        <w:pBdr/>
        <w:bidi w:val="0"/>
        <w:ind w:left="0" w:right="0" w:hanging="720"/>
        <w:jc w:val="left"/>
        <w:rPr>
          <w:rFonts w:ascii="Times New Roman" w:hAnsi="Times New Roman"/>
          <w:sz w:val="20"/>
        </w:rPr>
      </w:pPr>
      <w:r>
        <w:rPr>
          <w:rFonts w:ascii="Times New Roman" w:hAnsi="Times New Roman"/>
          <w:b/>
          <w:color w:val="000000"/>
          <w:sz w:val="24"/>
        </w:rPr>
        <w:t>A.2</w:t>
      </w:r>
      <w:r>
        <w:rPr>
          <w:rFonts w:ascii="Times New Roman" w:hAnsi="Times New Roman"/>
          <w:color w:val="000000"/>
          <w:sz w:val="20"/>
        </w:rPr>
        <w:t xml:space="preserve"> </w:t>
      </w:r>
      <w:r>
        <w:rPr>
          <w:rFonts w:ascii="Times New Roman" w:hAnsi="Times New Roman"/>
          <w:color w:val="000000"/>
          <w:sz w:val="24"/>
        </w:rPr>
        <w:t>Takeda has acquired Original Licensee and has executed the Substitution of Parties Agreement per terms of the Original Agreement, as of January 6, 2012. All actions of Licensee under the Original Agreement are henceforth deemed to be actions of Takeda.</w:t>
      </w:r>
    </w:p>
    <w:p>
      <w:pPr>
        <w:pStyle w:val="TextBody"/>
        <w:bidi w:val="0"/>
        <w:jc w:val="left"/>
        <w:rPr/>
      </w:pPr>
      <w:r>
        <w:rPr/>
        <w:t> </w:t>
      </w:r>
    </w:p>
    <w:p>
      <w:pPr>
        <w:pStyle w:val="TextBody"/>
        <w:pBdr/>
        <w:bidi w:val="0"/>
        <w:ind w:left="0" w:right="0" w:hanging="720"/>
        <w:jc w:val="left"/>
        <w:rPr>
          <w:rFonts w:ascii="Times New Roman" w:hAnsi="Times New Roman"/>
          <w:sz w:val="20"/>
        </w:rPr>
      </w:pPr>
      <w:r>
        <w:rPr>
          <w:rFonts w:ascii="Times New Roman" w:hAnsi="Times New Roman"/>
          <w:b/>
          <w:color w:val="000000"/>
          <w:sz w:val="24"/>
        </w:rPr>
        <w:t>A.3</w:t>
      </w:r>
      <w:r>
        <w:rPr>
          <w:rFonts w:ascii="Times New Roman" w:hAnsi="Times New Roman"/>
          <w:color w:val="000000"/>
          <w:sz w:val="20"/>
        </w:rPr>
        <w:t xml:space="preserve"> </w:t>
      </w:r>
      <w:r>
        <w:rPr>
          <w:rFonts w:ascii="Times New Roman" w:hAnsi="Times New Roman"/>
          <w:color w:val="000000"/>
          <w:sz w:val="24"/>
        </w:rPr>
        <w:t>The Parties would like to further amend the Original Agreement to a) clarify certain Licensed Product naming designations, b) extend certain diligence milestones, c) update Use of Name provisions, and d) update the Notices section.</w:t>
      </w:r>
    </w:p>
    <w:p>
      <w:pPr>
        <w:pStyle w:val="TextBody"/>
        <w:bidi w:val="0"/>
        <w:jc w:val="left"/>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B. </w:t>
      </w:r>
      <w:r>
        <w:rPr>
          <w:rFonts w:ascii="Times New Roman" w:hAnsi="Times New Roman"/>
          <w:b/>
          <w:color w:val="000000"/>
          <w:sz w:val="24"/>
          <w:u w:val="single"/>
        </w:rPr>
        <w:t>AMENDMENT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Original Agreement is hereby amended as follows: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B.1 AMENDMENT ISSUE FEE</w:t>
      </w:r>
    </w:p>
    <w:p>
      <w:pPr>
        <w:pStyle w:val="TextBody"/>
        <w:bidi w:val="0"/>
        <w:ind w:left="720" w:right="0" w:hanging="0"/>
        <w:jc w:val="left"/>
        <w:rPr>
          <w:rFonts w:ascii="Times New Roman" w:hAnsi="Times New Roman"/>
          <w:color w:val="000000"/>
          <w:sz w:val="24"/>
        </w:rPr>
      </w:pPr>
      <w:r>
        <w:rPr>
          <w:rFonts w:ascii="Times New Roman" w:hAnsi="Times New Roman"/>
          <w:color w:val="000000"/>
          <w:sz w:val="24"/>
        </w:rPr>
        <w:t>Licensee will pay to The Regents an Amendment Issue Fee of [***]. The</w:t>
      </w:r>
    </w:p>
    <w:p>
      <w:pPr>
        <w:pStyle w:val="TextBody"/>
        <w:bidi w:val="0"/>
        <w:ind w:left="720" w:right="0" w:hanging="0"/>
        <w:jc w:val="left"/>
        <w:rPr>
          <w:rFonts w:ascii="Times New Roman" w:hAnsi="Times New Roman"/>
          <w:color w:val="000000"/>
          <w:sz w:val="24"/>
        </w:rPr>
      </w:pPr>
      <w:r>
        <w:rPr>
          <w:rFonts w:ascii="Times New Roman" w:hAnsi="Times New Roman"/>
          <w:color w:val="000000"/>
          <w:sz w:val="24"/>
        </w:rPr>
        <w:t>Amendment Issue Fee is non-refundable, non-cancelable and is not an advance, or otherwise creditable, against any amounts required to be paid by the Licensee under the terms of the Original Agreement.</w:t>
      </w:r>
    </w:p>
    <w:p>
      <w:pPr>
        <w:pStyle w:val="TextBody"/>
        <w:bidi w:val="0"/>
        <w:ind w:left="720" w:right="0" w:hanging="0"/>
        <w:jc w:val="left"/>
        <w:rPr/>
      </w:pPr>
      <w:r>
        <w:rPr/>
        <w:t> </w:t>
      </w:r>
    </w:p>
    <w:p>
      <w:pPr>
        <w:pStyle w:val="TextBody"/>
        <w:bidi w:val="0"/>
        <w:jc w:val="left"/>
        <w:rPr>
          <w:rFonts w:ascii="Times New Roman" w:hAnsi="Times New Roman"/>
          <w:sz w:val="20"/>
        </w:rPr>
      </w:pPr>
      <w:r>
        <w:rPr>
          <w:rFonts w:ascii="Times New Roman" w:hAnsi="Times New Roman"/>
          <w:b/>
          <w:color w:val="000000"/>
          <w:sz w:val="24"/>
        </w:rPr>
        <w:t>B.2</w:t>
      </w:r>
      <w:r>
        <w:rPr>
          <w:rFonts w:ascii="Times New Roman" w:hAnsi="Times New Roman"/>
          <w:color w:val="000000"/>
          <w:sz w:val="20"/>
        </w:rPr>
        <w:t xml:space="preserve"> </w:t>
      </w:r>
      <w:r>
        <w:rPr>
          <w:rFonts w:ascii="Times New Roman" w:hAnsi="Times New Roman"/>
          <w:color w:val="000000"/>
          <w:sz w:val="24"/>
        </w:rPr>
        <w:t xml:space="preserve">In Paragraph 1.24-definition </w:t>
      </w:r>
      <w:r>
        <w:rPr>
          <w:rFonts w:ascii="Times New Roman" w:hAnsi="Times New Roman"/>
          <w:color w:val="000000"/>
          <w:sz w:val="24"/>
          <w:u w:val="single"/>
        </w:rPr>
        <w:t>of “[***] Licensed Product”</w:t>
      </w:r>
      <w:r>
        <w:rPr>
          <w:rFonts w:ascii="Times New Roman" w:hAnsi="Times New Roman"/>
          <w:color w:val="000000"/>
          <w:sz w:val="20"/>
        </w:rPr>
        <w:t xml:space="preserve"> </w:t>
      </w:r>
      <w:r>
        <w:rPr>
          <w:rFonts w:ascii="Times New Roman" w:hAnsi="Times New Roman"/>
          <w:color w:val="000000"/>
          <w:sz w:val="24"/>
        </w:rPr>
        <w:t>- the title is hereby changed to</w:t>
      </w:r>
    </w:p>
    <w:p>
      <w:pPr>
        <w:pStyle w:val="TextBody"/>
        <w:bidi w:val="0"/>
        <w:ind w:left="720" w:right="0" w:hanging="0"/>
        <w:jc w:val="left"/>
        <w:rPr/>
      </w:pPr>
      <w:r>
        <w:rPr>
          <w:color w:val="000000"/>
          <w:u w:val="single"/>
        </w:rPr>
        <w:t>“</w:t>
      </w:r>
      <w:r>
        <w:rPr>
          <w:rFonts w:ascii="Times New Roman" w:hAnsi="Times New Roman"/>
          <w:color w:val="000000"/>
          <w:sz w:val="24"/>
          <w:u w:val="single"/>
        </w:rPr>
        <w:t>[***] Licensed Product”</w:t>
      </w:r>
      <w:r>
        <w:rPr>
          <w:rFonts w:ascii="Times New Roman" w:hAnsi="Times New Roman"/>
          <w:color w:val="000000"/>
          <w:sz w:val="20"/>
        </w:rPr>
        <w:t xml:space="preserve"> </w:t>
      </w:r>
      <w:r>
        <w:rPr>
          <w:rFonts w:ascii="Times New Roman" w:hAnsi="Times New Roman"/>
          <w:color w:val="000000"/>
          <w:sz w:val="24"/>
        </w:rPr>
        <w:t xml:space="preserve">without altering the definition as specified in the Amendment #1 dated March 13, 2009. Further, the term </w:t>
      </w:r>
      <w:r>
        <w:rPr>
          <w:rFonts w:ascii="Times New Roman" w:hAnsi="Times New Roman"/>
          <w:color w:val="000000"/>
          <w:sz w:val="20"/>
          <w:u w:val="single"/>
        </w:rPr>
        <w:t>“</w:t>
      </w:r>
      <w:r>
        <w:rPr>
          <w:rFonts w:ascii="Times New Roman" w:hAnsi="Times New Roman"/>
          <w:color w:val="000000"/>
          <w:sz w:val="24"/>
          <w:u w:val="single"/>
        </w:rPr>
        <w:t>[***] Licensed Product”,</w:t>
      </w:r>
      <w:r>
        <w:rPr>
          <w:rFonts w:ascii="Times New Roman" w:hAnsi="Times New Roman"/>
          <w:color w:val="000000"/>
          <w:sz w:val="20"/>
        </w:rPr>
        <w:t xml:space="preserve"> </w:t>
      </w:r>
      <w:r>
        <w:rPr>
          <w:rFonts w:ascii="Times New Roman" w:hAnsi="Times New Roman"/>
          <w:color w:val="000000"/>
          <w:sz w:val="24"/>
        </w:rPr>
        <w:t xml:space="preserve">in each occurrence of the Original Agreement, is to be replaced by </w:t>
      </w:r>
      <w:r>
        <w:rPr>
          <w:rFonts w:ascii="Times New Roman" w:hAnsi="Times New Roman"/>
          <w:color w:val="000000"/>
          <w:sz w:val="20"/>
          <w:u w:val="single"/>
        </w:rPr>
        <w:t>“</w:t>
      </w:r>
      <w:r>
        <w:rPr>
          <w:rFonts w:ascii="Times New Roman" w:hAnsi="Times New Roman"/>
          <w:color w:val="000000"/>
          <w:sz w:val="24"/>
          <w:u w:val="single"/>
        </w:rPr>
        <w:t>[***] Licensed Product”.</w:t>
      </w:r>
      <w:r>
        <w:rPr>
          <w:rFonts w:ascii="Times New Roman" w:hAnsi="Times New Roman"/>
          <w:color w:val="000000"/>
          <w:sz w:val="20"/>
        </w:rPr>
        <w:t xml:space="preserve"> </w:t>
      </w:r>
    </w:p>
    <w:p>
      <w:pPr>
        <w:pStyle w:val="TextBody"/>
        <w:bidi w:val="0"/>
        <w:ind w:left="720" w:right="0" w:hanging="0"/>
        <w:jc w:val="left"/>
        <w:rPr/>
      </w:pPr>
      <w:r>
        <w:rPr/>
        <w:t> </w:t>
      </w:r>
    </w:p>
    <w:p>
      <w:pPr>
        <w:pStyle w:val="TextBody"/>
        <w:pBdr/>
        <w:bidi w:val="0"/>
        <w:ind w:left="0" w:right="0" w:hanging="720"/>
        <w:jc w:val="left"/>
        <w:rPr>
          <w:rFonts w:ascii="Times New Roman" w:hAnsi="Times New Roman"/>
          <w:sz w:val="20"/>
        </w:rPr>
      </w:pPr>
      <w:r>
        <w:rPr>
          <w:rFonts w:ascii="Times New Roman" w:hAnsi="Times New Roman"/>
          <w:b/>
          <w:color w:val="000000"/>
          <w:sz w:val="24"/>
        </w:rPr>
        <w:t>B.3</w:t>
      </w:r>
      <w:r>
        <w:rPr>
          <w:rFonts w:ascii="Times New Roman" w:hAnsi="Times New Roman"/>
          <w:color w:val="000000"/>
          <w:sz w:val="20"/>
        </w:rPr>
        <w:t xml:space="preserve"> </w:t>
      </w:r>
      <w:r>
        <w:rPr>
          <w:rFonts w:ascii="Times New Roman" w:hAnsi="Times New Roman"/>
          <w:color w:val="000000"/>
          <w:sz w:val="24"/>
        </w:rPr>
        <w:t xml:space="preserve">In Paragraph 1.23 - definition </w:t>
      </w:r>
      <w:r>
        <w:rPr>
          <w:rFonts w:ascii="Times New Roman" w:hAnsi="Times New Roman"/>
          <w:color w:val="000000"/>
          <w:sz w:val="24"/>
          <w:u w:val="single"/>
        </w:rPr>
        <w:t>of “[***] Licensed Product”</w:t>
      </w:r>
      <w:r>
        <w:rPr>
          <w:rFonts w:ascii="Times New Roman" w:hAnsi="Times New Roman"/>
          <w:color w:val="000000"/>
          <w:sz w:val="20"/>
        </w:rPr>
        <w:t xml:space="preserve"> </w:t>
      </w:r>
      <w:r>
        <w:rPr>
          <w:rFonts w:ascii="Times New Roman" w:hAnsi="Times New Roman"/>
          <w:color w:val="000000"/>
          <w:sz w:val="24"/>
        </w:rPr>
        <w:t>- the following sentence is added to the definition:</w:t>
      </w:r>
    </w:p>
    <w:p>
      <w:pPr>
        <w:pStyle w:val="TextBody"/>
        <w:bidi w:val="0"/>
        <w:ind w:left="720" w:right="0" w:hanging="0"/>
        <w:jc w:val="left"/>
        <w:rPr>
          <w:color w:val="000000"/>
        </w:rPr>
      </w:pPr>
      <w:r>
        <w:rPr>
          <w:color w:val="000000"/>
        </w:rPr>
        <w:t>“</w:t>
      </w:r>
      <w:r>
        <w:rPr>
          <w:rFonts w:ascii="Times New Roman" w:hAnsi="Times New Roman"/>
          <w:color w:val="000000"/>
          <w:sz w:val="24"/>
        </w:rPr>
        <w:t>For clarity, the clinical candidate known as [***] is to be considered solely a</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 Licensed Product under this Agreement.”</w:t>
      </w:r>
    </w:p>
    <w:p>
      <w:pPr>
        <w:pStyle w:val="TextBody"/>
        <w:bidi w:val="0"/>
        <w:jc w:val="left"/>
        <w:rPr>
          <w:rFonts w:ascii="Times New Roman" w:hAnsi="Times New Roman"/>
          <w:sz w:val="20"/>
        </w:rPr>
      </w:pPr>
      <w:r>
        <w:rPr>
          <w:rFonts w:ascii="Times New Roman" w:hAnsi="Times New Roman"/>
          <w:b/>
          <w:color w:val="000000"/>
          <w:sz w:val="24"/>
        </w:rPr>
        <w:t>B.4</w:t>
      </w:r>
      <w:r>
        <w:rPr>
          <w:rFonts w:ascii="Times New Roman" w:hAnsi="Times New Roman"/>
          <w:color w:val="000000"/>
          <w:sz w:val="20"/>
        </w:rPr>
        <w:t xml:space="preserve"> </w:t>
      </w:r>
      <w:r>
        <w:rPr>
          <w:rFonts w:ascii="Times New Roman" w:hAnsi="Times New Roman"/>
          <w:color w:val="000000"/>
          <w:sz w:val="24"/>
        </w:rPr>
        <w:t xml:space="preserve">In Paragraph 10.4 in </w:t>
      </w:r>
      <w:r>
        <w:rPr>
          <w:rFonts w:ascii="Times New Roman" w:hAnsi="Times New Roman"/>
          <w:b/>
          <w:color w:val="000000"/>
          <w:sz w:val="24"/>
        </w:rPr>
        <w:t>Due Diligence</w:t>
      </w:r>
      <w:r>
        <w:rPr>
          <w:rFonts w:ascii="Times New Roman" w:hAnsi="Times New Roman"/>
          <w:color w:val="000000"/>
          <w:sz w:val="24"/>
        </w:rPr>
        <w:t>; the phrase “[***]”, both</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occurrences (at lines 10 and 12), is hereby replaced by “[***]”.</w:t>
      </w:r>
    </w:p>
    <w:p>
      <w:pPr>
        <w:pStyle w:val="TextBody"/>
        <w:bidi w:val="0"/>
        <w:spacing w:before="0" w:after="240"/>
        <w:jc w:val="left"/>
        <w:rPr>
          <w:rFonts w:ascii="Times New Roman" w:hAnsi="Times New Roman"/>
          <w:sz w:val="20"/>
        </w:rPr>
      </w:pPr>
      <w:r>
        <w:rPr>
          <w:rFonts w:ascii="Times New Roman" w:hAnsi="Times New Roman"/>
          <w:b/>
          <w:color w:val="000000"/>
          <w:sz w:val="24"/>
        </w:rPr>
        <w:t>B.5</w:t>
      </w:r>
      <w:r>
        <w:rPr>
          <w:rFonts w:ascii="Times New Roman" w:hAnsi="Times New Roman"/>
          <w:color w:val="000000"/>
          <w:sz w:val="20"/>
        </w:rPr>
        <w:t xml:space="preserve"> </w:t>
      </w:r>
      <w:r>
        <w:rPr>
          <w:rFonts w:ascii="Times New Roman" w:hAnsi="Times New Roman"/>
          <w:color w:val="000000"/>
          <w:sz w:val="24"/>
        </w:rPr>
        <w:t xml:space="preserve">Paragraph 10.5.2 in </w:t>
      </w:r>
      <w:r>
        <w:rPr>
          <w:rFonts w:ascii="Times New Roman" w:hAnsi="Times New Roman"/>
          <w:b/>
          <w:color w:val="000000"/>
          <w:sz w:val="24"/>
        </w:rPr>
        <w:t>Due Diligence</w:t>
      </w:r>
      <w:r>
        <w:rPr>
          <w:rFonts w:ascii="Times New Roman" w:hAnsi="Times New Roman"/>
          <w:color w:val="000000"/>
          <w:sz w:val="20"/>
        </w:rPr>
        <w:t xml:space="preserve"> </w:t>
      </w:r>
      <w:r>
        <w:rPr>
          <w:rFonts w:ascii="Times New Roman" w:hAnsi="Times New Roman"/>
          <w:color w:val="000000"/>
          <w:sz w:val="24"/>
        </w:rPr>
        <w:t>is hereby deleted and replaced by:</w:t>
      </w:r>
    </w:p>
    <w:p>
      <w:pPr>
        <w:pStyle w:val="TextBody"/>
        <w:bidi w:val="0"/>
        <w:ind w:left="720" w:right="0" w:hanging="0"/>
        <w:jc w:val="left"/>
        <w:rPr>
          <w:rFonts w:ascii="Times New Roman" w:hAnsi="Times New Roman"/>
          <w:color w:val="000000"/>
          <w:sz w:val="24"/>
        </w:rPr>
      </w:pPr>
      <w:r>
        <w:rPr>
          <w:rFonts w:ascii="Times New Roman" w:hAnsi="Times New Roman"/>
          <w:color w:val="000000"/>
          <w:sz w:val="24"/>
        </w:rPr>
        <w:t>[***].</w:t>
      </w:r>
    </w:p>
    <w:p>
      <w:pPr>
        <w:pStyle w:val="TextBody"/>
        <w:bidi w:val="0"/>
        <w:ind w:left="720" w:right="0" w:hanging="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B.6</w:t>
      </w:r>
      <w:r>
        <w:rPr>
          <w:rFonts w:ascii="Times New Roman" w:hAnsi="Times New Roman"/>
          <w:color w:val="000000"/>
          <w:sz w:val="20"/>
        </w:rPr>
        <w:t xml:space="preserve"> </w:t>
      </w:r>
      <w:r>
        <w:rPr>
          <w:rFonts w:ascii="Times New Roman" w:hAnsi="Times New Roman"/>
          <w:color w:val="000000"/>
          <w:sz w:val="24"/>
        </w:rPr>
        <w:t>Article 17 (“</w:t>
      </w:r>
      <w:r>
        <w:rPr>
          <w:rFonts w:ascii="Times New Roman" w:hAnsi="Times New Roman"/>
          <w:b/>
          <w:color w:val="000000"/>
          <w:sz w:val="24"/>
        </w:rPr>
        <w:t>Use of Names and Trademarks</w:t>
      </w:r>
      <w:r>
        <w:rPr>
          <w:rFonts w:ascii="Times New Roman" w:hAnsi="Times New Roman"/>
          <w:color w:val="000000"/>
          <w:sz w:val="20"/>
        </w:rPr>
        <w:t>”</w:t>
      </w:r>
      <w:r>
        <w:rPr>
          <w:rFonts w:ascii="Times New Roman" w:hAnsi="Times New Roman"/>
          <w:color w:val="000000"/>
          <w:sz w:val="24"/>
        </w:rPr>
        <w:t>) is hereby deleted and replaced by:</w:t>
      </w:r>
    </w:p>
    <w:p>
      <w:pPr>
        <w:pStyle w:val="TextBody"/>
        <w:bidi w:val="0"/>
        <w:ind w:left="720" w:right="0" w:hanging="0"/>
        <w:jc w:val="left"/>
        <w:rPr>
          <w:rFonts w:ascii="Times New Roman" w:hAnsi="Times New Roman"/>
          <w:color w:val="000000"/>
          <w:sz w:val="24"/>
        </w:rPr>
      </w:pPr>
      <w:r>
        <w:rPr>
          <w:rFonts w:ascii="Times New Roman" w:hAnsi="Times New Roman"/>
          <w:color w:val="000000"/>
          <w:sz w:val="24"/>
        </w:rPr>
        <w:t>Nothing contained in this Agreement will be construed as conferring any right to either party to use in advertising, publicity or other promotional activities any name, trade name, trademark or other designation of the other party (including a contraction, abbreviation or simulation of any of the foregoing), Without the Licensee's prior consent on a case-by-case basis, The Regents may list Licensee's name as a licensee of technology from The Regents and identify Intellikine, Inc. as a UCSF startup without further identifying the technology. Unless required by law or unless consented to in writing by Director of Technology Management, Office of Innovation, Technology, and Alliances, the use by the Licensee of the name “The Regents of the University of California” or the name of any campus of the University of California in advertising, publicity or other promotional activities is expressly prohibited. Licensee may also not use the name of HHMI or of any HHMI employee (including [***]) in a manner that reasonably could constitute an endorsement of a commercial Product or service; but that use for other purposes, even if commercially motivated, is permitted provided that (1) the use is limited to accurately reporting factual events or occurrences, and (2) any reference to the name of HHMI or any HHMI employees in press releases or similar materials intended for public release is approved by HHMI in advance.</w:t>
      </w:r>
    </w:p>
    <w:p>
      <w:pPr>
        <w:pStyle w:val="TextBody"/>
        <w:bidi w:val="0"/>
        <w:jc w:val="left"/>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spacing w:before="0" w:after="240"/>
        <w:jc w:val="left"/>
        <w:rPr>
          <w:rFonts w:ascii="Times New Roman" w:hAnsi="Times New Roman"/>
          <w:sz w:val="20"/>
        </w:rPr>
      </w:pPr>
      <w:r>
        <w:rPr>
          <w:rFonts w:ascii="Times New Roman" w:hAnsi="Times New Roman"/>
          <w:b/>
          <w:color w:val="000000"/>
          <w:sz w:val="24"/>
        </w:rPr>
        <w:t>B.7</w:t>
      </w:r>
      <w:r>
        <w:rPr>
          <w:rFonts w:ascii="Times New Roman" w:hAnsi="Times New Roman"/>
          <w:color w:val="000000"/>
          <w:sz w:val="20"/>
        </w:rPr>
        <w:t xml:space="preserve"> </w:t>
      </w:r>
      <w:r>
        <w:rPr>
          <w:rFonts w:ascii="Times New Roman" w:hAnsi="Times New Roman"/>
          <w:color w:val="000000"/>
          <w:sz w:val="24"/>
        </w:rPr>
        <w:t>Paragraph 24.1 of the Original Agreement (“</w:t>
      </w:r>
      <w:r>
        <w:rPr>
          <w:rFonts w:ascii="Times New Roman" w:hAnsi="Times New Roman"/>
          <w:b/>
          <w:color w:val="000000"/>
          <w:sz w:val="24"/>
        </w:rPr>
        <w:t>Notices</w:t>
      </w:r>
      <w:r>
        <w:rPr>
          <w:rFonts w:ascii="Times New Roman" w:hAnsi="Times New Roman"/>
          <w:color w:val="000000"/>
          <w:sz w:val="20"/>
        </w:rPr>
        <w:t>”</w:t>
      </w:r>
      <w:r>
        <w:rPr>
          <w:rFonts w:ascii="Times New Roman" w:hAnsi="Times New Roman"/>
          <w:color w:val="000000"/>
          <w:sz w:val="24"/>
        </w:rPr>
        <w:t>) is hereby deleted and replaced with:</w:t>
      </w:r>
    </w:p>
    <w:p>
      <w:pPr>
        <w:pStyle w:val="TextBody"/>
        <w:bidi w:val="0"/>
        <w:ind w:left="720" w:right="0" w:hanging="0"/>
        <w:jc w:val="left"/>
        <w:rPr>
          <w:rFonts w:ascii="Times New Roman" w:hAnsi="Times New Roman"/>
          <w:color w:val="000000"/>
          <w:sz w:val="24"/>
        </w:rPr>
      </w:pPr>
      <w:r>
        <w:rPr>
          <w:rFonts w:ascii="Times New Roman" w:hAnsi="Times New Roman"/>
          <w:color w:val="000000"/>
          <w:sz w:val="24"/>
        </w:rPr>
        <w:t>Any notice or payment hereunder shall be deemed to have been properly given when sent in writing in English to the respective address below and shall be deemed effective: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 the date of delivery if delivered in person,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 the date of mailing if mailed by first-class certified mail, postage paid,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 the date of mailing if mailed by any global express carrier service that requires the recipient to sign the documents demonstrating the delivery of such notice or payment,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case of notices, if sent by email, on the date the recipient acknowledges having received that email by either an email sent to the sender or by a notice delivered by another method in accordance with this Paragraph 24.1 (Notices), provided that, automated replies and “read receipts” shall not be considered acknowledgement of receipt.</w:t>
      </w:r>
    </w:p>
    <w:p>
      <w:pPr>
        <w:pStyle w:val="TextBody"/>
        <w:bidi w:val="0"/>
        <w:spacing w:before="0" w:after="240"/>
        <w:ind w:left="360" w:right="0" w:hanging="0"/>
        <w:jc w:val="left"/>
        <w:rPr>
          <w:rFonts w:ascii="Times New Roman" w:hAnsi="Times New Roman"/>
          <w:color w:val="000000"/>
          <w:sz w:val="24"/>
        </w:rPr>
      </w:pPr>
      <w:r>
        <w:rPr>
          <w:rFonts w:ascii="Times New Roman" w:hAnsi="Times New Roman"/>
          <w:color w:val="000000"/>
          <w:sz w:val="24"/>
        </w:rPr>
        <w:t>In the case of Licensee:</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Millennium Pharmaceuticals, Inc.</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40 Landsdowne Street,</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Cambridge, MA 02139</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Attention: [***]</w:t>
      </w:r>
    </w:p>
    <w:p>
      <w:pPr>
        <w:pStyle w:val="TextBody"/>
        <w:bidi w:val="0"/>
        <w:spacing w:before="0" w:after="240"/>
        <w:ind w:left="1620" w:right="0" w:hanging="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ind w:left="360" w:right="0" w:hanging="0"/>
        <w:jc w:val="left"/>
        <w:rPr>
          <w:rFonts w:ascii="Times New Roman" w:hAnsi="Times New Roman"/>
          <w:color w:val="000000"/>
          <w:sz w:val="24"/>
        </w:rPr>
      </w:pPr>
      <w:r>
        <w:rPr>
          <w:rFonts w:ascii="Times New Roman" w:hAnsi="Times New Roman"/>
          <w:color w:val="000000"/>
          <w:sz w:val="24"/>
        </w:rPr>
        <w:t>In the case of The Regents:</w:t>
      </w:r>
    </w:p>
    <w:p>
      <w:pPr>
        <w:pStyle w:val="TextBody"/>
        <w:bidi w:val="0"/>
        <w:spacing w:before="0" w:after="240"/>
        <w:ind w:left="0" w:right="0" w:firstLine="1080"/>
        <w:jc w:val="left"/>
        <w:rPr>
          <w:rFonts w:ascii="Times New Roman" w:hAnsi="Times New Roman"/>
          <w:i/>
          <w:color w:val="000000"/>
          <w:sz w:val="24"/>
        </w:rPr>
      </w:pPr>
      <w:r>
        <w:rPr>
          <w:rFonts w:ascii="Times New Roman" w:hAnsi="Times New Roman"/>
          <w:i/>
          <w:color w:val="000000"/>
          <w:sz w:val="24"/>
        </w:rPr>
        <w:t>For notices:</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Office of Innovation, Technology, and Alliances</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3333 California Street, Suite S-11</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San Francisco, CA 94143-1209</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(for express mail and deliveries use zip 94118)</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Attention: [***]</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Referring to: UC Case Nos. [***] as relevant</w:t>
      </w:r>
    </w:p>
    <w:p>
      <w:pPr>
        <w:pStyle w:val="TextBody"/>
        <w:bidi w:val="0"/>
        <w:spacing w:before="0" w:after="240"/>
        <w:ind w:left="1620" w:right="0" w:hanging="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For remittance of payments:</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Innovation Alliances and Services</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Attn: [***]</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University of California</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Office of the President</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1111 Franklin Street, 5th Floor</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Oakland, CA 94607-5200</w:t>
      </w:r>
    </w:p>
    <w:p>
      <w:pPr>
        <w:pStyle w:val="TextBody"/>
        <w:bidi w:val="0"/>
        <w:ind w:left="1620" w:right="0" w:hanging="0"/>
        <w:jc w:val="left"/>
        <w:rPr>
          <w:rFonts w:ascii="Times New Roman" w:hAnsi="Times New Roman"/>
          <w:color w:val="000000"/>
          <w:sz w:val="24"/>
        </w:rPr>
      </w:pPr>
      <w:r>
        <w:rPr>
          <w:rFonts w:ascii="Times New Roman" w:hAnsi="Times New Roman"/>
          <w:color w:val="000000"/>
          <w:sz w:val="24"/>
        </w:rPr>
        <w:t>Referring to: UC Case Nos. [***] as relevant</w:t>
      </w:r>
    </w:p>
    <w:p>
      <w:pPr>
        <w:pStyle w:val="TextBody"/>
        <w:bidi w:val="0"/>
        <w:jc w:val="left"/>
        <w:rPr>
          <w:rFonts w:ascii="Times New Roman" w:hAnsi="Times New Roman"/>
          <w:sz w:val="20"/>
        </w:rPr>
      </w:pPr>
      <w:r>
        <w:rPr>
          <w:rFonts w:ascii="Times New Roman" w:hAnsi="Times New Roman"/>
          <w:b/>
          <w:color w:val="000000"/>
          <w:sz w:val="24"/>
        </w:rPr>
        <w:t>B.7</w:t>
      </w:r>
      <w:r>
        <w:rPr>
          <w:rFonts w:ascii="Times New Roman" w:hAnsi="Times New Roman"/>
          <w:color w:val="000000"/>
          <w:sz w:val="20"/>
        </w:rPr>
        <w:t xml:space="preserve"> </w:t>
      </w:r>
      <w:r>
        <w:rPr>
          <w:rFonts w:ascii="Times New Roman" w:hAnsi="Times New Roman"/>
          <w:color w:val="000000"/>
          <w:sz w:val="24"/>
        </w:rPr>
        <w:t>This Amendment shall be deemed an integral part of the Original Agreement. Except as</w:t>
      </w:r>
    </w:p>
    <w:p>
      <w:pPr>
        <w:pStyle w:val="TextBody"/>
        <w:bidi w:val="0"/>
        <w:jc w:val="left"/>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expressly set forth herein, all provisions of the Original Agreement shall remain unchanged and in full force and effect. The Parties express herein their mutual intention that this Amendment shall constitute a legally binding Amendment to the Original Agreement. This Amendment shall be construed and interpreted pursuant to the laws stipulated in the Original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This Amendment may be executed in one or more counterparts, each of which together shall constitute one and the same Agreement. For purposes of executing this Amendment, a facsimile (including a PDF image delivered via email) copy of this Amendment, including the signature pages, will be deemed an original. The parties agree that neither party will have any rights to challenge the use or authenticity of a counterpart of this Amendment based solely on that its signature, or the signature of the other party, on such counterpart is not an original signature. </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Parties have executed this Agreement by their respective and duly authorized officers on the day and year written.</w:t>
      </w:r>
    </w:p>
    <w:p>
      <w:pPr>
        <w:pStyle w:val="TextBody"/>
        <w:bidi w:val="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4"/>
        </w:rPr>
        <w:t>MILLENIUM PHARMACEUTICALS, INC.</w:t>
      </w:r>
      <w:r>
        <w:rPr>
          <w:rFonts w:ascii="Times New Roman" w:hAnsi="Times New Roman"/>
          <w:color w:val="000000"/>
          <w:sz w:val="20"/>
        </w:rPr>
        <w:t xml:space="preserve"> </w:t>
      </w:r>
      <w:r>
        <w:rPr>
          <w:rFonts w:ascii="Times New Roman" w:hAnsi="Times New Roman"/>
          <w:color w:val="000000"/>
          <w:sz w:val="24"/>
        </w:rPr>
        <w:t>THE REGENTS OF THE UNIVERSITY</w:t>
        <w:br/>
        <w:t>CALIFORNIA</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Karoline K. Shair By: /s/ Sunita Rajdev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Karoline K. Shair </w:t>
      </w:r>
      <w:r>
        <w:rPr>
          <w:rFonts w:ascii="Times New Roman" w:hAnsi="Times New Roman"/>
          <w:color w:val="000000"/>
          <w:sz w:val="24"/>
        </w:rPr>
        <w:t xml:space="preserve">Name: </w:t>
      </w:r>
      <w:r>
        <w:rPr>
          <w:rFonts w:ascii="Times New Roman" w:hAnsi="Times New Roman"/>
          <w:color w:val="000000"/>
          <w:sz w:val="24"/>
          <w:u w:val="single"/>
        </w:rPr>
        <w:t xml:space="preserve">Sunita Rajdev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Deputy Chief IP Counsel </w:t>
      </w:r>
      <w:r>
        <w:rPr>
          <w:rFonts w:ascii="Times New Roman" w:hAnsi="Times New Roman"/>
          <w:color w:val="000000"/>
          <w:sz w:val="24"/>
        </w:rPr>
        <w:t xml:space="preserve">Title: </w:t>
      </w:r>
      <w:r>
        <w:rPr>
          <w:rFonts w:ascii="Times New Roman" w:hAnsi="Times New Roman"/>
          <w:color w:val="000000"/>
          <w:sz w:val="24"/>
          <w:u w:val="single"/>
        </w:rPr>
        <w:t xml:space="preserve">Associate Director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10/2/14 </w:t>
      </w:r>
      <w:r>
        <w:rPr>
          <w:rFonts w:ascii="Times New Roman" w:hAnsi="Times New Roman"/>
          <w:color w:val="000000"/>
          <w:sz w:val="24"/>
        </w:rPr>
        <w:t xml:space="preserve">Date: </w:t>
      </w:r>
      <w:r>
        <w:rPr>
          <w:rFonts w:ascii="Times New Roman" w:hAnsi="Times New Roman"/>
          <w:color w:val="000000"/>
          <w:sz w:val="24"/>
          <w:u w:val="single"/>
        </w:rPr>
        <w:t xml:space="preserve">10/2/14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AMENDMENT NO. 5</w:t>
      </w:r>
    </w:p>
    <w:p>
      <w:pPr>
        <w:pStyle w:val="TextBody"/>
        <w:bidi w:val="0"/>
        <w:jc w:val="center"/>
        <w:rPr>
          <w:rFonts w:ascii="Times New Roman" w:hAnsi="Times New Roman"/>
          <w:b/>
          <w:color w:val="000000"/>
          <w:sz w:val="24"/>
        </w:rPr>
      </w:pPr>
      <w:r>
        <w:rPr>
          <w:rFonts w:ascii="Times New Roman" w:hAnsi="Times New Roman"/>
          <w:b/>
          <w:color w:val="000000"/>
          <w:sz w:val="24"/>
        </w:rPr>
        <w:t>to the</w:t>
      </w:r>
    </w:p>
    <w:p>
      <w:pPr>
        <w:pStyle w:val="TextBody"/>
        <w:bidi w:val="0"/>
        <w:jc w:val="center"/>
        <w:rPr>
          <w:rFonts w:ascii="Times New Roman" w:hAnsi="Times New Roman"/>
          <w:b/>
          <w:color w:val="000000"/>
          <w:sz w:val="24"/>
        </w:rPr>
      </w:pPr>
      <w:r>
        <w:rPr>
          <w:rFonts w:ascii="Times New Roman" w:hAnsi="Times New Roman"/>
          <w:b/>
          <w:color w:val="000000"/>
          <w:sz w:val="24"/>
        </w:rPr>
        <w:t>Exclusive License Agreement</w:t>
      </w:r>
    </w:p>
    <w:p>
      <w:pPr>
        <w:pStyle w:val="TextBody"/>
        <w:bidi w:val="0"/>
        <w:jc w:val="center"/>
        <w:rPr>
          <w:rFonts w:ascii="Times New Roman" w:hAnsi="Times New Roman"/>
          <w:b/>
          <w:color w:val="000000"/>
          <w:sz w:val="24"/>
        </w:rPr>
      </w:pPr>
      <w:r>
        <w:rPr>
          <w:rFonts w:ascii="Times New Roman" w:hAnsi="Times New Roman"/>
          <w:b/>
          <w:color w:val="000000"/>
          <w:sz w:val="24"/>
        </w:rPr>
        <w:t>dated August 10, 2007</w:t>
      </w:r>
    </w:p>
    <w:p>
      <w:pPr>
        <w:pStyle w:val="TextBody"/>
        <w:bidi w:val="0"/>
        <w:jc w:val="center"/>
        <w:rPr>
          <w:rFonts w:ascii="Times New Roman" w:hAnsi="Times New Roman"/>
          <w:b/>
          <w:color w:val="050505"/>
          <w:sz w:val="24"/>
        </w:rPr>
      </w:pPr>
      <w:r>
        <w:rPr>
          <w:rFonts w:ascii="Times New Roman" w:hAnsi="Times New Roman"/>
          <w:b/>
          <w:color w:val="050505"/>
          <w:sz w:val="24"/>
        </w:rPr>
        <w:t>and amended on March 13, 2009, July 8, 2009,</w:t>
      </w:r>
    </w:p>
    <w:p>
      <w:pPr>
        <w:pStyle w:val="TextBody"/>
        <w:bidi w:val="0"/>
        <w:jc w:val="center"/>
        <w:rPr>
          <w:rFonts w:ascii="Times New Roman" w:hAnsi="Times New Roman"/>
          <w:b/>
          <w:color w:val="050505"/>
          <w:sz w:val="24"/>
        </w:rPr>
      </w:pPr>
      <w:r>
        <w:rPr>
          <w:rFonts w:ascii="Times New Roman" w:hAnsi="Times New Roman"/>
          <w:b/>
          <w:color w:val="050505"/>
          <w:sz w:val="24"/>
        </w:rPr>
        <w:t>November 30, 2010 and September 8, 2014</w:t>
      </w:r>
    </w:p>
    <w:p>
      <w:pPr>
        <w:pStyle w:val="TextBody"/>
        <w:bidi w:val="0"/>
        <w:jc w:val="center"/>
        <w:rPr>
          <w:rFonts w:ascii="Times New Roman" w:hAnsi="Times New Roman"/>
          <w:b/>
          <w:color w:val="090909"/>
          <w:sz w:val="24"/>
        </w:rPr>
      </w:pPr>
      <w:r>
        <w:rPr>
          <w:rFonts w:ascii="Times New Roman" w:hAnsi="Times New Roman"/>
          <w:b/>
          <w:color w:val="090909"/>
          <w:sz w:val="24"/>
        </w:rPr>
        <w:t>between</w:t>
      </w:r>
    </w:p>
    <w:p>
      <w:pPr>
        <w:pStyle w:val="TextBody"/>
        <w:bidi w:val="0"/>
        <w:jc w:val="center"/>
        <w:rPr>
          <w:rFonts w:ascii="Times New Roman" w:hAnsi="Times New Roman"/>
          <w:b/>
          <w:color w:val="000000"/>
          <w:sz w:val="24"/>
        </w:rPr>
      </w:pPr>
      <w:r>
        <w:rPr>
          <w:rFonts w:ascii="Times New Roman" w:hAnsi="Times New Roman"/>
          <w:b/>
          <w:color w:val="000000"/>
          <w:sz w:val="24"/>
        </w:rPr>
        <w:t>THE REGENTS OF THE UNIVERSITY OF CALIFORNIA</w:t>
      </w:r>
    </w:p>
    <w:p>
      <w:pPr>
        <w:pStyle w:val="TextBody"/>
        <w:bidi w:val="0"/>
        <w:jc w:val="center"/>
        <w:rPr>
          <w:rFonts w:ascii="Times New Roman" w:hAnsi="Times New Roman"/>
          <w:b/>
          <w:color w:val="000000"/>
          <w:sz w:val="24"/>
        </w:rPr>
      </w:pPr>
      <w:r>
        <w:rPr>
          <w:rFonts w:ascii="Times New Roman" w:hAnsi="Times New Roman"/>
          <w:b/>
          <w:color w:val="000000"/>
          <w:sz w:val="24"/>
        </w:rPr>
        <w:t>and</w:t>
      </w:r>
    </w:p>
    <w:p>
      <w:pPr>
        <w:pStyle w:val="TextBody"/>
        <w:bidi w:val="0"/>
        <w:jc w:val="center"/>
        <w:rPr>
          <w:rFonts w:ascii="Times New Roman" w:hAnsi="Times New Roman"/>
          <w:b/>
          <w:color w:val="080808"/>
          <w:sz w:val="24"/>
        </w:rPr>
      </w:pPr>
      <w:r>
        <w:rPr>
          <w:rFonts w:ascii="Times New Roman" w:hAnsi="Times New Roman"/>
          <w:b/>
          <w:color w:val="080808"/>
          <w:sz w:val="24"/>
        </w:rPr>
        <w:t>TAKEDA PHARMACEUTICALS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Effective August 4, 2021, THE REGENTS OF THE UNIVERSITY OF CALIFORNIA (“The Regents”), a California corporation having its statewide administrative offices at 1111 Franklin Street, Oakland, California, 94607-5200, and acting through its Office of Technology Management, University of California San Francisco, 185 Berry Street, Suite 4603, San Francisco, CA 94107 (“UCSF”), and MILLENNIUM PHARMACEUTICALS, INC. (doing business as Takeda Pharmaceuticals International Co.), a Delaware corporation having a principal place of business at 40 Landsdowne Street, Cambridge, MA 02139 (“Licensee”) (UCSF and Licensee collectively referred to as the “Parties”), agree as follows:</w:t>
      </w:r>
    </w:p>
    <w:p>
      <w:pPr>
        <w:pStyle w:val="TextBody"/>
        <w:bidi w:val="0"/>
        <w:ind w:left="0" w:right="0" w:firstLine="720"/>
        <w:jc w:val="left"/>
        <w:rPr>
          <w:rFonts w:ascii="Times New Roman" w:hAnsi="Times New Roman"/>
          <w:sz w:val="20"/>
        </w:rPr>
      </w:pPr>
      <w:r>
        <w:rPr>
          <w:rFonts w:ascii="Times New Roman" w:hAnsi="Times New Roman"/>
          <w:b/>
          <w:color w:val="000000"/>
          <w:sz w:val="24"/>
        </w:rPr>
        <w:t xml:space="preserve">A. </w:t>
      </w:r>
      <w:r>
        <w:rPr>
          <w:rFonts w:ascii="Times New Roman" w:hAnsi="Times New Roman"/>
          <w:b/>
          <w:color w:val="000000"/>
          <w:sz w:val="24"/>
          <w:u w:val="single"/>
        </w:rPr>
        <w:t>BACKGOUND</w:t>
      </w:r>
    </w:p>
    <w:p>
      <w:pPr>
        <w:pStyle w:val="TextBody"/>
        <w:pBdr/>
        <w:bidi w:val="0"/>
        <w:ind w:left="0" w:right="0" w:hanging="720"/>
        <w:jc w:val="left"/>
        <w:rPr>
          <w:rFonts w:ascii="Times New Roman" w:hAnsi="Times New Roman"/>
          <w:sz w:val="20"/>
        </w:rPr>
      </w:pPr>
      <w:r>
        <w:rPr>
          <w:rFonts w:ascii="Cambria;serif" w:hAnsi="Cambria;serif"/>
          <w:color w:val="1F1F1F"/>
          <w:sz w:val="24"/>
        </w:rPr>
        <w:t xml:space="preserve">A-1 The Regents and Intellikine, Inc. entered into an Exclusive License Agreement dated </w:t>
      </w:r>
      <w:r>
        <w:rPr>
          <w:rFonts w:ascii="Cambria;serif" w:hAnsi="Cambria;serif"/>
          <w:color w:val="1E1E1E"/>
          <w:sz w:val="24"/>
        </w:rPr>
        <w:t xml:space="preserve">August 10, 2007, as amended on March 13, 2009, July 8, 2009, November 30, 2010 and September 8, 2014 (hereinafter collectively referred to as the </w:t>
      </w:r>
      <w:r>
        <w:rPr>
          <w:rFonts w:ascii="Times New Roman" w:hAnsi="Times New Roman"/>
          <w:color w:val="1E1E1E"/>
          <w:sz w:val="20"/>
        </w:rPr>
        <w:t>“</w:t>
      </w:r>
      <w:r>
        <w:rPr>
          <w:rFonts w:ascii="Cambria;serif" w:hAnsi="Cambria;serif"/>
          <w:color w:val="1E1E1E"/>
          <w:sz w:val="24"/>
        </w:rPr>
        <w:t>Original Agreement</w:t>
      </w:r>
      <w:r>
        <w:rPr>
          <w:rFonts w:ascii="Times New Roman" w:hAnsi="Times New Roman"/>
          <w:color w:val="1E1E1E"/>
          <w:sz w:val="20"/>
        </w:rPr>
        <w:t>”</w:t>
      </w:r>
      <w:r>
        <w:rPr>
          <w:rFonts w:ascii="Cambria;serif" w:hAnsi="Cambria;serif"/>
          <w:color w:val="1E1E1E"/>
          <w:sz w:val="24"/>
        </w:rPr>
        <w:t>), which Original Agreement was subject to the Substitution of Parties Agreement between Takeda and The Regents dated January 6, 2012.</w:t>
      </w:r>
    </w:p>
    <w:p>
      <w:pPr>
        <w:pStyle w:val="TextBody"/>
        <w:pBdr/>
        <w:bidi w:val="0"/>
        <w:ind w:left="0" w:right="0" w:hanging="720"/>
        <w:jc w:val="left"/>
        <w:rPr>
          <w:rFonts w:ascii="Cambria;serif" w:hAnsi="Cambria;serif"/>
          <w:color w:val="1F1F1F"/>
          <w:sz w:val="24"/>
        </w:rPr>
      </w:pPr>
      <w:r>
        <w:rPr>
          <w:rFonts w:ascii="Cambria;serif" w:hAnsi="Cambria;serif"/>
          <w:color w:val="1F1F1F"/>
          <w:sz w:val="24"/>
        </w:rPr>
        <w:t>A-2 To further clarify the confidentiality section (Section 31) of the Original Agreement, The Regents and Licensee wish to amend the Original Agreement for the purpose of authorizing the disclosure of certain Proprietary Information and provide a copy of the Original Agreement and this Amendment No. 5 to potential acquirer(s) of certain Licensee assets that relate to the Original Agreement.</w:t>
      </w:r>
    </w:p>
    <w:p>
      <w:pPr>
        <w:pStyle w:val="TextBody"/>
        <w:bidi w:val="0"/>
        <w:ind w:left="0" w:right="0" w:firstLine="720"/>
        <w:jc w:val="left"/>
        <w:rPr>
          <w:rFonts w:ascii="Times New Roman" w:hAnsi="Times New Roman"/>
          <w:sz w:val="20"/>
        </w:rPr>
      </w:pPr>
      <w:r>
        <w:rPr>
          <w:rFonts w:ascii="Times New Roman" w:hAnsi="Times New Roman"/>
          <w:b/>
          <w:color w:val="050505"/>
          <w:sz w:val="24"/>
        </w:rPr>
        <w:t xml:space="preserve">B. </w:t>
      </w:r>
      <w:r>
        <w:rPr>
          <w:rFonts w:ascii="Times New Roman" w:hAnsi="Times New Roman"/>
          <w:b/>
          <w:color w:val="050505"/>
          <w:sz w:val="24"/>
          <w:u w:val="single"/>
        </w:rPr>
        <w:t>AMENDMENT</w:t>
      </w:r>
    </w:p>
    <w:p>
      <w:pPr>
        <w:pStyle w:val="TextBody"/>
        <w:bidi w:val="0"/>
        <w:ind w:left="0" w:right="0" w:firstLine="720"/>
        <w:jc w:val="left"/>
        <w:rPr>
          <w:rFonts w:ascii="Times New Roman" w:hAnsi="Times New Roman"/>
          <w:color w:val="181818"/>
          <w:sz w:val="24"/>
        </w:rPr>
      </w:pPr>
      <w:r>
        <w:rPr>
          <w:rFonts w:ascii="Times New Roman" w:hAnsi="Times New Roman"/>
          <w:color w:val="181818"/>
          <w:sz w:val="24"/>
        </w:rPr>
        <w:t>The Original Agreement is hereby amended as follows:</w:t>
      </w:r>
    </w:p>
    <w:p>
      <w:pPr>
        <w:pStyle w:val="TextBody"/>
        <w:pBdr/>
        <w:bidi w:val="0"/>
        <w:ind w:left="0" w:right="0" w:hanging="720"/>
        <w:jc w:val="left"/>
        <w:rPr>
          <w:rFonts w:ascii="Times New Roman" w:hAnsi="Times New Roman"/>
          <w:sz w:val="20"/>
        </w:rPr>
      </w:pPr>
      <w:r>
        <w:rPr>
          <w:rFonts w:ascii="Times New Roman" w:hAnsi="Times New Roman"/>
          <w:color w:val="1A1A1A"/>
          <w:sz w:val="24"/>
        </w:rPr>
        <w:t>B-1 Section 31.2 of the Original Agreement is amended to add the following sentences at the very end of the section: “Further, notwithstanding anything to the contrary in this Agreement, Licensee may disclose the other party’s Proprietary Information and provide a copy of the Original Agreement and this Amendment No. 5 to existing or prospective</w:t>
      </w:r>
      <w:r>
        <w:rPr>
          <w:rFonts w:ascii="Times New Roman" w:hAnsi="Times New Roman"/>
          <w:color w:val="1A1A1A"/>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720" w:right="0" w:hanging="0"/>
        <w:jc w:val="left"/>
        <w:rPr>
          <w:rFonts w:ascii="Times New Roman" w:hAnsi="Times New Roman"/>
          <w:sz w:val="20"/>
        </w:rPr>
      </w:pPr>
      <w:r>
        <w:rPr>
          <w:rFonts w:ascii="Times New Roman" w:hAnsi="Times New Roman"/>
          <w:color w:val="1A1A1A"/>
          <w:sz w:val="24"/>
        </w:rPr>
        <w:t xml:space="preserve">acquirers and collaboration partners of Licensee (including in the context of an asset sale and not a whole company acquisition) in connection with transactions or prospective transactions under appropriate written confidentiality provisions. Existing or prospective acquirers and collaboration partners may only disclose Proprietary Information to those of its officers, directors, employees, agents, consultants, advisors and contractors who 1) require such Proprietary Information to assist such existing or prospective acquirers and collaboration partners in its evaluation of the Proprietary Information and 2) are bound by </w:t>
      </w:r>
      <w:r>
        <w:rPr>
          <w:rFonts w:ascii="Times New Roman" w:hAnsi="Times New Roman"/>
          <w:color w:val="181818"/>
          <w:sz w:val="24"/>
        </w:rPr>
        <w:t>appropriate written confidentiality provisions and 3) may not use the Proprietary Information for any other purpose. Such officers, directors, en1ployees, agents, consultants, advisors and contractors may not disclose Proprietary Information to any third party.”</w:t>
      </w:r>
    </w:p>
    <w:p>
      <w:pPr>
        <w:pStyle w:val="TextBody"/>
        <w:bidi w:val="0"/>
        <w:ind w:left="0" w:right="0" w:firstLine="720"/>
        <w:jc w:val="left"/>
        <w:rPr>
          <w:rFonts w:ascii="Times New Roman" w:hAnsi="Times New Roman"/>
          <w:color w:val="1B1B1B"/>
          <w:sz w:val="24"/>
        </w:rPr>
      </w:pPr>
      <w:r>
        <w:rPr>
          <w:rFonts w:ascii="Times New Roman" w:hAnsi="Times New Roman"/>
          <w:color w:val="1B1B1B"/>
          <w:sz w:val="24"/>
        </w:rPr>
        <w:t>This Amendment No. 5 shall be deemed an integral part of the Original Agreement. Except as expressly set forth herein, all provisions of the Original Agreement shall remain unchanged and in full force and effect. The Parties express herein their mutual intention that this Amendment No. 5 shall constitute a legally binding amendment to the Original Agreement. This Amendment No. 5 shall be construed and interpreted pursuant to the laws stipulated in the Original Agreement.</w:t>
      </w:r>
    </w:p>
    <w:p>
      <w:pPr>
        <w:pStyle w:val="TextBody"/>
        <w:bidi w:val="0"/>
        <w:ind w:left="0" w:right="0" w:firstLine="720"/>
        <w:jc w:val="left"/>
        <w:rPr>
          <w:rFonts w:ascii="Times New Roman" w:hAnsi="Times New Roman"/>
          <w:color w:val="1C1C1C"/>
          <w:sz w:val="24"/>
        </w:rPr>
      </w:pPr>
      <w:r>
        <w:rPr>
          <w:rFonts w:ascii="Times New Roman" w:hAnsi="Times New Roman"/>
          <w:color w:val="1C1C1C"/>
          <w:sz w:val="24"/>
        </w:rPr>
        <w:t>IN WITNESS WHEREOF, the Parties hereto have executed these presents in duplicate by their duly authorized officers or representatives as of the date below:</w:t>
      </w:r>
    </w:p>
    <w:p>
      <w:pPr>
        <w:pStyle w:val="TextBody"/>
        <w:bidi w:val="0"/>
        <w:jc w:val="left"/>
        <w:rPr/>
      </w:pPr>
      <w:r>
        <w:rPr/>
        <w:t> </w:t>
      </w:r>
    </w:p>
    <w:tbl>
      <w:tblPr>
        <w:tblW w:w="9587" w:type="dxa"/>
        <w:jc w:val="left"/>
        <w:tblInd w:w="0" w:type="dxa"/>
        <w:tblLayout w:type="fixed"/>
        <w:tblCellMar>
          <w:top w:w="28" w:type="dxa"/>
          <w:left w:w="28" w:type="dxa"/>
          <w:bottom w:w="28" w:type="dxa"/>
          <w:right w:w="28" w:type="dxa"/>
        </w:tblCellMar>
      </w:tblPr>
      <w:tblGrid>
        <w:gridCol w:w="5506"/>
        <w:gridCol w:w="4081"/>
      </w:tblGrid>
      <w:tr>
        <w:trPr/>
        <w:tc>
          <w:tcPr>
            <w:tcW w:w="5506"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5506" w:type="dxa"/>
            <w:tcBorders/>
            <w:tcMar>
              <w:top w:w="0" w:type="dxa"/>
              <w:left w:w="0" w:type="dxa"/>
              <w:bottom w:w="0" w:type="dxa"/>
              <w:right w:w="0" w:type="dxa"/>
            </w:tcMar>
            <w:vAlign w:val="center"/>
          </w:tcPr>
          <w:p>
            <w:pPr>
              <w:pStyle w:val="TableContents"/>
              <w:bidi w:val="0"/>
              <w:jc w:val="left"/>
              <w:rPr>
                <w:rFonts w:ascii="Times New Roman" w:hAnsi="Times New Roman"/>
                <w:smallCaps/>
                <w:color w:val="000000"/>
                <w:sz w:val="24"/>
              </w:rPr>
            </w:pPr>
            <w:r>
              <w:rPr>
                <w:rFonts w:ascii="Times New Roman" w:hAnsi="Times New Roman"/>
                <w:smallCaps/>
                <w:color w:val="000000"/>
                <w:sz w:val="24"/>
              </w:rPr>
              <w:t>MILLENNIUM PHARMACEUTICALS, INC.</w:t>
              <w:br/>
              <w:t> </w:t>
            </w:r>
          </w:p>
          <w:p>
            <w:pPr>
              <w:pStyle w:val="TableContents"/>
              <w:bidi w:val="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/s/ Beth Shafer</w:t>
            </w:r>
          </w:p>
          <w:p>
            <w:pPr>
              <w:pStyle w:val="TableContents"/>
              <w:bidi w:val="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Beth Shafer</w:t>
            </w:r>
          </w:p>
          <w:p>
            <w:pPr>
              <w:pStyle w:val="TableContents"/>
              <w:bidi w:val="0"/>
              <w:jc w:val="left"/>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Head, Neuroscience, DDS and Externalization BD</w:t>
            </w:r>
          </w:p>
          <w:p>
            <w:pPr>
              <w:pStyle w:val="TableContents"/>
              <w:bidi w:val="0"/>
              <w:jc w:val="left"/>
              <w:rPr>
                <w:rFonts w:ascii="Times New Roman" w:hAnsi="Times New Roman"/>
                <w:sz w:val="24"/>
              </w:rPr>
            </w:pPr>
            <w:r>
              <w:rPr>
                <w:rFonts w:ascii="Times New Roman" w:hAnsi="Times New Roman"/>
                <w:color w:val="000000"/>
                <w:sz w:val="24"/>
              </w:rPr>
              <w:t>Date:</w:t>
            </w:r>
            <w:r>
              <w:rPr>
                <w:rFonts w:ascii="Times New Roman" w:hAnsi="Times New Roman"/>
                <w:color w:val="000000"/>
                <w:sz w:val="24"/>
                <w:u w:val="single"/>
              </w:rPr>
              <w:t> Aug 4 2021</w:t>
            </w:r>
          </w:p>
          <w:p>
            <w:pPr>
              <w:pStyle w:val="TableContents"/>
              <w:bidi w:val="0"/>
              <w:spacing w:before="0" w:after="283"/>
              <w:jc w:val="left"/>
              <w:rPr/>
            </w:pPr>
            <w:r>
              <w:rPr/>
              <w:t> </w:t>
            </w:r>
          </w:p>
        </w:tc>
        <w:tc>
          <w:tcPr>
            <w:tcW w:w="4081" w:type="dxa"/>
            <w:tcBorders/>
            <w:tcMar>
              <w:top w:w="0" w:type="dxa"/>
              <w:left w:w="0" w:type="dxa"/>
              <w:bottom w:w="0" w:type="dxa"/>
              <w:right w:w="0" w:type="dxa"/>
            </w:tcMar>
            <w:vAlign w:val="center"/>
          </w:tcPr>
          <w:p>
            <w:pPr>
              <w:pStyle w:val="TableContents"/>
              <w:bidi w:val="0"/>
              <w:jc w:val="left"/>
              <w:rPr>
                <w:rFonts w:ascii="Times New Roman" w:hAnsi="Times New Roman"/>
                <w:smallCaps/>
                <w:color w:val="000000"/>
                <w:sz w:val="24"/>
              </w:rPr>
            </w:pPr>
            <w:r>
              <w:rPr>
                <w:rFonts w:ascii="Times New Roman" w:hAnsi="Times New Roman"/>
                <w:smallCaps/>
                <w:color w:val="000000"/>
                <w:sz w:val="24"/>
              </w:rPr>
              <w:t>THE REGENTS OF</w:t>
            </w:r>
          </w:p>
          <w:p>
            <w:pPr>
              <w:pStyle w:val="TableContents"/>
              <w:bidi w:val="0"/>
              <w:jc w:val="left"/>
              <w:rPr>
                <w:rFonts w:ascii="Times New Roman" w:hAnsi="Times New Roman"/>
                <w:smallCaps/>
                <w:color w:val="000000"/>
                <w:sz w:val="24"/>
              </w:rPr>
            </w:pPr>
            <w:r>
              <w:rPr>
                <w:rFonts w:ascii="Times New Roman" w:hAnsi="Times New Roman"/>
                <w:smallCaps/>
                <w:color w:val="000000"/>
                <w:sz w:val="24"/>
              </w:rPr>
              <w:t>THE UNIVERSITY OF CALIFORNIA</w:t>
            </w:r>
          </w:p>
          <w:p>
            <w:pPr>
              <w:pStyle w:val="TableContents"/>
              <w:bidi w:val="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/s/ Gonzalo Barrera-Hernandez</w:t>
            </w:r>
          </w:p>
          <w:p>
            <w:pPr>
              <w:pStyle w:val="TableContents"/>
              <w:bidi w:val="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Gonzalo Barrera-Hernandez</w:t>
            </w:r>
          </w:p>
          <w:p>
            <w:pPr>
              <w:pStyle w:val="TableContents"/>
              <w:bidi w:val="0"/>
              <w:jc w:val="left"/>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Sr. Associate Director</w:t>
            </w:r>
          </w:p>
          <w:p>
            <w:pPr>
              <w:pStyle w:val="TableContents"/>
              <w:bidi w:val="0"/>
              <w:jc w:val="left"/>
              <w:rPr>
                <w:rFonts w:ascii="Times New Roman" w:hAnsi="Times New Roman"/>
                <w:sz w:val="24"/>
              </w:rPr>
            </w:pPr>
            <w:r>
              <w:rPr>
                <w:rFonts w:ascii="Times New Roman" w:hAnsi="Times New Roman"/>
                <w:color w:val="000000"/>
                <w:sz w:val="24"/>
              </w:rPr>
              <w:t>Date:</w:t>
            </w:r>
            <w:r>
              <w:rPr>
                <w:rFonts w:ascii="Times New Roman" w:hAnsi="Times New Roman"/>
                <w:color w:val="000000"/>
                <w:sz w:val="24"/>
                <w:u w:val="single"/>
              </w:rPr>
              <w:t> 08/04/2021</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AMENDMENT NO. 6</w:t>
        <w:br/>
        <w:br/>
        <w:t>to the</w:t>
        <w:br/>
        <w:br/>
        <w:t>Exclusive License Agreement</w:t>
        <w:br/>
        <w:br/>
        <w:t>dated August 10, 2007 between</w:t>
        <w:br/>
        <w:br/>
        <w:t>THE REGENTS OF THE UNIVERSITY OF CALIFORNIA</w:t>
        <w:br/>
        <w:br/>
        <w:t>and</w:t>
        <w:br/>
        <w:br/>
        <w:t>CALITHERA BIOSCIENCES, INC.</w:t>
      </w:r>
    </w:p>
    <w:p>
      <w:pPr>
        <w:pStyle w:val="TextBody"/>
        <w:bidi w:val="0"/>
        <w:jc w:val="center"/>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Effective February 1, 2022, THE REGENTS OF THE UNIVERSITY OF CALIFORNIA (“The Regents”), a California corporation having its statewide administrative offices at 1111 Franklin Street, Oakland, California, 94607-5200, and acting through its Office of Technology Management, University of California San Francisco, 600 16th Street, Suite S272, San Francisco, CA 94143 (“UCSF”), and CALITHERA BIOSCIENCES, INC., a Delaware corporation having a principal place of business at 343 Oyster Point Blvd., Suite 200, South San Francisco, CA 94080 (“Licensee”) (UCSF and Licensee collectively referred to as the “Parties”), agree as follows:</w:t>
      </w:r>
    </w:p>
    <w:p>
      <w:pPr>
        <w:pStyle w:val="TextBody"/>
        <w:bidi w:val="0"/>
        <w:jc w:val="left"/>
        <w:rPr>
          <w:rFonts w:ascii="Times New Roman" w:hAnsi="Times New Roman"/>
          <w:color w:val="000000"/>
          <w:sz w:val="24"/>
        </w:rPr>
      </w:pPr>
      <w:r>
        <w:rPr>
          <w:rFonts w:ascii="Times New Roman" w:hAnsi="Times New Roman"/>
          <w:color w:val="000000"/>
          <w:sz w:val="24"/>
        </w:rPr>
        <w:t>BACKGROUND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Regents and Intellikine, Inc. entered into an Exclusive License Agreement dated August 10, 2007, as amended on March 13, 2009, July 8, 2009, November 30, 2010, September 8, 2014, and August 4, 2021 (hereinafter collectively referred to as the “Original Agreement”), which Original Agreement was subject to the Substitution of Parties Agreement between Millennium Pharmaceuticals, Inc. and The Regents dated January 6, 2012, and to the Consent to Substitution of Party Agreement between Millennium Pharmaceuticals, Inc., The Regents, and Licensee dated October 18, 2021.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Following the terms of Paragraph 10.6, Licensee has consulted with The Regents, and the Parties have determined that an extension of the Diligence Milestone described in Paragraph 10.5.3 is appropriate. [***] Accordingly, The Regents and Licensee wish to amend the Original Agreement to [***] extend this diligence timeline, and update the Notices section.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AMENDMENT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Original Agreement is hereby amended as follows: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A in the Background is hereby deleted and replaced by:</w:t>
      </w:r>
    </w:p>
    <w:p>
      <w:pPr>
        <w:pStyle w:val="TextBody"/>
        <w:bidi w:val="0"/>
        <w:jc w:val="left"/>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A. “Certain inventions, generally characterized as [***], (collectively, the “Invention”) were made in the course of research by employees of UCSF, Howard Hughes Medical Institute, and/or Bioseek, and are claimed in the Patent Rights as defined below.”</w:t>
      </w:r>
    </w:p>
    <w:p>
      <w:pPr>
        <w:pStyle w:val="TextBody"/>
        <w:bidi w:val="0"/>
        <w:jc w:val="left"/>
        <w:rPr>
          <w:rFonts w:ascii="Times New Roman" w:hAnsi="Times New Roman"/>
          <w:color w:val="000000"/>
          <w:sz w:val="24"/>
        </w:rPr>
      </w:pPr>
      <w:r>
        <w:rPr>
          <w:rFonts w:ascii="Times New Roman" w:hAnsi="Times New Roman"/>
          <w:color w:val="000000"/>
          <w:sz w:val="24"/>
        </w:rPr>
        <w:t>Paragraph 1.33 (“Patent Rights”) is hereby deleted and replaced by the following table:</w:t>
      </w:r>
    </w:p>
    <w:p>
      <w:pPr>
        <w:pStyle w:val="TextBody"/>
        <w:bidi w:val="0"/>
        <w:jc w:val="left"/>
        <w:rPr/>
      </w:pPr>
      <w:r>
        <w:rPr/>
        <w:t> </w:t>
      </w:r>
    </w:p>
    <w:tbl>
      <w:tblPr>
        <w:tblW w:w="7218" w:type="dxa"/>
        <w:jc w:val="left"/>
        <w:tblInd w:w="0" w:type="dxa"/>
        <w:tblLayout w:type="fixed"/>
        <w:tblCellMar>
          <w:top w:w="28" w:type="dxa"/>
          <w:left w:w="28" w:type="dxa"/>
          <w:bottom w:w="28" w:type="dxa"/>
          <w:right w:w="28" w:type="dxa"/>
        </w:tblCellMar>
      </w:tblPr>
      <w:tblGrid>
        <w:gridCol w:w="1831"/>
        <w:gridCol w:w="3376"/>
        <w:gridCol w:w="2011"/>
      </w:tblGrid>
      <w:tr>
        <w:trPr/>
        <w:tc>
          <w:tcPr>
            <w:tcW w:w="1831"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UC Case Number</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United States Application Number</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Filing or Issue Date</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1.44 is hereby deleted.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9.1 (“Milestone Payments”) is hereby deleted and replaced by:</w:t>
      </w:r>
    </w:p>
    <w:p>
      <w:pPr>
        <w:pStyle w:val="TextBody"/>
        <w:bidi w:val="0"/>
        <w:jc w:val="left"/>
        <w:rPr>
          <w:rFonts w:ascii="Times New Roman" w:hAnsi="Times New Roman"/>
          <w:color w:val="000000"/>
          <w:sz w:val="24"/>
        </w:rPr>
      </w:pPr>
      <w:r>
        <w:rPr>
          <w:rFonts w:ascii="Times New Roman" w:hAnsi="Times New Roman"/>
          <w:color w:val="000000"/>
          <w:sz w:val="24"/>
        </w:rPr>
        <w:t>9.1 With respect to each [***] Licensed Product and [***] Licensed Product, the Licensee will pay to The Regents the following amounts for each milestone below achieved by the Licensee or any Affiliate, Joint Venture, or Sublicensee, which will be non-refundable and which may not be credited against any other amounts owed to The Regents by the Licensee under this Agreement (each a “Milestone Payment”):</w:t>
      </w:r>
    </w:p>
    <w:p>
      <w:pPr>
        <w:pStyle w:val="TextBody"/>
        <w:bidi w:val="0"/>
        <w:jc w:val="left"/>
        <w:rPr/>
      </w:pPr>
      <w:r>
        <w:rPr/>
        <w:t> </w:t>
      </w:r>
    </w:p>
    <w:p>
      <w:pPr>
        <w:pStyle w:val="TextBody"/>
        <w:bidi w:val="0"/>
        <w:ind w:left="1800" w:right="0" w:hanging="0"/>
        <w:jc w:val="left"/>
        <w:rPr>
          <w:rFonts w:ascii="Times New Roman" w:hAnsi="Times New Roman"/>
          <w:color w:val="000000"/>
          <w:sz w:val="24"/>
        </w:rPr>
      </w:pPr>
      <w:r>
        <w:rPr>
          <w:rFonts w:ascii="Times New Roman" w:hAnsi="Times New Roman"/>
          <w:color w:val="000000"/>
          <w:sz w:val="24"/>
        </w:rPr>
        <w:t>9.1.l [***];</w:t>
      </w:r>
    </w:p>
    <w:p>
      <w:pPr>
        <w:pStyle w:val="TextBody"/>
        <w:bidi w:val="0"/>
        <w:ind w:left="1800" w:right="0" w:hanging="0"/>
        <w:jc w:val="left"/>
        <w:rPr>
          <w:rFonts w:ascii="Times New Roman" w:hAnsi="Times New Roman"/>
          <w:color w:val="000000"/>
          <w:sz w:val="24"/>
        </w:rPr>
      </w:pPr>
      <w:r>
        <w:rPr>
          <w:rFonts w:ascii="Times New Roman" w:hAnsi="Times New Roman"/>
          <w:color w:val="000000"/>
          <w:sz w:val="24"/>
        </w:rPr>
        <w:t>9.1.2 [***];</w:t>
      </w:r>
    </w:p>
    <w:p>
      <w:pPr>
        <w:pStyle w:val="TextBody"/>
        <w:bidi w:val="0"/>
        <w:ind w:left="1800" w:right="0" w:hanging="0"/>
        <w:jc w:val="left"/>
        <w:rPr>
          <w:rFonts w:ascii="Times New Roman" w:hAnsi="Times New Roman"/>
          <w:color w:val="000000"/>
          <w:sz w:val="24"/>
        </w:rPr>
      </w:pPr>
      <w:r>
        <w:rPr>
          <w:rFonts w:ascii="Times New Roman" w:hAnsi="Times New Roman"/>
          <w:color w:val="000000"/>
          <w:sz w:val="24"/>
        </w:rPr>
        <w:t>9.1.3 [***];</w:t>
      </w:r>
    </w:p>
    <w:p>
      <w:pPr>
        <w:pStyle w:val="TextBody"/>
        <w:bidi w:val="0"/>
        <w:ind w:left="1800" w:right="0" w:hanging="0"/>
        <w:jc w:val="left"/>
        <w:rPr>
          <w:rFonts w:ascii="Times New Roman" w:hAnsi="Times New Roman"/>
          <w:color w:val="000000"/>
          <w:sz w:val="24"/>
        </w:rPr>
      </w:pPr>
      <w:r>
        <w:rPr>
          <w:rFonts w:ascii="Times New Roman" w:hAnsi="Times New Roman"/>
          <w:color w:val="000000"/>
          <w:sz w:val="24"/>
        </w:rPr>
        <w:t>9.1.4 [***];</w:t>
      </w:r>
    </w:p>
    <w:p>
      <w:pPr>
        <w:pStyle w:val="TextBody"/>
        <w:bidi w:val="0"/>
        <w:ind w:left="1800" w:right="0" w:hanging="0"/>
        <w:jc w:val="left"/>
        <w:rPr>
          <w:rFonts w:ascii="Times New Roman" w:hAnsi="Times New Roman"/>
          <w:color w:val="000000"/>
          <w:sz w:val="24"/>
        </w:rPr>
      </w:pPr>
      <w:r>
        <w:rPr>
          <w:rFonts w:ascii="Times New Roman" w:hAnsi="Times New Roman"/>
          <w:color w:val="000000"/>
          <w:sz w:val="24"/>
        </w:rPr>
        <w:t>9.1.5 [***]; and</w:t>
      </w:r>
    </w:p>
    <w:p>
      <w:pPr>
        <w:pStyle w:val="TextBody"/>
        <w:bidi w:val="0"/>
        <w:ind w:left="1800" w:right="0" w:hanging="0"/>
        <w:jc w:val="left"/>
        <w:rPr>
          <w:rFonts w:ascii="Times New Roman" w:hAnsi="Times New Roman"/>
          <w:color w:val="000000"/>
          <w:sz w:val="24"/>
        </w:rPr>
      </w:pPr>
      <w:r>
        <w:rPr>
          <w:rFonts w:ascii="Times New Roman" w:hAnsi="Times New Roman"/>
          <w:color w:val="000000"/>
          <w:sz w:val="24"/>
        </w:rPr>
        <w:t>9.1.6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10.3 in Due Diligence is hereby deleted and replaced by:</w:t>
      </w:r>
    </w:p>
    <w:p>
      <w:pPr>
        <w:pStyle w:val="TextBody"/>
        <w:bidi w:val="0"/>
        <w:jc w:val="left"/>
        <w:rPr>
          <w:rFonts w:ascii="Times New Roman" w:hAnsi="Times New Roman"/>
          <w:color w:val="000000"/>
          <w:sz w:val="24"/>
        </w:rPr>
      </w:pPr>
      <w:r>
        <w:rPr>
          <w:rFonts w:ascii="Times New Roman" w:hAnsi="Times New Roman"/>
          <w:color w:val="000000"/>
          <w:sz w:val="24"/>
        </w:rPr>
        <w:t>10.3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10.4 in Due Diligence is hereby deleted and replaced by:</w:t>
      </w:r>
    </w:p>
    <w:p>
      <w:pPr>
        <w:pStyle w:val="TextBody"/>
        <w:bidi w:val="0"/>
        <w:jc w:val="left"/>
        <w:rPr>
          <w:rFonts w:ascii="Times New Roman" w:hAnsi="Times New Roman"/>
          <w:color w:val="000000"/>
          <w:sz w:val="24"/>
        </w:rPr>
      </w:pPr>
      <w:r>
        <w:rPr>
          <w:rFonts w:ascii="Times New Roman" w:hAnsi="Times New Roman"/>
          <w:color w:val="000000"/>
          <w:sz w:val="24"/>
        </w:rPr>
        <w:t>Left intentionally blank.</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10.5.3 in Due Diligence is hereby deleted and replaced by:</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10.9 is hereby deleted.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Paragraph 24.1 of the Original Agreement (“Notices”) is hereby deleted and replaced with:</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notice or payment hereunder shall be deemed to have been property given when sent in writing in English to the respective address below and shall be deemed effective:</w:t>
      </w:r>
    </w:p>
    <w:p>
      <w:pPr>
        <w:pStyle w:val="TextBody"/>
        <w:bidi w:val="0"/>
        <w:jc w:val="left"/>
        <w:rPr>
          <w:rFonts w:ascii="Times New Roman" w:hAnsi="Times New Roman"/>
          <w:sz w:val="20"/>
        </w:rPr>
      </w:pPr>
      <w:r>
        <w:rPr>
          <w:rFonts w:ascii="Times New Roman" w:hAnsi="Times New Roman"/>
          <w:color w:val="000000"/>
          <w:sz w:val="24"/>
        </w:rPr>
        <w:t>on the date of delivery if delivered in person, on the date of mailing if mailed by first-class certified mail, postage paid, or on the date of mailing if mailed by any global express carrier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jc w:val="left"/>
        <w:rPr>
          <w:rFonts w:ascii="Times New Roman" w:hAnsi="Times New Roman"/>
          <w:color w:val="000000"/>
          <w:sz w:val="24"/>
        </w:rPr>
      </w:pPr>
      <w:r>
        <w:rPr>
          <w:rFonts w:ascii="Times New Roman" w:hAnsi="Times New Roman"/>
          <w:color w:val="000000"/>
          <w:sz w:val="24"/>
        </w:rPr>
        <w:t>service that requires the recipient to sign the documents demonstrating the delivery of such notice or payment, or in the case of notices, if sent by email, on the date the recipient acknowledges having received that email by either an email sent to the sender or by a notice delivered by another method in accordance with this Paragraph 24.1 (Notices), provided that, automated replies and “read receipts” shall not be considered acknowledgement of receipt.</w:t>
      </w:r>
    </w:p>
    <w:p>
      <w:pPr>
        <w:pStyle w:val="TextBody"/>
        <w:bidi w:val="0"/>
        <w:jc w:val="left"/>
        <w:rPr>
          <w:rFonts w:ascii="Times New Roman" w:hAnsi="Times New Roman"/>
          <w:color w:val="000000"/>
          <w:sz w:val="24"/>
        </w:rPr>
      </w:pPr>
      <w:r>
        <w:rPr>
          <w:rFonts w:ascii="Times New Roman" w:hAnsi="Times New Roman"/>
          <w:color w:val="000000"/>
          <w:sz w:val="24"/>
        </w:rPr>
        <w:t>In the case of Licensee:</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Calithera Biosciences, Inc.</w:t>
        <w:br/>
        <w:t>343 Oyster Point Blvd., Suite 200</w:t>
        <w:br/>
        <w:t>South San Francisco, CA 94080</w:t>
        <w:br/>
        <w:t>Attention: [***]</w:t>
        <w:br/>
        <w:t>Email: [***]</w:t>
      </w:r>
    </w:p>
    <w:p>
      <w:pPr>
        <w:pStyle w:val="TextBody"/>
        <w:bidi w:val="0"/>
        <w:ind w:left="2160" w:right="0" w:hanging="0"/>
        <w:jc w:val="left"/>
        <w:rPr>
          <w:rFonts w:ascii="Times New Roman" w:hAnsi="Times New Roman"/>
          <w:color w:val="000000"/>
          <w:sz w:val="24"/>
        </w:rPr>
      </w:pPr>
      <w:r>
        <w:rPr>
          <w:rFonts w:ascii="Times New Roman" w:hAnsi="Times New Roman"/>
          <w:color w:val="000000"/>
          <w:sz w:val="24"/>
        </w:rPr>
        <w:t>With a copy to:</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Calithera Biosciences, Inc.</w:t>
        <w:br/>
        <w:t>343 Oyster Point Blvd., Suite 200</w:t>
        <w:br/>
        <w:t>South San Francisco, CA 94080</w:t>
        <w:br/>
        <w:t>Attention: [***]</w:t>
        <w:br/>
        <w:t>Email: [***]</w:t>
      </w:r>
    </w:p>
    <w:p>
      <w:pPr>
        <w:pStyle w:val="TextBody"/>
        <w:bidi w:val="0"/>
        <w:jc w:val="left"/>
        <w:rPr>
          <w:rFonts w:ascii="Times New Roman" w:hAnsi="Times New Roman"/>
          <w:color w:val="000000"/>
          <w:sz w:val="24"/>
        </w:rPr>
      </w:pPr>
      <w:r>
        <w:rPr>
          <w:rFonts w:ascii="Times New Roman" w:hAnsi="Times New Roman"/>
          <w:color w:val="000000"/>
          <w:sz w:val="24"/>
        </w:rPr>
        <w:t>In the case of The Regents:</w:t>
      </w:r>
    </w:p>
    <w:p>
      <w:pPr>
        <w:pStyle w:val="TextBody"/>
        <w:bidi w:val="0"/>
        <w:ind w:left="2160" w:right="0" w:hanging="0"/>
        <w:jc w:val="left"/>
        <w:rPr>
          <w:rFonts w:ascii="Times New Roman" w:hAnsi="Times New Roman"/>
          <w:i/>
          <w:color w:val="000000"/>
          <w:sz w:val="24"/>
        </w:rPr>
      </w:pPr>
      <w:r>
        <w:rPr>
          <w:rFonts w:ascii="Times New Roman" w:hAnsi="Times New Roman"/>
          <w:i/>
          <w:color w:val="000000"/>
          <w:sz w:val="24"/>
        </w:rPr>
        <w:t>For notices:</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University of California, San Francisco</w:t>
        <w:br/>
        <w:t>Innovation Ventures, Office of Technology Management, Box 2142</w:t>
        <w:br/>
        <w:t>600 16th Street, Suite S272</w:t>
        <w:br/>
        <w:t>San Francisco, CA 94143</w:t>
        <w:br/>
        <w:t>(for Fed-Ex use postal code 94158)</w:t>
        <w:br/>
        <w:t>Attention: [***]</w:t>
        <w:br/>
        <w:t>Referring to: [***]</w:t>
        <w:br/>
        <w:t>Email: [***]</w:t>
      </w:r>
    </w:p>
    <w:p>
      <w:pPr>
        <w:pStyle w:val="TextBody"/>
        <w:bidi w:val="0"/>
        <w:ind w:left="2160" w:right="0" w:hanging="0"/>
        <w:jc w:val="left"/>
        <w:rPr>
          <w:rFonts w:ascii="Times New Roman" w:hAnsi="Times New Roman"/>
          <w:i/>
          <w:color w:val="000000"/>
          <w:sz w:val="24"/>
        </w:rPr>
      </w:pPr>
      <w:r>
        <w:rPr>
          <w:rFonts w:ascii="Times New Roman" w:hAnsi="Times New Roman"/>
          <w:i/>
          <w:color w:val="000000"/>
          <w:sz w:val="24"/>
        </w:rPr>
        <w:t>For remittance of payments:</w:t>
      </w:r>
    </w:p>
    <w:p>
      <w:pPr>
        <w:pStyle w:val="TextBody"/>
        <w:bidi w:val="0"/>
        <w:ind w:left="2520" w:right="0" w:hanging="0"/>
        <w:jc w:val="left"/>
        <w:rPr>
          <w:rFonts w:ascii="Times New Roman" w:hAnsi="Times New Roman"/>
          <w:color w:val="000000"/>
          <w:sz w:val="24"/>
        </w:rPr>
      </w:pPr>
      <w:r>
        <w:rPr>
          <w:rFonts w:ascii="Times New Roman" w:hAnsi="Times New Roman"/>
          <w:color w:val="000000"/>
          <w:sz w:val="24"/>
        </w:rPr>
        <w:t>Innovation Alliances and Services</w:t>
        <w:br/>
        <w:t>Attn: Accounts Receivable</w:t>
        <w:br/>
        <w:t>University of California Office of the President</w:t>
        <w:br/>
        <w:t>1111 Franklin Street, 5th Floor</w:t>
        <w:br/>
        <w:t>Oakland, CA 94607-5200</w:t>
        <w:br/>
        <w:t>Referring to: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Amendment No. 6 shall be deemed an integral part of the Original Agreement. Except as expressly set forth herein, all provisions of the Original Agreement shall remain unchanged and in full force and effect. The Parties express herein their mutual intention that this Amendment No. 6 shall constitute a legally binding amendment to the Original Agreement. This Amendment No. 6 shall be construed and interpreted pursuant to the laws stipulated in the Original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Amendment may be executed in one or more counterparts, each of which together shall constitute one and the same Agreement. For purposes of executing this Amendment, a PDF copy of this Amendment, including signature pages, will be deemed an original.</w:t>
      </w:r>
    </w:p>
    <w:p>
      <w:pPr>
        <w:pStyle w:val="TextBody"/>
        <w:bidi w:val="0"/>
        <w:ind w:left="0" w:right="0" w:firstLine="72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7F7F7F"/>
          <w:sz w:val="20"/>
          <w:u w:val="single"/>
        </w:rPr>
      </w:pPr>
      <w:r>
        <w:rPr>
          <w:rFonts w:ascii="Times New Roman" w:hAnsi="Times New Roman"/>
          <w:b/>
          <w:color w:val="7F7F7F"/>
          <w:sz w:val="20"/>
          <w:u w:val="single"/>
        </w:rPr>
        <w:t>Exhibit 10.19</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IN WITNESS WHEREOF, the Parties hereto have executed these presents in duplicate by their duly authorized officers or representatives as of the date below:</w:t>
      </w:r>
    </w:p>
    <w:tbl>
      <w:tblPr>
        <w:tblW w:w="9527" w:type="dxa"/>
        <w:jc w:val="left"/>
        <w:tblInd w:w="0" w:type="dxa"/>
        <w:tblLayout w:type="fixed"/>
        <w:tblCellMar>
          <w:top w:w="28" w:type="dxa"/>
          <w:left w:w="28" w:type="dxa"/>
          <w:bottom w:w="28" w:type="dxa"/>
          <w:right w:w="28" w:type="dxa"/>
        </w:tblCellMar>
      </w:tblPr>
      <w:tblGrid>
        <w:gridCol w:w="5386"/>
        <w:gridCol w:w="4141"/>
      </w:tblGrid>
      <w:tr>
        <w:trPr/>
        <w:tc>
          <w:tcPr>
            <w:tcW w:w="538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600" w:after="600"/>
              <w:jc w:val="left"/>
              <w:rPr>
                <w:rFonts w:ascii="Times New Roman" w:hAnsi="Times New Roman"/>
                <w:b/>
                <w:smallCaps/>
                <w:color w:val="000000"/>
                <w:sz w:val="24"/>
              </w:rPr>
            </w:pPr>
            <w:r>
              <w:rPr>
                <w:rFonts w:ascii="Times New Roman" w:hAnsi="Times New Roman"/>
                <w:b/>
                <w:smallCaps/>
                <w:color w:val="000000"/>
                <w:sz w:val="24"/>
              </w:rPr>
              <w:t>The Regents of the University of California</w:t>
            </w:r>
          </w:p>
        </w:tc>
        <w:tc>
          <w:tcPr>
            <w:tcW w:w="4141" w:type="dxa"/>
            <w:tcBorders/>
            <w:tcMar>
              <w:top w:w="0" w:type="dxa"/>
              <w:left w:w="0" w:type="dxa"/>
              <w:bottom w:w="0" w:type="dxa"/>
              <w:right w:w="0" w:type="dxa"/>
            </w:tcMar>
            <w:vAlign w:val="center"/>
          </w:tcPr>
          <w:p>
            <w:pPr>
              <w:pStyle w:val="TableContents"/>
              <w:bidi w:val="0"/>
              <w:spacing w:before="600" w:after="600"/>
              <w:jc w:val="left"/>
              <w:rPr>
                <w:rFonts w:ascii="Times New Roman" w:hAnsi="Times New Roman"/>
                <w:b/>
                <w:smallCaps/>
                <w:color w:val="000000"/>
                <w:sz w:val="24"/>
              </w:rPr>
            </w:pPr>
            <w:r>
              <w:rPr>
                <w:rFonts w:ascii="Times New Roman" w:hAnsi="Times New Roman"/>
                <w:b/>
                <w:smallCaps/>
                <w:color w:val="000000"/>
                <w:sz w:val="24"/>
              </w:rPr>
              <w:t>Calithera Biosciences, Inc.</w:t>
            </w:r>
          </w:p>
        </w:tc>
      </w:tr>
      <w:tr>
        <w:trPr/>
        <w:tc>
          <w:tcPr>
            <w:tcW w:w="538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By:</w:t>
            </w:r>
          </w:p>
          <w:p>
            <w:pPr>
              <w:pStyle w:val="TableContents"/>
              <w:pBdr/>
              <w:bidi w:val="0"/>
              <w:spacing w:before="0" w:after="240"/>
              <w:ind w:left="0" w:right="0" w:hanging="796"/>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Gonzalo Barrera-Hernandez</w:t>
            </w:r>
          </w:p>
          <w:p>
            <w:pPr>
              <w:pStyle w:val="TableContents"/>
              <w:pBdr/>
              <w:bidi w:val="0"/>
              <w:spacing w:before="0" w:after="240"/>
              <w:ind w:left="0" w:right="0" w:hanging="796"/>
              <w:jc w:val="left"/>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Director</w:t>
            </w:r>
          </w:p>
          <w:p>
            <w:pPr>
              <w:pStyle w:val="TableContents"/>
              <w:pBdr/>
              <w:bidi w:val="0"/>
              <w:spacing w:before="0" w:after="240"/>
              <w:ind w:left="0" w:right="0" w:hanging="796"/>
              <w:jc w:val="left"/>
              <w:rPr>
                <w:rFonts w:ascii="Times New Roman" w:hAnsi="Times New Roman"/>
                <w:sz w:val="24"/>
              </w:rPr>
            </w:pPr>
            <w:r>
              <w:rPr>
                <w:rFonts w:ascii="Times New Roman" w:hAnsi="Times New Roman"/>
                <w:color w:val="000000"/>
                <w:sz w:val="24"/>
              </w:rPr>
              <w:t xml:space="preserve">Date: </w:t>
            </w:r>
            <w:r>
              <w:rPr>
                <w:rFonts w:ascii="Times New Roman" w:hAnsi="Times New Roman"/>
                <w:color w:val="000000"/>
                <w:sz w:val="24"/>
                <w:u w:val="single"/>
              </w:rPr>
              <w:t>2/4/2022</w:t>
            </w:r>
          </w:p>
        </w:tc>
        <w:tc>
          <w:tcPr>
            <w:tcW w:w="41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By:</w:t>
            </w:r>
          </w:p>
          <w:p>
            <w:pPr>
              <w:pStyle w:val="TableContents"/>
              <w:pBdr/>
              <w:bidi w:val="0"/>
              <w:spacing w:before="0" w:after="240"/>
              <w:ind w:left="0" w:right="0" w:hanging="796"/>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Susan M. Molineaux, Ph.D.</w:t>
            </w:r>
          </w:p>
          <w:p>
            <w:pPr>
              <w:pStyle w:val="TableContents"/>
              <w:pBdr/>
              <w:bidi w:val="0"/>
              <w:spacing w:before="0" w:after="240"/>
              <w:ind w:left="0" w:right="0" w:hanging="796"/>
              <w:jc w:val="left"/>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President &amp; Chief Executive Officer</w:t>
            </w:r>
          </w:p>
          <w:p>
            <w:pPr>
              <w:pStyle w:val="TableContents"/>
              <w:pBdr/>
              <w:bidi w:val="0"/>
              <w:spacing w:before="0" w:after="240"/>
              <w:ind w:left="0" w:right="0" w:hanging="796"/>
              <w:jc w:val="left"/>
              <w:rPr>
                <w:rFonts w:ascii="Times New Roman" w:hAnsi="Times New Roman"/>
                <w:sz w:val="24"/>
              </w:rPr>
            </w:pPr>
            <w:r>
              <w:rPr>
                <w:rFonts w:ascii="Times New Roman" w:hAnsi="Times New Roman"/>
                <w:color w:val="000000"/>
                <w:sz w:val="24"/>
              </w:rPr>
              <w:t xml:space="preserve">Date: </w:t>
            </w:r>
            <w:r>
              <w:rPr>
                <w:rFonts w:ascii="Times New Roman" w:hAnsi="Times New Roman"/>
                <w:color w:val="000000"/>
                <w:sz w:val="24"/>
                <w:u w:val="single"/>
              </w:rPr>
              <w:t>2/8/2022</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i/>
          <w:color w:val="000000"/>
          <w:sz w:val="20"/>
        </w:rPr>
      </w:pPr>
      <w:bookmarkStart w:id="49" w:name="snse-ex10_20.htm"/>
      <w:bookmarkStart w:id="50" w:name="kssnseex10_20"/>
      <w:bookmarkEnd w:id="49"/>
      <w:bookmarkEnd w:id="50"/>
      <w:r>
        <w:rPr>
          <w:rFonts w:ascii="Times New Roman" w:hAnsi="Times New Roman"/>
          <w:i/>
          <w:color w:val="000000"/>
          <w:sz w:val="20"/>
        </w:rPr>
        <w:t>Exhibit 10.20</w:t>
      </w:r>
      <w:r>
        <w:br w:type="page"/>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CERTAIN INFORMATION HAS BEEN EXCLUDED FROM THIS AGREEMENT (INDICATED BY “[***]”) BECAUSE SUCH INFORMATION IS BOTH (A) NOT MATERIAL AND (B) THE TYPE THAT THE REGISTRANT CUSTOMARILY AND ACTUALLY TREATS AS PRIVATE OR CONFIDENTIAL.</w:t>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LICENSE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BY AND BETWEEN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TAKEDA PHARMACEUTICAL COMPANY LIMITED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AND</w:t>
      </w:r>
    </w:p>
    <w:p>
      <w:pPr>
        <w:pStyle w:val="TextBody"/>
        <w:bidi w:val="0"/>
        <w:spacing w:before="0" w:after="720"/>
        <w:jc w:val="center"/>
        <w:rPr>
          <w:rFonts w:ascii="Times New Roman" w:hAnsi="Times New Roman"/>
          <w:color w:val="000000"/>
          <w:sz w:val="20"/>
        </w:rPr>
      </w:pPr>
      <w:r>
        <w:rPr>
          <w:rFonts w:ascii="Times New Roman" w:hAnsi="Times New Roman"/>
          <w:color w:val="000000"/>
          <w:sz w:val="20"/>
        </w:rPr>
        <w:t>PETRA PHARMA CORPORATION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LICENSE AGREEMENT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This License Agreement (“</w:t>
      </w:r>
      <w:r>
        <w:rPr>
          <w:rFonts w:ascii="Times New Roman" w:hAnsi="Times New Roman"/>
          <w:b/>
          <w:color w:val="000000"/>
          <w:sz w:val="20"/>
        </w:rPr>
        <w:t>Agreement</w:t>
      </w:r>
      <w:r>
        <w:rPr>
          <w:rFonts w:ascii="Times New Roman" w:hAnsi="Times New Roman"/>
          <w:color w:val="000000"/>
          <w:sz w:val="20"/>
        </w:rPr>
        <w:t>”) is dated as of March 18, 2019 (the “</w:t>
      </w:r>
      <w:r>
        <w:rPr>
          <w:rFonts w:ascii="Times New Roman" w:hAnsi="Times New Roman"/>
          <w:b/>
          <w:color w:val="000000"/>
          <w:sz w:val="20"/>
        </w:rPr>
        <w:t>Effective Date</w:t>
      </w:r>
      <w:r>
        <w:rPr>
          <w:rFonts w:ascii="Times New Roman" w:hAnsi="Times New Roman"/>
          <w:color w:val="000000"/>
          <w:sz w:val="20"/>
        </w:rPr>
        <w:t>”) by and between Takeda Pharmaceutical Company Limited having a business address at 1-1, Nihonbashi-Honcho 2-chome, Chuo-ku, Tokyo 103-8636, Japan (“</w:t>
      </w:r>
      <w:r>
        <w:rPr>
          <w:rFonts w:ascii="Times New Roman" w:hAnsi="Times New Roman"/>
          <w:b/>
          <w:color w:val="000000"/>
          <w:sz w:val="20"/>
        </w:rPr>
        <w:t>Takeda</w:t>
      </w:r>
      <w:r>
        <w:rPr>
          <w:rFonts w:ascii="Times New Roman" w:hAnsi="Times New Roman"/>
          <w:color w:val="000000"/>
          <w:sz w:val="20"/>
        </w:rPr>
        <w:t>”), and Petra Pharma Corporation, having a business address at 450 E 29th St., Suite 506, New York, NY 10016 (“</w:t>
      </w:r>
      <w:r>
        <w:rPr>
          <w:rFonts w:ascii="Times New Roman" w:hAnsi="Times New Roman"/>
          <w:b/>
          <w:color w:val="000000"/>
          <w:sz w:val="20"/>
        </w:rPr>
        <w:t>Petra</w:t>
      </w:r>
      <w:r>
        <w:rPr>
          <w:rFonts w:ascii="Times New Roman" w:hAnsi="Times New Roman"/>
          <w:color w:val="000000"/>
          <w:sz w:val="20"/>
        </w:rPr>
        <w:t>”). Each of Takeda and Petra may be referred to herein separately as a “</w:t>
      </w:r>
      <w:r>
        <w:rPr>
          <w:rFonts w:ascii="Times New Roman" w:hAnsi="Times New Roman"/>
          <w:b/>
          <w:color w:val="000000"/>
          <w:sz w:val="20"/>
        </w:rPr>
        <w:t>Party</w:t>
      </w:r>
      <w:r>
        <w:rPr>
          <w:rFonts w:ascii="Times New Roman" w:hAnsi="Times New Roman"/>
          <w:color w:val="000000"/>
          <w:sz w:val="20"/>
        </w:rPr>
        <w:t>” or together as the “</w:t>
      </w:r>
      <w:r>
        <w:rPr>
          <w:rFonts w:ascii="Times New Roman" w:hAnsi="Times New Roman"/>
          <w:b/>
          <w:color w:val="000000"/>
          <w:sz w:val="20"/>
        </w:rPr>
        <w:t>Parties</w:t>
      </w:r>
      <w:r>
        <w:rPr>
          <w:rFonts w:ascii="Times New Roman" w:hAnsi="Times New Roman"/>
          <w:color w:val="000000"/>
          <w:sz w:val="20"/>
        </w:rPr>
        <w: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240"/>
        <w:ind w:left="0" w:right="0" w:firstLine="720"/>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Takeda owns or Controls certain intellectual property, including patents, know-how and data, and certain materials relating to Takeda’s PI3Kα-selective inhibitor known as TAK-117, and the discovery and development thereof, and Takeda has completed certain clinical trials of TAK-117 in patients; and</w:t>
      </w:r>
    </w:p>
    <w:p>
      <w:pPr>
        <w:pStyle w:val="TextBody"/>
        <w:bidi w:val="0"/>
        <w:spacing w:before="0" w:after="240"/>
        <w:ind w:left="0" w:right="0" w:firstLine="720"/>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Petra desires to exclusively license from Takeda and Takeda desires to exclusively license to Petra the right to use and otherwise exploit such intellectual property to develop, manufacture and commercialize the Licensed Compounds and Products in the Field in the Territory (as such terms are defined below).</w:t>
      </w:r>
    </w:p>
    <w:p>
      <w:pPr>
        <w:pStyle w:val="TextBody"/>
        <w:bidi w:val="0"/>
        <w:spacing w:before="0" w:after="240"/>
        <w:ind w:left="0" w:right="0" w:firstLine="720"/>
        <w:jc w:val="left"/>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mutual promises and undertakings set forth herein, mid intending to be legally bound hereby, the Parties agree as follows:</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1</w:t>
      </w:r>
      <w:r>
        <w:rPr>
          <w:rFonts w:ascii="Times New Roman" w:hAnsi="Times New Roman"/>
          <w:color w:val="000000"/>
          <w:sz w:val="20"/>
        </w:rPr>
        <w:br/>
      </w:r>
      <w:r>
        <w:rPr>
          <w:rFonts w:ascii="Times New Roman" w:hAnsi="Times New Roman"/>
          <w:b/>
          <w:color w:val="000000"/>
          <w:sz w:val="20"/>
        </w:rPr>
        <w:t>DEFINITIONS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Unless otherwise defined elsewhere in the Agreement, all capitalized terms shall have the following meanings: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 </w:t>
      </w:r>
      <w:r>
        <w:rPr>
          <w:rFonts w:ascii="Times New Roman" w:hAnsi="Times New Roman"/>
          <w:color w:val="000000"/>
          <w:sz w:val="20"/>
        </w:rPr>
        <w:t>“</w:t>
      </w:r>
      <w:r>
        <w:rPr>
          <w:rFonts w:ascii="Times New Roman" w:hAnsi="Times New Roman"/>
          <w:b/>
          <w:color w:val="000000"/>
          <w:sz w:val="20"/>
        </w:rPr>
        <w:t>Adverse Event</w:t>
      </w:r>
      <w:r>
        <w:rPr>
          <w:rFonts w:ascii="Times New Roman" w:hAnsi="Times New Roman"/>
          <w:color w:val="000000"/>
          <w:sz w:val="20"/>
        </w:rPr>
        <w:t>” means any serious untoward medical occurrence in a patient or subject who is administered any Product, but only if and to the extent that such serious untoward medical occurrence is required under Laws to be reported to applicable Regulatory Authorities.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 </w:t>
      </w:r>
      <w:r>
        <w:rPr>
          <w:rFonts w:ascii="Times New Roman" w:hAnsi="Times New Roman"/>
          <w:color w:val="000000"/>
          <w:sz w:val="20"/>
        </w:rPr>
        <w:t>“</w:t>
      </w:r>
      <w:r>
        <w:rPr>
          <w:rFonts w:ascii="Times New Roman" w:hAnsi="Times New Roman"/>
          <w:b/>
          <w:color w:val="000000"/>
          <w:sz w:val="20"/>
        </w:rPr>
        <w:t>Affiliate</w:t>
      </w:r>
      <w:r>
        <w:rPr>
          <w:rFonts w:ascii="Times New Roman" w:hAnsi="Times New Roman"/>
          <w:color w:val="000000"/>
          <w:sz w:val="20"/>
        </w:rPr>
        <w:t>” means, with respect to a particular Party, a person, corporation, partnership, or other entity that controls, is controlled by or is under common 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1.3 </w:t>
      </w:r>
      <w:r>
        <w:rPr>
          <w:rFonts w:ascii="Times New Roman" w:hAnsi="Times New Roman"/>
          <w:color w:val="000000"/>
          <w:sz w:val="20"/>
        </w:rPr>
        <w:t>“</w:t>
      </w:r>
      <w:r>
        <w:rPr>
          <w:rFonts w:ascii="Times New Roman" w:hAnsi="Times New Roman"/>
          <w:b/>
          <w:color w:val="000000"/>
          <w:sz w:val="20"/>
        </w:rPr>
        <w:t>Bankruptcy Event</w:t>
      </w:r>
      <w:r>
        <w:rPr>
          <w:rFonts w:ascii="Times New Roman" w:hAnsi="Times New Roman"/>
          <w:color w:val="000000"/>
          <w:sz w:val="20"/>
        </w:rPr>
        <w:t>” means: (a) voluntary or involuntary proceedings by or against a Party are instituted in bankruptcy under any insolvency Law, which proceedings, if involuntary, shall not have been dismissed within [***]; (b) a receiver or custodian is appointed for a Party; (c) proceedings are instituted by or against a Party for corporate reorganization, dissolution, liquidation or winding-up of such Party, which proceedings, if involuntary, shall not have been dismissed within [***]; or (d) substantially all of the assets of a Party are seized or attached and not released within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1.4 </w:t>
      </w:r>
      <w:r>
        <w:rPr>
          <w:rFonts w:ascii="Times New Roman" w:hAnsi="Times New Roman"/>
          <w:color w:val="000000"/>
          <w:sz w:val="20"/>
        </w:rPr>
        <w:t>“</w:t>
      </w:r>
      <w:r>
        <w:rPr>
          <w:rFonts w:ascii="Times New Roman" w:hAnsi="Times New Roman"/>
          <w:b/>
          <w:color w:val="000000"/>
          <w:sz w:val="20"/>
        </w:rPr>
        <w:t>Calendar Quarter</w:t>
      </w:r>
      <w:r>
        <w:rPr>
          <w:rFonts w:ascii="Times New Roman" w:hAnsi="Times New Roman"/>
          <w:color w:val="000000"/>
          <w:sz w:val="20"/>
        </w:rPr>
        <w:t>” means each three (3) month period commencing January 1, April 1, July 1 or October 1 of any year; provided, however, that (a) the first Calendar Quarter of the Term shall extend from the Effective Date to the end of the first full Calendar Quarter thereafter, and (b) the last Calendar Quarter of the Term shall end upon the expiration or termination of this Agreement.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1.5 </w:t>
      </w:r>
      <w:r>
        <w:rPr>
          <w:rFonts w:ascii="Times New Roman" w:hAnsi="Times New Roman"/>
          <w:color w:val="000000"/>
          <w:sz w:val="20"/>
        </w:rPr>
        <w:t>“</w:t>
      </w:r>
      <w:r>
        <w:rPr>
          <w:rFonts w:ascii="Times New Roman" w:hAnsi="Times New Roman"/>
          <w:b/>
          <w:color w:val="000000"/>
          <w:sz w:val="20"/>
        </w:rPr>
        <w:t>Calendar Year</w:t>
      </w:r>
      <w:r>
        <w:rPr>
          <w:rFonts w:ascii="Times New Roman" w:hAnsi="Times New Roman"/>
          <w:color w:val="000000"/>
          <w:sz w:val="20"/>
        </w:rPr>
        <w:t>” means the period beginning on January 1 and ending on December 31 of the same year; provided, however, that (a) the first Calendar Year of the Term shall commence on the Effective Date and end on December 31 of the same year and (b) the last Calendar Year of the Term shall commence on January 1 of the Calendar Year in which this Agreement terminates or expires and end on the date of termination or expiration of this Agreement.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1.6 </w:t>
      </w:r>
      <w:r>
        <w:rPr>
          <w:rFonts w:ascii="Times New Roman" w:hAnsi="Times New Roman"/>
          <w:color w:val="000000"/>
          <w:sz w:val="20"/>
        </w:rPr>
        <w:t>“</w:t>
      </w:r>
      <w:r>
        <w:rPr>
          <w:rFonts w:ascii="Times New Roman" w:hAnsi="Times New Roman"/>
          <w:b/>
          <w:color w:val="000000"/>
          <w:sz w:val="20"/>
        </w:rPr>
        <w:t>Commercialization</w:t>
      </w:r>
      <w:r>
        <w:rPr>
          <w:rFonts w:ascii="Times New Roman" w:hAnsi="Times New Roman"/>
          <w:color w:val="000000"/>
          <w:sz w:val="20"/>
        </w:rPr>
        <w:t>” or “</w:t>
      </w:r>
      <w:r>
        <w:rPr>
          <w:rFonts w:ascii="Times New Roman" w:hAnsi="Times New Roman"/>
          <w:b/>
          <w:color w:val="000000"/>
          <w:sz w:val="20"/>
        </w:rPr>
        <w:t>Commercialize</w:t>
      </w:r>
      <w:r>
        <w:rPr>
          <w:rFonts w:ascii="Times New Roman" w:hAnsi="Times New Roman"/>
          <w:color w:val="000000"/>
          <w:sz w:val="20"/>
        </w:rPr>
        <w:t>” means any and all commercialization activities undertaken for any Product(s) including, but not limited to, the marketing, commercial strategy, pricing, promoting, distributing, physician targeting, reimbursement, branding, importing or exporting for sale, offering for sale and selling of the Product, and interacting with Regulatory Authorities regarding the foregoing.</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1.7 </w:t>
      </w:r>
      <w:r>
        <w:rPr>
          <w:rFonts w:ascii="Times New Roman" w:hAnsi="Times New Roman"/>
          <w:color w:val="000000"/>
          <w:sz w:val="20"/>
        </w:rPr>
        <w:t>“</w:t>
      </w:r>
      <w:r>
        <w:rPr>
          <w:rFonts w:ascii="Times New Roman" w:hAnsi="Times New Roman"/>
          <w:b/>
          <w:color w:val="000000"/>
          <w:sz w:val="20"/>
        </w:rPr>
        <w:t>Commercially Reasonable Efforts</w:t>
      </w:r>
      <w:r>
        <w:rPr>
          <w:rFonts w:ascii="Times New Roman" w:hAnsi="Times New Roman"/>
          <w:color w:val="000000"/>
          <w:sz w:val="20"/>
        </w:rPr>
        <w:t>” means: [***]. For clarity, Commercially Reasonable Efforts will not mean that a Party guarantees that it will actually accomplish the applicable task or objective or achieve any particular result.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1.8 </w:t>
      </w:r>
      <w:r>
        <w:rPr>
          <w:rFonts w:ascii="Times New Roman" w:hAnsi="Times New Roman"/>
          <w:color w:val="000000"/>
          <w:sz w:val="20"/>
        </w:rPr>
        <w:t>“</w:t>
      </w:r>
      <w:r>
        <w:rPr>
          <w:rFonts w:ascii="Times New Roman" w:hAnsi="Times New Roman"/>
          <w:b/>
          <w:color w:val="000000"/>
          <w:sz w:val="20"/>
        </w:rPr>
        <w:t>Confidential Information</w:t>
      </w:r>
      <w:r>
        <w:rPr>
          <w:rFonts w:ascii="Times New Roman" w:hAnsi="Times New Roman"/>
          <w:color w:val="000000"/>
          <w:sz w:val="20"/>
        </w:rPr>
        <w:t>” of a Party means all information relating to the business, operations or products of a Party or any of its Affiliates, including any Know-How, that such Party discloses to the other Party under this Agreement, or otherwise becomes known to the other Party by virtue of this Agreement, without regard as to whether any of the foregoing is marked “confidential” or “proprietary,” or that is disclosed in oral, written, graphic, or electronic form. Confidential Information shall include: (a) the terms and conditions of this Agreement; and (b) Confidential Information disclosed by either Party pursuant to the Confidentiality Agreement between Petra and Millennium Pharmaceuticals, Inc., a wholly owned subsidiary of Takeda Pharmaceutical Company Limited, dated [***].</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1.9 </w:t>
      </w:r>
      <w:r>
        <w:rPr>
          <w:rFonts w:ascii="Times New Roman" w:hAnsi="Times New Roman"/>
          <w:color w:val="000000"/>
          <w:sz w:val="20"/>
        </w:rPr>
        <w:t>“</w:t>
      </w:r>
      <w:r>
        <w:rPr>
          <w:rFonts w:ascii="Times New Roman" w:hAnsi="Times New Roman"/>
          <w:b/>
          <w:color w:val="000000"/>
          <w:sz w:val="20"/>
        </w:rPr>
        <w:t>Control</w:t>
      </w:r>
      <w:r>
        <w:rPr>
          <w:rFonts w:ascii="Times New Roman" w:hAnsi="Times New Roman"/>
          <w:color w:val="000000"/>
          <w:sz w:val="20"/>
        </w:rPr>
        <w:t>”, “</w:t>
      </w:r>
      <w:r>
        <w:rPr>
          <w:rFonts w:ascii="Times New Roman" w:hAnsi="Times New Roman"/>
          <w:b/>
          <w:color w:val="000000"/>
          <w:sz w:val="20"/>
        </w:rPr>
        <w:t>Controlling</w:t>
      </w:r>
      <w:r>
        <w:rPr>
          <w:rFonts w:ascii="Times New Roman" w:hAnsi="Times New Roman"/>
          <w:color w:val="000000"/>
          <w:sz w:val="20"/>
        </w:rPr>
        <w:t>” or “</w:t>
      </w:r>
      <w:r>
        <w:rPr>
          <w:rFonts w:ascii="Times New Roman" w:hAnsi="Times New Roman"/>
          <w:b/>
          <w:color w:val="000000"/>
          <w:sz w:val="20"/>
        </w:rPr>
        <w:t>Controlled</w:t>
      </w:r>
      <w:r>
        <w:rPr>
          <w:rFonts w:ascii="Times New Roman" w:hAnsi="Times New Roman"/>
          <w:color w:val="000000"/>
          <w:sz w:val="20"/>
        </w:rPr>
        <w:t>” means, with respect to a given Party or its Affiliate and a given (a) Patent Right, (b) Know-How, (c) intellectual property right not otherwise encompassed by (a) or (b), or (d) biological, chemical or physical material, that such Party or its Affiliate owns or has a license or sublicense to such Patent Rights, Know-How, intellectual property right, or material, (and in the case of material, has the right to physical possession of such material) and has the ability (without taking into account any rights granted by one Party to the other Party under the terms of this Agreement) to grant access, a license, or sublicense to, or assign its right, title and interest in and to, such Patent Rights, Know-How, information, intellectual property, or material, as provided for in this Agreement without violating the terms of any agreement or other arrangement with any Third Party.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1.10 </w:t>
      </w:r>
      <w:r>
        <w:rPr>
          <w:rFonts w:ascii="Times New Roman" w:hAnsi="Times New Roman"/>
          <w:color w:val="000000"/>
          <w:sz w:val="20"/>
        </w:rPr>
        <w:t>“</w:t>
      </w:r>
      <w:r>
        <w:rPr>
          <w:rFonts w:ascii="Times New Roman" w:hAnsi="Times New Roman"/>
          <w:b/>
          <w:color w:val="000000"/>
          <w:sz w:val="20"/>
        </w:rPr>
        <w:t>Development</w:t>
      </w:r>
      <w:r>
        <w:rPr>
          <w:rFonts w:ascii="Times New Roman" w:hAnsi="Times New Roman"/>
          <w:color w:val="000000"/>
          <w:sz w:val="20"/>
        </w:rPr>
        <w:t>” or “</w:t>
      </w:r>
      <w:r>
        <w:rPr>
          <w:rFonts w:ascii="Times New Roman" w:hAnsi="Times New Roman"/>
          <w:b/>
          <w:color w:val="000000"/>
          <w:sz w:val="20"/>
        </w:rPr>
        <w:t>Develop</w:t>
      </w:r>
      <w:r>
        <w:rPr>
          <w:rFonts w:ascii="Times New Roman" w:hAnsi="Times New Roman"/>
          <w:color w:val="000000"/>
          <w:sz w:val="20"/>
        </w:rPr>
        <w:t>” means, with respect to any Licensed Compounds or Product: all activities that relate to (a) obtaining, maintaining or expanding Regulatory Approval of a Product for one or more indications in the Field and in the Territory, including (i) the performance of all research and non-clinical development (including toxicology, pharmacology, test method development, formulation development, delivery system development, stability testing, process development, quality control development, and statistical analysis); (ii) the conduct of any clinical trials; (iii) clinical manufacturing and labelling activities; and (iv) regulatory activities that are required to obtain or maintain Regulatory Approval of a Product in the Territory, as well as (b) developing the process for the manufacture of clinical and commercial quantities of Product.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1.11 </w:t>
      </w:r>
      <w:r>
        <w:rPr>
          <w:rFonts w:ascii="Times New Roman" w:hAnsi="Times New Roman"/>
          <w:color w:val="000000"/>
          <w:sz w:val="20"/>
        </w:rPr>
        <w:t>“</w:t>
      </w:r>
      <w:r>
        <w:rPr>
          <w:rFonts w:ascii="Times New Roman" w:hAnsi="Times New Roman"/>
          <w:b/>
          <w:color w:val="000000"/>
          <w:sz w:val="20"/>
        </w:rPr>
        <w:t>Exploit</w:t>
      </w:r>
      <w:r>
        <w:rPr>
          <w:rFonts w:ascii="Times New Roman" w:hAnsi="Times New Roman"/>
          <w:color w:val="000000"/>
          <w:sz w:val="20"/>
        </w:rPr>
        <w:t>” or “</w:t>
      </w:r>
      <w:r>
        <w:rPr>
          <w:rFonts w:ascii="Times New Roman" w:hAnsi="Times New Roman"/>
          <w:b/>
          <w:color w:val="000000"/>
          <w:sz w:val="20"/>
        </w:rPr>
        <w:t>Exploitation</w:t>
      </w:r>
      <w:r>
        <w:rPr>
          <w:rFonts w:ascii="Times New Roman" w:hAnsi="Times New Roman"/>
          <w:color w:val="000000"/>
          <w:sz w:val="20"/>
        </w:rPr>
        <w:t>” means to research, Develop, make, have made, import, export, use, have used, sell, have sold, offer for sale, or otherwise dispose of or Commercialize.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1.12 </w:t>
      </w:r>
      <w:r>
        <w:rPr>
          <w:rFonts w:ascii="Times New Roman" w:hAnsi="Times New Roman"/>
          <w:color w:val="000000"/>
          <w:sz w:val="20"/>
        </w:rPr>
        <w:t>“</w:t>
      </w:r>
      <w:r>
        <w:rPr>
          <w:rFonts w:ascii="Times New Roman" w:hAnsi="Times New Roman"/>
          <w:b/>
          <w:color w:val="000000"/>
          <w:sz w:val="20"/>
        </w:rPr>
        <w:t>FDA</w:t>
      </w:r>
      <w:r>
        <w:rPr>
          <w:rFonts w:ascii="Times New Roman" w:hAnsi="Times New Roman"/>
          <w:color w:val="000000"/>
          <w:sz w:val="20"/>
        </w:rPr>
        <w:t>” means the United States Food and Drug Administration or a successor federal agency thereto.</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1.13 </w:t>
      </w:r>
      <w:r>
        <w:rPr>
          <w:rFonts w:ascii="Times New Roman" w:hAnsi="Times New Roman"/>
          <w:color w:val="000000"/>
          <w:sz w:val="20"/>
        </w:rPr>
        <w:t>“</w:t>
      </w:r>
      <w:r>
        <w:rPr>
          <w:rFonts w:ascii="Times New Roman" w:hAnsi="Times New Roman"/>
          <w:b/>
          <w:color w:val="000000"/>
          <w:sz w:val="20"/>
        </w:rPr>
        <w:t>Field</w:t>
      </w:r>
      <w:r>
        <w:rPr>
          <w:rFonts w:ascii="Times New Roman" w:hAnsi="Times New Roman"/>
          <w:color w:val="000000"/>
          <w:sz w:val="20"/>
        </w:rPr>
        <w:t xml:space="preserve">” means all human therapeutic uses except for the excluded Indications set forth in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b/>
          <w:color w:val="000000"/>
          <w:sz w:val="20"/>
        </w:rPr>
        <w:t>Excluded indications</w:t>
      </w:r>
      <w:r>
        <w:rPr>
          <w:rFonts w:ascii="Times New Roman" w:hAnsi="Times New Roman"/>
          <w:color w:val="000000"/>
          <w:sz w:val="20"/>
        </w:rPr>
        <w:t>”) attached hereto.</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1.14 </w:t>
      </w:r>
      <w:r>
        <w:rPr>
          <w:rFonts w:ascii="Times New Roman" w:hAnsi="Times New Roman"/>
          <w:color w:val="000000"/>
          <w:sz w:val="20"/>
        </w:rPr>
        <w:t>“</w:t>
      </w:r>
      <w:r>
        <w:rPr>
          <w:rFonts w:ascii="Times New Roman" w:hAnsi="Times New Roman"/>
          <w:b/>
          <w:color w:val="000000"/>
          <w:sz w:val="20"/>
        </w:rPr>
        <w:t>First Commercial Sale</w:t>
      </w:r>
      <w:r>
        <w:rPr>
          <w:rFonts w:ascii="Times New Roman" w:hAnsi="Times New Roman"/>
          <w:color w:val="000000"/>
          <w:sz w:val="20"/>
        </w:rPr>
        <w:t>” means, on a country-by-country basis, the first commercial transfer or disposition for value of any Product in such country to a Third Party by Petra or any of its Sublicensees. Transfers or dispositions of Product: (a) in connection with patient assistance programs; (b) for charitable or promotional purposes; (c) for preclinical, clinical, regulatory or governmental purposes or under so-called “named patient” or other limited access programs; or (d) for use in any tests or studies reasonably necessary to comply with any Law, regulation or request by a Regulatory Authority shall not, in each case of (a) through (d), be deemed commercial transfers or dispositions for value.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1.15 </w:t>
      </w:r>
      <w:r>
        <w:rPr>
          <w:rFonts w:ascii="Times New Roman" w:hAnsi="Times New Roman"/>
          <w:color w:val="000000"/>
          <w:sz w:val="20"/>
        </w:rPr>
        <w:t>“</w:t>
      </w:r>
      <w:r>
        <w:rPr>
          <w:rFonts w:ascii="Times New Roman" w:hAnsi="Times New Roman"/>
          <w:b/>
          <w:color w:val="000000"/>
          <w:sz w:val="20"/>
        </w:rPr>
        <w:t>Generic Competition Percentage</w:t>
      </w:r>
      <w:r>
        <w:rPr>
          <w:rFonts w:ascii="Times New Roman" w:hAnsi="Times New Roman"/>
          <w:color w:val="000000"/>
          <w:sz w:val="20"/>
        </w:rPr>
        <w:t>” means, with respect to each Product in a given country in the Territory in a given [***], the total number of units of all Generic Products sold by one or more Third Parties divided by the sum of (a) the total number of units of the applicable Product sold by Petra, its Affiliates and Sublicensees and (b) the total number of units of all Generic Products sold by one or more Third Parties in such country.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1.16 </w:t>
      </w:r>
      <w:r>
        <w:rPr>
          <w:rFonts w:ascii="Times New Roman" w:hAnsi="Times New Roman"/>
          <w:color w:val="000000"/>
          <w:sz w:val="20"/>
        </w:rPr>
        <w:t>“</w:t>
      </w:r>
      <w:r>
        <w:rPr>
          <w:rFonts w:ascii="Times New Roman" w:hAnsi="Times New Roman"/>
          <w:b/>
          <w:color w:val="000000"/>
          <w:sz w:val="20"/>
        </w:rPr>
        <w:t>Generic Product</w:t>
      </w:r>
      <w:r>
        <w:rPr>
          <w:rFonts w:ascii="Times New Roman" w:hAnsi="Times New Roman"/>
          <w:color w:val="000000"/>
          <w:sz w:val="20"/>
        </w:rPr>
        <w:t>” means, with respect to a particular Product in a particular country, any pharmaceutical product (other than the Product sold under authority from Petra) that contains the same active ingredient(s) and route of administration as such Product and has received Marketing Approval in such country.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1.17 </w:t>
      </w:r>
      <w:r>
        <w:rPr>
          <w:rFonts w:ascii="Times New Roman" w:hAnsi="Times New Roman"/>
          <w:color w:val="000000"/>
          <w:sz w:val="20"/>
        </w:rPr>
        <w:t>“</w:t>
      </w:r>
      <w:r>
        <w:rPr>
          <w:rFonts w:ascii="Times New Roman" w:hAnsi="Times New Roman"/>
          <w:b/>
          <w:color w:val="000000"/>
          <w:sz w:val="20"/>
        </w:rPr>
        <w:t>Governmental Body</w:t>
      </w:r>
      <w:r>
        <w:rPr>
          <w:rFonts w:ascii="Times New Roman" w:hAnsi="Times New Roman"/>
          <w:color w:val="000000"/>
          <w:sz w:val="20"/>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1.18 </w:t>
      </w:r>
      <w:r>
        <w:rPr>
          <w:rFonts w:ascii="Times New Roman" w:hAnsi="Times New Roman"/>
          <w:color w:val="000000"/>
          <w:sz w:val="20"/>
        </w:rPr>
        <w:t>“</w:t>
      </w:r>
      <w:r>
        <w:rPr>
          <w:rFonts w:ascii="Times New Roman" w:hAnsi="Times New Roman"/>
          <w:b/>
          <w:color w:val="000000"/>
          <w:sz w:val="20"/>
        </w:rPr>
        <w:t>IND</w:t>
      </w:r>
      <w:r>
        <w:rPr>
          <w:rFonts w:ascii="Times New Roman" w:hAnsi="Times New Roman"/>
          <w:color w:val="000000"/>
          <w:sz w:val="20"/>
        </w:rPr>
        <w:t>” means, in the United States, a Claimed Investigational New Drug Application filed with the FDA as more fully defined in 21 C.F.R. §312.3, and, with respect to every other country in the Territory, the clinical trial notification, clinical trial application or other equivalent application (i.e., a filing that must be made prior to commencing clinical testing of any Product in humans) filed with the applicable Regulatory Authority in such country.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1.19 </w:t>
      </w:r>
      <w:r>
        <w:rPr>
          <w:rFonts w:ascii="Times New Roman" w:hAnsi="Times New Roman"/>
          <w:color w:val="000000"/>
          <w:sz w:val="20"/>
        </w:rPr>
        <w:t>“</w:t>
      </w:r>
      <w:r>
        <w:rPr>
          <w:rFonts w:ascii="Times New Roman" w:hAnsi="Times New Roman"/>
          <w:b/>
          <w:color w:val="000000"/>
          <w:sz w:val="20"/>
        </w:rPr>
        <w:t>Indication</w:t>
      </w:r>
      <w:r>
        <w:rPr>
          <w:rFonts w:ascii="Times New Roman" w:hAnsi="Times New Roman"/>
          <w:color w:val="000000"/>
          <w:sz w:val="20"/>
        </w:rPr>
        <w:t>” means a generally acknowledged disease or condition, a significant manifestation of a disease or condition, or symptoms associated with a disease or condition or a risk for a disease or condition for which an NDA may be obtained.</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1.20 </w:t>
      </w:r>
      <w:r>
        <w:rPr>
          <w:rFonts w:ascii="Times New Roman" w:hAnsi="Times New Roman"/>
          <w:color w:val="000000"/>
          <w:sz w:val="20"/>
        </w:rPr>
        <w:t>“</w:t>
      </w:r>
      <w:r>
        <w:rPr>
          <w:rFonts w:ascii="Times New Roman" w:hAnsi="Times New Roman"/>
          <w:b/>
          <w:color w:val="000000"/>
          <w:sz w:val="20"/>
        </w:rPr>
        <w:t>Know-How</w:t>
      </w:r>
      <w:r>
        <w:rPr>
          <w:rFonts w:ascii="Times New Roman" w:hAnsi="Times New Roman"/>
          <w:color w:val="000000"/>
          <w:sz w:val="20"/>
        </w:rPr>
        <w:t xml:space="preserve">” means any: (a) scientific or technical information, results and data of any type whatsoever, in any tangible or intangible form whatsoever, that is not in the public domain or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otherwise publicly known, including discoveries, inventions, trade secrets, devices, databases, practices, protocols, regulatory filings, methods. processes (including manufacturing processes, specification and techniques), techniques, concepts, ideas, specifications, formulations, formulae, data (including pharmacological, biological, chemical, toxicological, clinical and analytical information, quality control, trial and stability data), case reports forms, medical records, data analyses, reports, studies and procedures, designs for experiments and tests and results of experimentation and testing (including results of research or development), summaries and information contained in submissions to and information from ethical committees or Regulatory Authorities, and manufacturing process and development information, results and data, whether or not patentable, all to the extent not claimed or disclosed in a patent or patent application; and (b) compositions of matter, assays, animal models and physical, biological or chemical material, including drug substance samples, intermediates of drug substance samples, drug product samples and intermediates of drug product samples. The fact that an item is known to the public shall not be taken to exclude the possibility that a compilation including the item, and/or a development relating to the item, is (and remains) not known to the public. “Know-How” includes any rights including copyright, database or design rights protecting such Know-How. “Know-How” excludes Patent Rights.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1.21 </w:t>
      </w:r>
      <w:r>
        <w:rPr>
          <w:rFonts w:ascii="Times New Roman" w:hAnsi="Times New Roman"/>
          <w:color w:val="000000"/>
          <w:sz w:val="20"/>
        </w:rPr>
        <w:t>“</w:t>
      </w:r>
      <w:r>
        <w:rPr>
          <w:rFonts w:ascii="Times New Roman" w:hAnsi="Times New Roman"/>
          <w:b/>
          <w:color w:val="000000"/>
          <w:sz w:val="20"/>
        </w:rPr>
        <w:t>Law</w:t>
      </w:r>
      <w:r>
        <w:rPr>
          <w:rFonts w:ascii="Times New Roman" w:hAnsi="Times New Roman"/>
          <w:color w:val="000000"/>
          <w:sz w:val="20"/>
        </w:rPr>
        <w:t>” or “</w:t>
      </w:r>
      <w:r>
        <w:rPr>
          <w:rFonts w:ascii="Times New Roman" w:hAnsi="Times New Roman"/>
          <w:b/>
          <w:color w:val="000000"/>
          <w:sz w:val="20"/>
        </w:rPr>
        <w:t>Laws</w:t>
      </w:r>
      <w:r>
        <w:rPr>
          <w:rFonts w:ascii="Times New Roman" w:hAnsi="Times New Roman"/>
          <w:color w:val="000000"/>
          <w:sz w:val="20"/>
        </w:rPr>
        <w:t>” means all applicable laws, statutes, rules, regulations, ordinances and other pronouncements having the binding effect of law of any Governmental Body.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1.22 </w:t>
      </w:r>
      <w:r>
        <w:rPr>
          <w:rFonts w:ascii="Times New Roman" w:hAnsi="Times New Roman"/>
          <w:color w:val="000000"/>
          <w:sz w:val="20"/>
        </w:rPr>
        <w:t>“</w:t>
      </w:r>
      <w:r>
        <w:rPr>
          <w:rFonts w:ascii="Times New Roman" w:hAnsi="Times New Roman"/>
          <w:b/>
          <w:color w:val="000000"/>
          <w:sz w:val="20"/>
        </w:rPr>
        <w:t>Licensed Compound</w:t>
      </w:r>
      <w:r>
        <w:rPr>
          <w:rFonts w:ascii="Times New Roman" w:hAnsi="Times New Roman"/>
          <w:color w:val="000000"/>
          <w:sz w:val="20"/>
        </w:rPr>
        <w:t>” means: (i) Takeda’s PI3Kα-selective inhibitor known as TAK-117 (MLN1117); (ii) the chemical compounds coded by Takeda as [***] and [***]; and (iii) any analogs, derivatives, fragments or modifications of the aforementioned compounds described in clause (i) or (ii) that are obtained by Petra using the aforementioned compounds.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1.23 </w:t>
      </w:r>
      <w:r>
        <w:rPr>
          <w:rFonts w:ascii="Times New Roman" w:hAnsi="Times New Roman"/>
          <w:color w:val="000000"/>
          <w:sz w:val="20"/>
        </w:rPr>
        <w:t>“</w:t>
      </w:r>
      <w:r>
        <w:rPr>
          <w:rFonts w:ascii="Times New Roman" w:hAnsi="Times New Roman"/>
          <w:b/>
          <w:color w:val="000000"/>
          <w:sz w:val="20"/>
        </w:rPr>
        <w:t>MAA</w:t>
      </w:r>
      <w:r>
        <w:rPr>
          <w:rFonts w:ascii="Times New Roman" w:hAnsi="Times New Roman"/>
          <w:color w:val="000000"/>
          <w:sz w:val="20"/>
        </w:rPr>
        <w:t>” means a Marketing Authorization Application filed with the European Medicines Agency (“</w:t>
      </w:r>
      <w:r>
        <w:rPr>
          <w:rFonts w:ascii="Times New Roman" w:hAnsi="Times New Roman"/>
          <w:b/>
          <w:color w:val="000000"/>
          <w:sz w:val="20"/>
        </w:rPr>
        <w:t>EMA</w:t>
      </w:r>
      <w:r>
        <w:rPr>
          <w:rFonts w:ascii="Times New Roman" w:hAnsi="Times New Roman"/>
          <w:color w:val="000000"/>
          <w:sz w:val="20"/>
        </w:rPr>
        <w: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1.24 </w:t>
      </w:r>
      <w:r>
        <w:rPr>
          <w:rFonts w:ascii="Times New Roman" w:hAnsi="Times New Roman"/>
          <w:color w:val="000000"/>
          <w:sz w:val="20"/>
        </w:rPr>
        <w:t>“</w:t>
      </w:r>
      <w:r>
        <w:rPr>
          <w:rFonts w:ascii="Times New Roman" w:hAnsi="Times New Roman"/>
          <w:b/>
          <w:color w:val="000000"/>
          <w:sz w:val="20"/>
        </w:rPr>
        <w:t>Marketing Approval</w:t>
      </w:r>
      <w:r>
        <w:rPr>
          <w:rFonts w:ascii="Times New Roman" w:hAnsi="Times New Roman"/>
          <w:color w:val="000000"/>
          <w:sz w:val="20"/>
        </w:rPr>
        <w:t>” shall mean approval from the relevant Regulatory Authority in a given country necessary to market and sell a pharmaceutical product in such country, which for the sake of clarity, shall not include pricing and reimbursement approval.</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1.25 </w:t>
      </w:r>
      <w:r>
        <w:rPr>
          <w:rFonts w:ascii="Times New Roman" w:hAnsi="Times New Roman"/>
          <w:color w:val="000000"/>
          <w:sz w:val="20"/>
        </w:rPr>
        <w:t>“</w:t>
      </w:r>
      <w:r>
        <w:rPr>
          <w:rFonts w:ascii="Times New Roman" w:hAnsi="Times New Roman"/>
          <w:b/>
          <w:color w:val="000000"/>
          <w:sz w:val="20"/>
        </w:rPr>
        <w:t>NDA</w:t>
      </w:r>
      <w:r>
        <w:rPr>
          <w:rFonts w:ascii="Times New Roman" w:hAnsi="Times New Roman"/>
          <w:color w:val="000000"/>
          <w:sz w:val="20"/>
        </w:rPr>
        <w:t>” means a New Drug Application, submitted pursuant to the requirements of the FDA, as more fully defined in 21 US C.F.R. § 3143 et seq., and any equivalent application (e.g., MAA) submitted in any country in the Territory, including all additions, deletions or supplements thereto, and as any and all such requirements may be amended, or supplanted, at any time.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1.26 </w:t>
      </w:r>
      <w:r>
        <w:rPr>
          <w:rFonts w:ascii="Times New Roman" w:hAnsi="Times New Roman"/>
          <w:color w:val="000000"/>
          <w:sz w:val="20"/>
        </w:rPr>
        <w:t>“</w:t>
      </w:r>
      <w:r>
        <w:rPr>
          <w:rFonts w:ascii="Times New Roman" w:hAnsi="Times New Roman"/>
          <w:b/>
          <w:color w:val="000000"/>
          <w:sz w:val="20"/>
        </w:rPr>
        <w:t>Net Sales</w:t>
      </w:r>
      <w:r>
        <w:rPr>
          <w:rFonts w:ascii="Times New Roman" w:hAnsi="Times New Roman"/>
          <w:color w:val="000000"/>
          <w:sz w:val="20"/>
        </w:rPr>
        <w:t>” means the gross amounts received by Petra or any of its Sublicensees for sales of Products to independent or unaffiliated Third Party purchasers of such Product, less the following deductions with respect to such sales that are either included in the billing as a line item as part of the gross amount invoiced, or otherwise documented as a deduction in accordance with United States generally accepted accounting principles (“</w:t>
      </w:r>
      <w:r>
        <w:rPr>
          <w:rFonts w:ascii="Times New Roman" w:hAnsi="Times New Roman"/>
          <w:b/>
          <w:color w:val="000000"/>
          <w:sz w:val="20"/>
        </w:rPr>
        <w:t>US GAAP</w:t>
      </w:r>
      <w:r>
        <w:rPr>
          <w:rFonts w:ascii="Times New Roman" w:hAnsi="Times New Roman"/>
          <w:color w:val="000000"/>
          <w:sz w:val="20"/>
        </w:rPr>
        <w:t>”) or International Financial Reporting Standards (“IFRS”), as applicable, to be specifically attributable to actual sales of such Product: [***]. For clarity, a particular deduction may only be accounted for once in the calculation of Net Sales.</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In the event a Product is sold as a combination or bundled product that consists of a Licensed Compound or Product together with another therapeutically active product (a “</w:t>
      </w:r>
      <w:r>
        <w:rPr>
          <w:rFonts w:ascii="Times New Roman" w:hAnsi="Times New Roman"/>
          <w:b/>
          <w:color w:val="000000"/>
          <w:sz w:val="20"/>
        </w:rPr>
        <w:t>Combination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Product</w:t>
      </w:r>
      <w:r>
        <w:rPr>
          <w:rFonts w:ascii="Times New Roman" w:hAnsi="Times New Roman"/>
          <w:color w:val="000000"/>
          <w:sz w:val="20"/>
        </w:rPr>
        <w:t>”), the Net Sales from the Combination Products, for the purposes of determining Royalty Payments, will be determined by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1.27 </w:t>
      </w:r>
      <w:r>
        <w:rPr>
          <w:rFonts w:ascii="Times New Roman" w:hAnsi="Times New Roman"/>
          <w:color w:val="000000"/>
          <w:sz w:val="20"/>
        </w:rPr>
        <w:t>“</w:t>
      </w:r>
      <w:r>
        <w:rPr>
          <w:rFonts w:ascii="Times New Roman" w:hAnsi="Times New Roman"/>
          <w:b/>
          <w:color w:val="000000"/>
          <w:sz w:val="20"/>
        </w:rPr>
        <w:t>Patent Rights</w:t>
      </w:r>
      <w:r>
        <w:rPr>
          <w:rFonts w:ascii="Times New Roman" w:hAnsi="Times New Roman"/>
          <w:color w:val="000000"/>
          <w:sz w:val="20"/>
        </w:rPr>
        <w:t>” means any: (a) issued or granted patent, including any extension, supplemental protection certificate, registration, confirmation, reissue, reexamination or renewal thereof; (b) pending patent applications, including, but not limited to, any continuation, divisional, continuation-in-part, substitute or provisional application; and (c) counterparts or foreign equivalents of any of the foregoing filed or issued in any country or jurisdiction.</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1.28 </w:t>
      </w:r>
      <w:r>
        <w:rPr>
          <w:rFonts w:ascii="Times New Roman" w:hAnsi="Times New Roman"/>
          <w:color w:val="000000"/>
          <w:sz w:val="20"/>
        </w:rPr>
        <w:t>“</w:t>
      </w:r>
      <w:r>
        <w:rPr>
          <w:rFonts w:ascii="Times New Roman" w:hAnsi="Times New Roman"/>
          <w:b/>
          <w:color w:val="000000"/>
          <w:sz w:val="20"/>
        </w:rPr>
        <w:t>Person</w:t>
      </w:r>
      <w:r>
        <w:rPr>
          <w:rFonts w:ascii="Times New Roman" w:hAnsi="Times New Roman"/>
          <w:color w:val="000000"/>
          <w:sz w:val="20"/>
        </w:rPr>
        <w:t>” means any individual, sole proprietorship, partnership, corporation, limited liability company, joint stock company, unincorporated association, trust, or any other entity that has legal capacity to own property in their own name or to sue or be sued, including a government or political subdivision, department, or agency of a government.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1.29 </w:t>
      </w:r>
      <w:r>
        <w:rPr>
          <w:rFonts w:ascii="Times New Roman" w:hAnsi="Times New Roman"/>
          <w:color w:val="000000"/>
          <w:sz w:val="20"/>
        </w:rPr>
        <w:t>“</w:t>
      </w:r>
      <w:r>
        <w:rPr>
          <w:rFonts w:ascii="Times New Roman" w:hAnsi="Times New Roman"/>
          <w:b/>
          <w:color w:val="000000"/>
          <w:sz w:val="20"/>
        </w:rPr>
        <w:t>Phase I Trials</w:t>
      </w:r>
      <w:r>
        <w:rPr>
          <w:rFonts w:ascii="Times New Roman" w:hAnsi="Times New Roman"/>
          <w:color w:val="000000"/>
          <w:sz w:val="20"/>
        </w:rPr>
        <w:t>” means Takeda’s clinical trials entitled [***].</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1.30 </w:t>
      </w:r>
      <w:r>
        <w:rPr>
          <w:rFonts w:ascii="Times New Roman" w:hAnsi="Times New Roman"/>
          <w:color w:val="000000"/>
          <w:sz w:val="20"/>
        </w:rPr>
        <w:t>“</w:t>
      </w:r>
      <w:r>
        <w:rPr>
          <w:rFonts w:ascii="Times New Roman" w:hAnsi="Times New Roman"/>
          <w:b/>
          <w:color w:val="000000"/>
          <w:sz w:val="20"/>
        </w:rPr>
        <w:t>Product</w:t>
      </w:r>
      <w:r>
        <w:rPr>
          <w:rFonts w:ascii="Times New Roman" w:hAnsi="Times New Roman"/>
          <w:color w:val="000000"/>
          <w:sz w:val="20"/>
        </w:rPr>
        <w:t>” means any product comprising a Licensed Compound, either as the sole active ingredient or in combination with one or more other active ingredients, including all forms, presentations, strengths, doses and formulations (including any method of delivery). For clarity, for the purposes of this Agreement: different dosage strengths of a given Product comprising a given Licensed Compound, regardless of formulation, shall be considered the same Product, but any Product which has a different Licensed Compound from another Product shall be considered a different Product.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1.31 </w:t>
      </w:r>
      <w:r>
        <w:rPr>
          <w:rFonts w:ascii="Times New Roman" w:hAnsi="Times New Roman"/>
          <w:color w:val="000000"/>
          <w:sz w:val="20"/>
        </w:rPr>
        <w:t>“</w:t>
      </w:r>
      <w:r>
        <w:rPr>
          <w:rFonts w:ascii="Times New Roman" w:hAnsi="Times New Roman"/>
          <w:b/>
          <w:color w:val="000000"/>
          <w:sz w:val="20"/>
        </w:rPr>
        <w:t>Regulatory Approval</w:t>
      </w:r>
      <w:r>
        <w:rPr>
          <w:rFonts w:ascii="Times New Roman" w:hAnsi="Times New Roman"/>
          <w:color w:val="000000"/>
          <w:sz w:val="20"/>
        </w:rPr>
        <w:t>” means any and all approvals, licenses, registrations, or authorizations of the relevant Regulatory Authority, including any pricing and/or pricing reimbursement approval or determination, necessary for the Development, manufacture, use, storage, import, transport or Commercialization of Product in a particular country or jurisdiction.</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1.32 </w:t>
      </w:r>
      <w:r>
        <w:rPr>
          <w:rFonts w:ascii="Times New Roman" w:hAnsi="Times New Roman"/>
          <w:color w:val="000000"/>
          <w:sz w:val="20"/>
        </w:rPr>
        <w:t>“</w:t>
      </w:r>
      <w:r>
        <w:rPr>
          <w:rFonts w:ascii="Times New Roman" w:hAnsi="Times New Roman"/>
          <w:b/>
          <w:color w:val="000000"/>
          <w:sz w:val="20"/>
        </w:rPr>
        <w:t>Regulatory Authority</w:t>
      </w:r>
      <w:r>
        <w:rPr>
          <w:rFonts w:ascii="Times New Roman" w:hAnsi="Times New Roman"/>
          <w:color w:val="000000"/>
          <w:sz w:val="20"/>
        </w:rPr>
        <w:t>” means (a) in the US, the FDA or (b) in any other jurisdiction anywhere in the world, any regulatory body with similar regulatory authority over pharmaceutical products (including without limitation, the EMA).</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1.33 </w:t>
      </w:r>
      <w:r>
        <w:rPr>
          <w:rFonts w:ascii="Times New Roman" w:hAnsi="Times New Roman"/>
          <w:color w:val="000000"/>
          <w:sz w:val="20"/>
        </w:rPr>
        <w:t>“</w:t>
      </w:r>
      <w:r>
        <w:rPr>
          <w:rFonts w:ascii="Times New Roman" w:hAnsi="Times New Roman"/>
          <w:b/>
          <w:color w:val="000000"/>
          <w:sz w:val="20"/>
        </w:rPr>
        <w:t>Regulatory Exclusivity</w:t>
      </w:r>
      <w:r>
        <w:rPr>
          <w:rFonts w:ascii="Times New Roman" w:hAnsi="Times New Roman"/>
          <w:color w:val="000000"/>
          <w:sz w:val="20"/>
        </w:rPr>
        <w:t>” means, with respect to a Product, any exclusive marketing rights or data exclusivity rights conferred by any Regulatory Authority with respect to such Product, other than Patent Rights, that prohibits a Person from (a) relying on pivotal safety or efficacy data generated by or on behalf of the Parties with respect to such Product in an application for Regulatory Approval, (b) Commercializing such Product, including rights conferred in the US under the Hatch Waxman Act or the FDA Modernization Act of 1997 (including pediatric exclusivity and orphan drug exclusivity), or in each case ((a) and (b)), rights similar thereto outside the US.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1.34 </w:t>
      </w:r>
      <w:r>
        <w:rPr>
          <w:rFonts w:ascii="Times New Roman" w:hAnsi="Times New Roman"/>
          <w:color w:val="000000"/>
          <w:sz w:val="20"/>
        </w:rPr>
        <w:t>“</w:t>
      </w:r>
      <w:r>
        <w:rPr>
          <w:rFonts w:ascii="Times New Roman" w:hAnsi="Times New Roman"/>
          <w:b/>
          <w:color w:val="000000"/>
          <w:sz w:val="20"/>
        </w:rPr>
        <w:t>Royalty Term</w:t>
      </w:r>
      <w:r>
        <w:rPr>
          <w:rFonts w:ascii="Times New Roman" w:hAnsi="Times New Roman"/>
          <w:color w:val="000000"/>
          <w:sz w:val="20"/>
        </w:rPr>
        <w:t>” means, on a Product-by-Product and country-by-country basis, the period from the First Commercial Sale of such Product in such country until the latest of (a) the expiration of the last to expire Valid Claim of a Takeda Patent in such country, (b) the expiration of any applicable Regulatory Exclusivity period for the Product in such country or (c) ten (10) years after the First Commercial Sale of such Product in such country.</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1.35 </w:t>
      </w:r>
      <w:r>
        <w:rPr>
          <w:rFonts w:ascii="Times New Roman" w:hAnsi="Times New Roman"/>
          <w:color w:val="000000"/>
          <w:sz w:val="20"/>
        </w:rPr>
        <w:t>“</w:t>
      </w:r>
      <w:r>
        <w:rPr>
          <w:rFonts w:ascii="Times New Roman" w:hAnsi="Times New Roman"/>
          <w:b/>
          <w:color w:val="000000"/>
          <w:sz w:val="20"/>
        </w:rPr>
        <w:t>Sublicensee</w:t>
      </w:r>
      <w:r>
        <w:rPr>
          <w:rFonts w:ascii="Times New Roman" w:hAnsi="Times New Roman"/>
          <w:color w:val="000000"/>
          <w:sz w:val="20"/>
        </w:rPr>
        <w:t xml:space="preserve">” means a Person which is granted any sublicense rights under any of the license rights granted under </w:t>
      </w:r>
      <w:r>
        <w:rPr>
          <w:rFonts w:ascii="Times New Roman" w:hAnsi="Times New Roman"/>
          <w:color w:val="000000"/>
          <w:sz w:val="20"/>
          <w:u w:val="single"/>
        </w:rPr>
        <w:t>Section 2.1</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that “Sublicensee” shall exclude distributors who are independent contractors of Petra.</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1.36 </w:t>
      </w:r>
      <w:r>
        <w:rPr>
          <w:rFonts w:ascii="Times New Roman" w:hAnsi="Times New Roman"/>
          <w:color w:val="000000"/>
          <w:sz w:val="20"/>
        </w:rPr>
        <w:t>“</w:t>
      </w:r>
      <w:r>
        <w:rPr>
          <w:rFonts w:ascii="Times New Roman" w:hAnsi="Times New Roman"/>
          <w:b/>
          <w:color w:val="000000"/>
          <w:sz w:val="20"/>
        </w:rPr>
        <w:t>Takeda Know-How</w:t>
      </w:r>
      <w:r>
        <w:rPr>
          <w:rFonts w:ascii="Times New Roman" w:hAnsi="Times New Roman"/>
          <w:color w:val="000000"/>
          <w:sz w:val="20"/>
        </w:rPr>
        <w:t xml:space="preserve">” means that Know-How listed in </w:t>
      </w:r>
      <w:r>
        <w:rPr>
          <w:rFonts w:ascii="Times New Roman" w:hAnsi="Times New Roman"/>
          <w:color w:val="000000"/>
          <w:sz w:val="20"/>
          <w:u w:val="single"/>
        </w:rPr>
        <w:t>Exhibit B</w:t>
      </w:r>
      <w:r>
        <w:rPr>
          <w:rFonts w:ascii="Times New Roman" w:hAnsi="Times New Roman"/>
          <w:color w:val="000000"/>
          <w:sz w:val="20"/>
        </w:rPr>
        <w:t>. For clarity, Know-How that relates to a Licensed Compound or Product in combination with any other compound is explicitly excluded.</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1.37 </w:t>
      </w:r>
      <w:r>
        <w:rPr>
          <w:rFonts w:ascii="Times New Roman" w:hAnsi="Times New Roman"/>
          <w:color w:val="000000"/>
          <w:sz w:val="20"/>
        </w:rPr>
        <w:t>“</w:t>
      </w:r>
      <w:r>
        <w:rPr>
          <w:rFonts w:ascii="Times New Roman" w:hAnsi="Times New Roman"/>
          <w:b/>
          <w:color w:val="000000"/>
          <w:sz w:val="20"/>
        </w:rPr>
        <w:t>Takeda Patents</w:t>
      </w:r>
      <w:r>
        <w:rPr>
          <w:rFonts w:ascii="Times New Roman" w:hAnsi="Times New Roman"/>
          <w:color w:val="000000"/>
          <w:sz w:val="20"/>
        </w:rPr>
        <w:t xml:space="preserve">” means patents and patent applications listed in </w:t>
      </w:r>
      <w:r>
        <w:rPr>
          <w:rFonts w:ascii="Times New Roman" w:hAnsi="Times New Roman"/>
          <w:color w:val="000000"/>
          <w:sz w:val="20"/>
          <w:u w:val="single"/>
        </w:rPr>
        <w:t>Exhibit C</w:t>
      </w:r>
      <w:r>
        <w:rPr>
          <w:rFonts w:ascii="Times New Roman" w:hAnsi="Times New Roman"/>
          <w:color w:val="000000"/>
          <w:sz w:val="20"/>
        </w:rPr>
        <w:t xml:space="preserve"> together with (a) issued or granted patents, including any extension, supplemental protection certificate, registration, confirmation, reissue, reexamination or renewal thereof, and the like of any of the foregoing; (b) pending patent applications, including, but not limited to, any continuation, divisional, continuation-in-part, substitute or provisional application thereof, and the like of any of the foregoing; and (c) counterparts or foreign equivalents thereof filed or issued in any country or jurisdiction.</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1.38 </w:t>
      </w:r>
      <w:r>
        <w:rPr>
          <w:rFonts w:ascii="Times New Roman" w:hAnsi="Times New Roman"/>
          <w:color w:val="000000"/>
          <w:sz w:val="20"/>
        </w:rPr>
        <w:t>“</w:t>
      </w:r>
      <w:r>
        <w:rPr>
          <w:rFonts w:ascii="Times New Roman" w:hAnsi="Times New Roman"/>
          <w:b/>
          <w:color w:val="000000"/>
          <w:sz w:val="20"/>
        </w:rPr>
        <w:t>Takeda Technology</w:t>
      </w:r>
      <w:r>
        <w:rPr>
          <w:rFonts w:ascii="Times New Roman" w:hAnsi="Times New Roman"/>
          <w:color w:val="000000"/>
          <w:sz w:val="20"/>
        </w:rPr>
        <w:t>” means, collectively, the Takeda Patents and the Takeda Know-How.</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1.39 </w:t>
      </w:r>
      <w:r>
        <w:rPr>
          <w:rFonts w:ascii="Times New Roman" w:hAnsi="Times New Roman"/>
          <w:color w:val="000000"/>
          <w:sz w:val="20"/>
        </w:rPr>
        <w:t>“</w:t>
      </w:r>
      <w:r>
        <w:rPr>
          <w:rFonts w:ascii="Times New Roman" w:hAnsi="Times New Roman"/>
          <w:b/>
          <w:color w:val="000000"/>
          <w:sz w:val="20"/>
        </w:rPr>
        <w:t>Tax</w:t>
      </w:r>
      <w:r>
        <w:rPr>
          <w:rFonts w:ascii="Times New Roman" w:hAnsi="Times New Roman"/>
          <w:color w:val="000000"/>
          <w:sz w:val="20"/>
        </w:rPr>
        <w:t>” or “</w:t>
      </w:r>
      <w:r>
        <w:rPr>
          <w:rFonts w:ascii="Times New Roman" w:hAnsi="Times New Roman"/>
          <w:b/>
          <w:color w:val="000000"/>
          <w:sz w:val="20"/>
        </w:rPr>
        <w:t>Taxes</w:t>
      </w:r>
      <w:r>
        <w:rPr>
          <w:rFonts w:ascii="Times New Roman" w:hAnsi="Times New Roman"/>
          <w:color w:val="000000"/>
          <w:sz w:val="20"/>
        </w:rPr>
        <w:t>” means any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1.40 </w:t>
      </w:r>
      <w:r>
        <w:rPr>
          <w:rFonts w:ascii="Times New Roman" w:hAnsi="Times New Roman"/>
          <w:color w:val="000000"/>
          <w:sz w:val="20"/>
        </w:rPr>
        <w:t>“</w:t>
      </w:r>
      <w:r>
        <w:rPr>
          <w:rFonts w:ascii="Times New Roman" w:hAnsi="Times New Roman"/>
          <w:b/>
          <w:color w:val="000000"/>
          <w:sz w:val="20"/>
        </w:rPr>
        <w:t>Territory</w:t>
      </w:r>
      <w:r>
        <w:rPr>
          <w:rFonts w:ascii="Times New Roman" w:hAnsi="Times New Roman"/>
          <w:color w:val="000000"/>
          <w:sz w:val="20"/>
        </w:rPr>
        <w:t>” means all the countries of the world.</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1.41 </w:t>
      </w:r>
      <w:r>
        <w:rPr>
          <w:rFonts w:ascii="Times New Roman" w:hAnsi="Times New Roman"/>
          <w:color w:val="000000"/>
          <w:sz w:val="20"/>
        </w:rPr>
        <w:t>“</w:t>
      </w:r>
      <w:r>
        <w:rPr>
          <w:rFonts w:ascii="Times New Roman" w:hAnsi="Times New Roman"/>
          <w:b/>
          <w:color w:val="000000"/>
          <w:sz w:val="20"/>
        </w:rPr>
        <w:t>Third Party</w:t>
      </w:r>
      <w:r>
        <w:rPr>
          <w:rFonts w:ascii="Times New Roman" w:hAnsi="Times New Roman"/>
          <w:color w:val="000000"/>
          <w:sz w:val="20"/>
        </w:rPr>
        <w:t>” means any Person other than Takeda, Petra or any of their respective Affiliates.</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1.42 </w:t>
      </w:r>
      <w:r>
        <w:rPr>
          <w:rFonts w:ascii="Times New Roman" w:hAnsi="Times New Roman"/>
          <w:color w:val="000000"/>
          <w:sz w:val="20"/>
        </w:rPr>
        <w:t>“</w:t>
      </w:r>
      <w:r>
        <w:rPr>
          <w:rFonts w:ascii="Times New Roman" w:hAnsi="Times New Roman"/>
          <w:b/>
          <w:color w:val="000000"/>
          <w:sz w:val="20"/>
        </w:rPr>
        <w:t>Third Party Action</w:t>
      </w:r>
      <w:r>
        <w:rPr>
          <w:rFonts w:ascii="Times New Roman" w:hAnsi="Times New Roman"/>
          <w:color w:val="000000"/>
          <w:sz w:val="20"/>
        </w:rPr>
        <w:t>” means any Action (as defined in Section 6.4(b) below) made by a Third Party against either Party that claims that any Licensed Compounds or any Product, or its use, importation, Development, or Commercialization infringes or misappropriates such Third Party’s intellectual property rights.</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1.43 </w:t>
      </w:r>
      <w:r>
        <w:rPr>
          <w:rFonts w:ascii="Times New Roman" w:hAnsi="Times New Roman"/>
          <w:color w:val="000000"/>
          <w:sz w:val="20"/>
        </w:rPr>
        <w:t>“</w:t>
      </w:r>
      <w:r>
        <w:rPr>
          <w:rFonts w:ascii="Times New Roman" w:hAnsi="Times New Roman"/>
          <w:b/>
          <w:color w:val="000000"/>
          <w:sz w:val="20"/>
        </w:rPr>
        <w:t>United States</w:t>
      </w:r>
      <w:r>
        <w:rPr>
          <w:rFonts w:ascii="Times New Roman" w:hAnsi="Times New Roman"/>
          <w:color w:val="000000"/>
          <w:sz w:val="20"/>
        </w:rPr>
        <w:t>” or “</w:t>
      </w:r>
      <w:r>
        <w:rPr>
          <w:rFonts w:ascii="Times New Roman" w:hAnsi="Times New Roman"/>
          <w:b/>
          <w:color w:val="000000"/>
          <w:sz w:val="20"/>
        </w:rPr>
        <w:t>US</w:t>
      </w:r>
      <w:r>
        <w:rPr>
          <w:rFonts w:ascii="Times New Roman" w:hAnsi="Times New Roman"/>
          <w:color w:val="000000"/>
          <w:sz w:val="20"/>
        </w:rPr>
        <w:t>” means the United States of America, its territories and possessions.</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1.44 </w:t>
      </w:r>
      <w:r>
        <w:rPr>
          <w:rFonts w:ascii="Times New Roman" w:hAnsi="Times New Roman"/>
          <w:color w:val="000000"/>
          <w:sz w:val="20"/>
        </w:rPr>
        <w:t>“</w:t>
      </w:r>
      <w:r>
        <w:rPr>
          <w:rFonts w:ascii="Times New Roman" w:hAnsi="Times New Roman"/>
          <w:b/>
          <w:color w:val="000000"/>
          <w:sz w:val="20"/>
        </w:rPr>
        <w:t>USD</w:t>
      </w:r>
      <w:r>
        <w:rPr>
          <w:rFonts w:ascii="Times New Roman" w:hAnsi="Times New Roman"/>
          <w:color w:val="000000"/>
          <w:sz w:val="20"/>
        </w:rPr>
        <w:t>” or “</w:t>
      </w:r>
      <w:r>
        <w:rPr>
          <w:rFonts w:ascii="Times New Roman" w:hAnsi="Times New Roman"/>
          <w:b/>
          <w:color w:val="000000"/>
          <w:sz w:val="20"/>
        </w:rPr>
        <w:t>$</w:t>
      </w:r>
      <w:r>
        <w:rPr>
          <w:rFonts w:ascii="Times New Roman" w:hAnsi="Times New Roman"/>
          <w:color w:val="000000"/>
          <w:sz w:val="20"/>
        </w:rPr>
        <w:t>” means the lawful currency of the United States.</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1.45 </w:t>
      </w:r>
      <w:r>
        <w:rPr>
          <w:rFonts w:ascii="Times New Roman" w:hAnsi="Times New Roman"/>
          <w:color w:val="000000"/>
          <w:sz w:val="20"/>
        </w:rPr>
        <w:t>“</w:t>
      </w:r>
      <w:r>
        <w:rPr>
          <w:rFonts w:ascii="Times New Roman" w:hAnsi="Times New Roman"/>
          <w:b/>
          <w:color w:val="000000"/>
          <w:sz w:val="20"/>
        </w:rPr>
        <w:t>Valid Claim</w:t>
      </w:r>
      <w:r>
        <w:rPr>
          <w:rFonts w:ascii="Times New Roman" w:hAnsi="Times New Roman"/>
          <w:color w:val="000000"/>
          <w:sz w:val="20"/>
        </w:rPr>
        <w:t>” means with respect to a patent or patent application in a country, any claim of an (a) issued patent that has not (i) expired, irretrievably lapsed or been abandoned, revoked, dedicated to the public or disclaimed or (ii) been found to be unpatentable, invalid or unenforceable by an unreversed and unappealable final decision of a governmental authority in such country or (b) application for a patent that (1) has been pending for less than [***], is being prosecuted in good faith, and has not been abandoned or finally disallowed without the possibility of appeal or re-filing and (2) has not been admitted to be invalid or unenforceable through reissue, reexamination, or disclaimer.</w:t>
      </w:r>
    </w:p>
    <w:p>
      <w:pPr>
        <w:pStyle w:val="TextBody"/>
        <w:pBdr/>
        <w:bidi w:val="0"/>
        <w:spacing w:before="0" w:after="200"/>
        <w:ind w:left="0" w:right="0" w:hanging="720"/>
        <w:jc w:val="left"/>
        <w:rPr>
          <w:rFonts w:ascii="Times New Roman" w:hAnsi="Times New Roman"/>
          <w:sz w:val="20"/>
        </w:rPr>
      </w:pPr>
      <w:r>
        <w:rPr>
          <w:rFonts w:ascii="Times New Roman" w:hAnsi="Times New Roman"/>
          <w:b/>
          <w:color w:val="000000"/>
          <w:sz w:val="20"/>
        </w:rPr>
        <w:t xml:space="preserve">1.46 </w:t>
      </w:r>
      <w:r>
        <w:rPr>
          <w:rFonts w:ascii="Times New Roman" w:hAnsi="Times New Roman"/>
          <w:color w:val="000000"/>
          <w:sz w:val="20"/>
        </w:rPr>
        <w:t>“</w:t>
      </w:r>
      <w:r>
        <w:rPr>
          <w:rFonts w:ascii="Times New Roman" w:hAnsi="Times New Roman"/>
          <w:b/>
          <w:color w:val="000000"/>
          <w:sz w:val="20"/>
        </w:rPr>
        <w:t>VAT</w:t>
      </w:r>
      <w:r>
        <w:rPr>
          <w:rFonts w:ascii="Times New Roman" w:hAnsi="Times New Roman"/>
          <w:color w:val="000000"/>
          <w:sz w:val="20"/>
        </w:rPr>
        <w:t>” means, within the EU, such Tax as may be levied in accordance with (but subject to derogations from) Directive 2006/112/EC and, outside the EU, value added tax or any form of consumption tax levied by a relevant Tax authority, as well as all other forms of consumption taxes levied by the relevant Tax authority on the purchase of a good or a service, including but not limited to sales tax and good and service tax.</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2</w:t>
      </w:r>
      <w:r>
        <w:rPr>
          <w:rFonts w:ascii="Times New Roman" w:hAnsi="Times New Roman"/>
          <w:color w:val="000000"/>
          <w:sz w:val="20"/>
        </w:rPr>
        <w:br/>
      </w:r>
      <w:r>
        <w:rPr>
          <w:rFonts w:ascii="Times New Roman" w:hAnsi="Times New Roman"/>
          <w:b/>
          <w:color w:val="000000"/>
          <w:sz w:val="20"/>
        </w:rPr>
        <w:t>LICENSES AND OTHER RIGHTS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2.1 Grant of Licenses to Petra</w:t>
      </w:r>
      <w:r>
        <w:rPr>
          <w:rFonts w:ascii="Times New Roman" w:hAnsi="Times New Roman"/>
          <w:color w:val="000000"/>
          <w:sz w:val="20"/>
        </w:rPr>
        <w:t xml:space="preserve">. Subject to the terms and conditions of this Agreement, Takeda on behalf of itself and its Affiliates hereby grants to Petra an exclusive (even as to Takeda and its Affiliates, except as expressly provided in </w:t>
      </w:r>
      <w:r>
        <w:rPr>
          <w:rFonts w:ascii="Times New Roman" w:hAnsi="Times New Roman"/>
          <w:color w:val="000000"/>
          <w:sz w:val="20"/>
          <w:u w:val="single"/>
        </w:rPr>
        <w:t>Section 2.2</w:t>
      </w:r>
      <w:r>
        <w:rPr>
          <w:rFonts w:ascii="Times New Roman" w:hAnsi="Times New Roman"/>
          <w:color w:val="000000"/>
          <w:sz w:val="20"/>
        </w:rPr>
        <w:t xml:space="preserve"> or in </w:t>
      </w:r>
      <w:r>
        <w:rPr>
          <w:rFonts w:ascii="Times New Roman" w:hAnsi="Times New Roman"/>
          <w:color w:val="000000"/>
          <w:sz w:val="20"/>
          <w:u w:val="single"/>
        </w:rPr>
        <w:t>Section 10</w:t>
      </w:r>
      <w:r>
        <w:rPr>
          <w:rFonts w:ascii="Times New Roman" w:hAnsi="Times New Roman"/>
          <w:color w:val="000000"/>
          <w:sz w:val="20"/>
        </w:rPr>
        <w:t xml:space="preserve">), royalty-bearing and transferable (subject to the provisions of </w:t>
      </w:r>
      <w:r>
        <w:rPr>
          <w:rFonts w:ascii="Times New Roman" w:hAnsi="Times New Roman"/>
          <w:color w:val="000000"/>
          <w:sz w:val="20"/>
          <w:u w:val="single"/>
        </w:rPr>
        <w:t>Section 12.2</w:t>
      </w:r>
      <w:r>
        <w:rPr>
          <w:rFonts w:ascii="Times New Roman" w:hAnsi="Times New Roman"/>
          <w:color w:val="000000"/>
          <w:sz w:val="20"/>
        </w:rPr>
        <w:t xml:space="preserve">) right and license (with the right to sublicense through multiple tiers, subject to the provisions of </w:t>
      </w:r>
      <w:r>
        <w:rPr>
          <w:rFonts w:ascii="Times New Roman" w:hAnsi="Times New Roman"/>
          <w:color w:val="000000"/>
          <w:sz w:val="20"/>
          <w:u w:val="single"/>
        </w:rPr>
        <w:t>Section 2.4</w:t>
      </w:r>
      <w:r>
        <w:rPr>
          <w:rFonts w:ascii="Times New Roman" w:hAnsi="Times New Roman"/>
          <w:color w:val="000000"/>
          <w:sz w:val="20"/>
        </w:rPr>
        <w:t>) under the Takeda Technology to Exploit the Licensed Compounds and Products in the Territory in the Field.</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2.2 License to Takeda</w:t>
      </w:r>
      <w:r>
        <w:rPr>
          <w:rFonts w:ascii="Times New Roman" w:hAnsi="Times New Roman"/>
          <w:color w:val="000000"/>
          <w:sz w:val="20"/>
        </w:rPr>
        <w:t>. Petra hereby grants to Takeda and its Affiliates a non-exclusive, royalty-free, irrevocable, fully paid up, sublicensable through multiple tiers, license to use and practice the Takeda Technology in the Field for internal non-clinical research and non-clinical development purposes only.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2.3 Covenant Not to Sue; Other Takeda Patents</w:t>
      </w:r>
      <w:r>
        <w:rPr>
          <w:rFonts w:ascii="Times New Roman" w:hAnsi="Times New Roman"/>
          <w:color w:val="000000"/>
          <w:sz w:val="20"/>
        </w:rPr>
        <w:t xml:space="preserve">. In exchange for the consideration described herein, Takeda covenants that it will not, and it will cause its Affiliates not to, initiate, institute, prosecute or pursue any claim, complaint, suit action or other judicial or administrative proceeding anywhere in the world against Petra, its Affiliates or Sublicensees (or their successors in interest), asserting that the use, manufacture (but not methods of manufacture), sale or offer for sale, or import of TAK-117 [***], [***], or [***] (as described in the definition of Licensed Compound) by Petra, its Affiliates or its Sublicensees (or their successors in interest), as the case may be, constitutes infringement (including direct, contributory or inducement of infringement) of a [***] claim of a Patent Right (other than a Takeda Patent) owned or Controlled by Takeda or its Affiliates. For clarity, this </w:t>
      </w:r>
      <w:r>
        <w:rPr>
          <w:rFonts w:ascii="Times New Roman" w:hAnsi="Times New Roman"/>
          <w:color w:val="000000"/>
          <w:sz w:val="20"/>
          <w:u w:val="single"/>
        </w:rPr>
        <w:t>Section 2.3</w:t>
      </w:r>
      <w:r>
        <w:rPr>
          <w:rFonts w:ascii="Times New Roman" w:hAnsi="Times New Roman"/>
          <w:color w:val="000000"/>
          <w:sz w:val="20"/>
        </w:rPr>
        <w:t xml:space="preserve"> does not apply to the extent that the Exploitation of the aforementioned compounds by Petra, its Affiliates or its Sublicensees (or their successors in interest), as the case may be, constitutes infringement of any other Patent Right Controlled by Takeda (e.g., [***]). To the extent that Petra, in the conduct of the Development or other Exploitation of one or more Products, identifies one or more Patent Rights it believes are owned or Controlled by Takeda or its Affiliates which are not Takeda Patents and which are not included within the foregoing covenant not to sue, but which cover or claim a method of manufacture, or formulation of, or use of, such Product (the “</w:t>
      </w:r>
      <w:r>
        <w:rPr>
          <w:rFonts w:ascii="Times New Roman" w:hAnsi="Times New Roman"/>
          <w:b/>
          <w:color w:val="000000"/>
          <w:sz w:val="20"/>
        </w:rPr>
        <w:t>Other Takeda Patents</w:t>
      </w:r>
      <w:r>
        <w:rPr>
          <w:rFonts w:ascii="Times New Roman" w:hAnsi="Times New Roman"/>
          <w:color w:val="000000"/>
          <w:sz w:val="20"/>
        </w:rPr>
        <w:t>”), and requests to discuss with Takeda or its Affiliate obtaining a license under any such Other Takeda Patent(s) for such Product, Takeda agrees to meet and discuss with Petra, in good faith, the grant of such a license on commercially reasonable terms unless Takeda does not in fact have the right to grant any such license under such Other Takeda Patent as of such time, in which case it will inform Petra of such fact.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2.4 Grant of Sublicenses by Petra</w:t>
      </w:r>
      <w:r>
        <w:rPr>
          <w:rFonts w:ascii="Times New Roman" w:hAnsi="Times New Roman"/>
          <w:color w:val="000000"/>
          <w:sz w:val="20"/>
        </w:rPr>
        <w:t xml:space="preserve">. Prior to such time as Petra has completed the first clinical trial of a Licensed Compound, Petra may not grant sublicenses (with or without the right to grant further sublicenses through multiple tiers), in whole or in part, under the licenses granted in </w:t>
      </w:r>
      <w:r>
        <w:rPr>
          <w:rFonts w:ascii="Times New Roman" w:hAnsi="Times New Roman"/>
          <w:color w:val="000000"/>
          <w:sz w:val="20"/>
          <w:u w:val="single"/>
        </w:rPr>
        <w:t>Section 2.1</w:t>
      </w:r>
      <w:r>
        <w:rPr>
          <w:rFonts w:ascii="Times New Roman" w:hAnsi="Times New Roman"/>
          <w:color w:val="000000"/>
          <w:sz w:val="20"/>
        </w:rPr>
        <w:t xml:space="preserve"> without the prior written consent of Takeda, such approval not to be unreasonably withheld. If Takeda approves any sublicense, such approval shall not relieve Petra of any of its obligations hereunder. If Takeda’s prior written consent is required for Petra to sublicense its rights to Exploit any Compounds or Products, in whole or in part, to a Third Party, Takeda may not unreasonably withhold, condition or delay any such consent, and if Takeda fails to reject in writing any such proposed sublicense within [***], then Takeda shall be deemed to have consented to such sublicense. Following such time as Petra has completed the first clinical trial of a Licensed Compound, Petra shall have the right to grant sublicenses under any of the licenses granted in </w:t>
      </w:r>
      <w:r>
        <w:rPr>
          <w:rFonts w:ascii="Times New Roman" w:hAnsi="Times New Roman"/>
          <w:color w:val="000000"/>
          <w:sz w:val="20"/>
          <w:u w:val="single"/>
        </w:rPr>
        <w:t>Section 2.1</w:t>
      </w:r>
      <w:r>
        <w:rPr>
          <w:rFonts w:ascii="Times New Roman" w:hAnsi="Times New Roman"/>
          <w:color w:val="000000"/>
          <w:sz w:val="20"/>
        </w:rPr>
        <w:t xml:space="preserve"> (which sublicensed rights shall be further sublicenseable through multiple tiers) to any of its Affiliates or to any Third Party, with prior written notice to Takeda, but without Takeda’s consent, and subject to the requirements of this </w:t>
      </w:r>
      <w:r>
        <w:rPr>
          <w:rFonts w:ascii="Times New Roman" w:hAnsi="Times New Roman"/>
          <w:color w:val="000000"/>
          <w:sz w:val="20"/>
          <w:u w:val="single"/>
        </w:rPr>
        <w:t>Section 2.4</w:t>
      </w:r>
      <w:r>
        <w:rPr>
          <w:rFonts w:ascii="Times New Roman" w:hAnsi="Times New Roman"/>
          <w:color w:val="000000"/>
          <w:sz w:val="20"/>
        </w:rPr>
        <w:t xml:space="preserve">. Any sublicense granted by Petra in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accordance with the terms of this </w:t>
      </w:r>
      <w:r>
        <w:rPr>
          <w:rFonts w:ascii="Times New Roman" w:hAnsi="Times New Roman"/>
          <w:color w:val="000000"/>
          <w:sz w:val="20"/>
          <w:u w:val="single"/>
        </w:rPr>
        <w:t>Section 2.4</w:t>
      </w:r>
      <w:r>
        <w:rPr>
          <w:rFonts w:ascii="Times New Roman" w:hAnsi="Times New Roman"/>
          <w:color w:val="000000"/>
          <w:sz w:val="20"/>
        </w:rPr>
        <w:t xml:space="preserve"> shall be in writing and subject to, and consistent with, the terms and conditions of this Agreement to the extent applicable. In addition, any such sublicense shall include an obligation on the Sublicensee to [***]. Petra shall provide Takeda with a copy of any sublicense agreement, and any amendment thereto, within [***]; </w:t>
      </w:r>
      <w:r>
        <w:rPr>
          <w:rFonts w:ascii="Times New Roman" w:hAnsi="Times New Roman"/>
          <w:i/>
          <w:color w:val="000000"/>
          <w:sz w:val="20"/>
        </w:rPr>
        <w:t>provided</w:t>
      </w:r>
      <w:r>
        <w:rPr>
          <w:rFonts w:ascii="Times New Roman" w:hAnsi="Times New Roman"/>
          <w:color w:val="000000"/>
          <w:sz w:val="20"/>
        </w:rPr>
        <w:t xml:space="preserve"> that Petra shall have the right to redact from such copy of the sublicense agreement any (a) Financial terms and (b) other technical or business information which Petra determines in good faith to be necessary to protect any of its or its Sublicensee’s confidential or proprietary information unrelated to Petra’s obligations under this Agreement.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2.5 Material Transfer</w:t>
      </w:r>
      <w:r>
        <w:rPr>
          <w:rFonts w:ascii="Times New Roman" w:hAnsi="Times New Roman"/>
          <w:color w:val="000000"/>
          <w:sz w:val="20"/>
        </w:rPr>
        <w:t xml:space="preserve">. Takeda shall transfer to Petra or its designee, upon Takeda’s receipt of Petra’s reasonable written instructions with respect to shipping method, delivery address and carrier, and at Petra’s cost and expense, such amount of the Licensed Compounds as more explicitly set forth on </w:t>
      </w:r>
      <w:r>
        <w:rPr>
          <w:rFonts w:ascii="Times New Roman" w:hAnsi="Times New Roman"/>
          <w:color w:val="000000"/>
          <w:sz w:val="20"/>
          <w:u w:val="single"/>
        </w:rPr>
        <w:t>Exhibit D</w:t>
      </w:r>
      <w:r>
        <w:rPr>
          <w:rFonts w:ascii="Times New Roman" w:hAnsi="Times New Roman"/>
          <w:color w:val="000000"/>
          <w:sz w:val="20"/>
        </w:rPr>
        <w:t>. The Licensed Compounds shall be transferred as-is. Takeda shall use Commercially Reasonable Efforts to conduct such transfer to Petra within [***].</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2.6 Patent Transfer</w:t>
      </w:r>
      <w:r>
        <w:rPr>
          <w:rFonts w:ascii="Times New Roman" w:hAnsi="Times New Roman"/>
          <w:color w:val="000000"/>
          <w:sz w:val="20"/>
        </w:rPr>
        <w:t xml:space="preserve">. Except as noted in </w:t>
      </w:r>
      <w:r>
        <w:rPr>
          <w:rFonts w:ascii="Times New Roman" w:hAnsi="Times New Roman"/>
          <w:color w:val="000000"/>
          <w:sz w:val="20"/>
          <w:u w:val="single"/>
        </w:rPr>
        <w:t>Section 2.7</w:t>
      </w:r>
      <w:r>
        <w:rPr>
          <w:rFonts w:ascii="Times New Roman" w:hAnsi="Times New Roman"/>
          <w:color w:val="000000"/>
          <w:sz w:val="20"/>
        </w:rPr>
        <w:t xml:space="preserve">, Takeda shall use Commercially Reasonable Efforts to transfer to Petra or its designee, within [***], and [***], a copy of all files related to the Takeda Patents listed on </w:t>
      </w:r>
      <w:r>
        <w:rPr>
          <w:rFonts w:ascii="Times New Roman" w:hAnsi="Times New Roman"/>
          <w:color w:val="000000"/>
          <w:sz w:val="20"/>
          <w:u w:val="single"/>
        </w:rPr>
        <w:t>Exhibit C</w:t>
      </w:r>
      <w:r>
        <w:rPr>
          <w:rFonts w:ascii="Times New Roman" w:hAnsi="Times New Roman"/>
          <w:color w:val="000000"/>
          <w:sz w:val="20"/>
        </w:rPr>
        <w:t>, each in their current form and language.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2.7 Data Transfer</w:t>
      </w:r>
      <w:r>
        <w:rPr>
          <w:rFonts w:ascii="Times New Roman" w:hAnsi="Times New Roman"/>
          <w:color w:val="000000"/>
          <w:sz w:val="20"/>
        </w:rPr>
        <w:t xml:space="preserve">. Takeda shall transfer to Petra, following receipt by Takeda of written instructions from Petra with respect to the transfer, and [***], all Takeda Know-How that may be transferred in accordance with applicable Law. If during [***], Petra makes a written request to Takeda for additional Know-How relating solely to a Licensed Compound or Product that is owned or Controlled by Takeda and is not included on </w:t>
      </w:r>
      <w:r>
        <w:rPr>
          <w:rFonts w:ascii="Times New Roman" w:hAnsi="Times New Roman"/>
          <w:color w:val="000000"/>
          <w:sz w:val="20"/>
          <w:u w:val="single"/>
        </w:rPr>
        <w:t>Exhibit B</w:t>
      </w:r>
      <w:r>
        <w:rPr>
          <w:rFonts w:ascii="Times New Roman" w:hAnsi="Times New Roman"/>
          <w:color w:val="000000"/>
          <w:sz w:val="20"/>
        </w:rPr>
        <w:t>, Takeda shall consider such request in good faith and use reasonable efforts to promptly transfer to Petra any such Know-How that is in its Control and [***] and in accordance with applicable Law, [***]. Takeda shall further provide Petra with reasonable access, upon advance written notice and during normal business hours, to a representative of Takeda who is familiar with, and has the relevant expertise related to, the Licensed Compounds for questions and assistance relating to such data. Takeda shall use Commercially Reasonable Efforts to conduct such transfer to Petra within [***].</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2.8 Regulatory Documents Transfer</w:t>
      </w:r>
      <w:r>
        <w:rPr>
          <w:rFonts w:ascii="Times New Roman" w:hAnsi="Times New Roman"/>
          <w:color w:val="000000"/>
          <w:sz w:val="20"/>
        </w:rPr>
        <w:t>. Upon Petra’s written request after the Effective Date, Takeda shall (to the extent allowed by Law), [***], assign to Petra all applications and filings made by or on behalf of Takeda or its Affiliates with any Regulatory Authority in the Territory that relate solely to any Licensed Compounds or Product, if any, including any IND, NDA or orphan drug designations or any other application for regulatory consultations or consideration, including sponsorship thereof (the “</w:t>
      </w:r>
      <w:r>
        <w:rPr>
          <w:rFonts w:ascii="Times New Roman" w:hAnsi="Times New Roman"/>
          <w:b/>
          <w:color w:val="000000"/>
          <w:sz w:val="20"/>
        </w:rPr>
        <w:t>Regulatory Documents</w:t>
      </w:r>
      <w:r>
        <w:rPr>
          <w:rFonts w:ascii="Times New Roman" w:hAnsi="Times New Roman"/>
          <w:color w:val="000000"/>
          <w:sz w:val="20"/>
        </w:rPr>
        <w:t xml:space="preserve">”). To the extent any of the Regulatory Documents cannot be assigned to Petra, Takeda hereby grants on behalf of itself and its Affiliates to Petra an exclusive (even as to Takeda and its Affiliates) and transferable (subject to the provisions of </w:t>
      </w:r>
      <w:r>
        <w:rPr>
          <w:rFonts w:ascii="Times New Roman" w:hAnsi="Times New Roman"/>
          <w:color w:val="000000"/>
          <w:sz w:val="20"/>
          <w:u w:val="single"/>
        </w:rPr>
        <w:t>Section 12.2</w:t>
      </w:r>
      <w:r>
        <w:rPr>
          <w:rFonts w:ascii="Times New Roman" w:hAnsi="Times New Roman"/>
          <w:color w:val="000000"/>
          <w:sz w:val="20"/>
        </w:rPr>
        <w:t xml:space="preserve">) license and right of reference under the Regulatory Documents (with the right to sublicense and grant further rights of reference, subject to the provisions of </w:t>
      </w:r>
      <w:r>
        <w:rPr>
          <w:rFonts w:ascii="Times New Roman" w:hAnsi="Times New Roman"/>
          <w:color w:val="000000"/>
          <w:sz w:val="20"/>
          <w:u w:val="single"/>
        </w:rPr>
        <w:t>Section 2.4</w:t>
      </w:r>
      <w:r>
        <w:rPr>
          <w:rFonts w:ascii="Times New Roman" w:hAnsi="Times New Roman"/>
          <w:color w:val="000000"/>
          <w:sz w:val="20"/>
        </w:rPr>
        <w:t>) as necessary to Exploit any Licensed Compounds or Product(s) in the Territory in the Field. For clarity Regulatory Documents relating to a Licensed Compound in combination with any other compound are explicitly excluded, provided, however, that in the event Petra (or its Affiliate or sublicensee) is required by a Regulatory Authority to report any safety data relating solely to a Licensed Compound that was the subject of such a combination study. Takeda will cooperate with Petra to make such information available to such Regulatory Authority.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2.9 Authorization to Communicate with Vendors</w:t>
      </w:r>
      <w:r>
        <w:rPr>
          <w:rFonts w:ascii="Times New Roman" w:hAnsi="Times New Roman"/>
          <w:color w:val="000000"/>
          <w:sz w:val="20"/>
        </w:rPr>
        <w:t xml:space="preserve">. Takeda shall, promptly after the Effective Date, provide Petra with letters from Takeda to submit to the following vendors that have been involved in the development of the Licensed Compound TAK-117, which list includes vendors involved in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Development or manufacture of TAK-117 intermediates, regulatory starting materials, drug substance, drug product, and nonclinical studies, the purpose of which letters shall be to instruct such vendors to provide to Petra access to all data and material related solely to such Development or manufacture of TAK-117: [***].</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2.10 Confirmatory License</w:t>
      </w:r>
      <w:r>
        <w:rPr>
          <w:rFonts w:ascii="Times New Roman" w:hAnsi="Times New Roman"/>
          <w:color w:val="000000"/>
          <w:sz w:val="20"/>
        </w:rPr>
        <w:t>. Takeda shall, if requested to do so by Petra, promptly enter into a confirmatory license in a form reasonably requested by Petra for purposes of recording the licenses granted under this Agreement with such patent offices or other Regulatory Authorities as Petra considers appropriate.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2.11 No Excluded Indications Licenses</w:t>
      </w:r>
      <w:r>
        <w:rPr>
          <w:rFonts w:ascii="Times New Roman" w:hAnsi="Times New Roman"/>
          <w:color w:val="000000"/>
          <w:sz w:val="20"/>
        </w:rPr>
        <w:t xml:space="preserve">. Notwithstanding anything herein to the contrary, during the Term of this Agreement, Petra shall not, by itself or through a Third Party, directly or indirectly, use the Takeda Technology to research, Develop, manufacture, have manufactured, use, Commercialize, market, have marketed, sold, have sold or otherwise Exploit the same with respect to the Excluded Indications. During the Term, to the extent the rights to Exploit any Licensed Compound in the Excluded Indications revert to Takeda or its Affiliates, Takeda and its Affiliates shall not, by themselves or through a Third Party, directly or indirectly, use the Takeda Technology to Develop, manufacture, have manufactured, Commercialize, market, have marketed, sold, have sold or otherwise Exploit such Licensed Compound in the Field, except that Takeda shall have the right to use and practice such Licensed Compound in the Field for internal non-clinical research and development purposes in accordance with </w:t>
      </w:r>
      <w:r>
        <w:rPr>
          <w:rFonts w:ascii="Times New Roman" w:hAnsi="Times New Roman"/>
          <w:color w:val="000000"/>
          <w:sz w:val="20"/>
          <w:u w:val="single"/>
        </w:rPr>
        <w:t>Section 2.2</w:t>
      </w:r>
      <w:r>
        <w:rPr>
          <w:rFonts w:ascii="Times New Roman" w:hAnsi="Times New Roman"/>
          <w:color w:val="000000"/>
          <w:sz w:val="20"/>
        </w:rPr>
        <w:t xml:space="preserve"> above.</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Except as expressly set forth herein, no license or other right is or shall be created or granted under this Agreement by implication, estoppel or otherwise. All licenses and rights after the Effective Date and during the remainder of the Term are or shall be granted only as expressly provided in this Agreement. All rights not expressly granted by a Party under this Agreement are reserved by such Party and may not be used by the other Party for any purpose.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3</w:t>
      </w:r>
      <w:r>
        <w:rPr>
          <w:rFonts w:ascii="Times New Roman" w:hAnsi="Times New Roman"/>
          <w:color w:val="000000"/>
          <w:sz w:val="20"/>
        </w:rPr>
        <w:br/>
      </w:r>
      <w:r>
        <w:rPr>
          <w:rFonts w:ascii="Times New Roman" w:hAnsi="Times New Roman"/>
          <w:b/>
          <w:color w:val="000000"/>
          <w:sz w:val="20"/>
        </w:rPr>
        <w:t>DEVELOPMENT, MANUFACTURE AND COMMERCIALIZATION OF PRODUCT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3.1 Development of Products by Petra</w:t>
      </w:r>
      <w:r>
        <w:rPr>
          <w:rFonts w:ascii="Times New Roman" w:hAnsi="Times New Roman"/>
          <w:color w:val="000000"/>
          <w:sz w:val="20"/>
        </w:rPr>
        <w:t>. Petra shall have the sole responsibility and decision-making authority to Develop the Licensed Compounds and Products and to conduct (either itself or through its agents, subcontractors and/or Sublicensees) all clinical trials and non-clinical studies Petra believes appropriate to obtain Regulatory Approval for such Products in the Territory in the Field. As between the Parties, Petra shall be solely responsible for all costs and expenses associated with such Development. Petra will provide [***] written update to Takeda, specifying the current Development status and progress of the Licensed Compound(s) and/or Product(s) and summarizing Petra’s (and its Affiliates’ and Sublicensees’) significant activities relating to Development, Commercialization (to the extent applicable), and other Exploitation of each Product, within [***] during the Term. Such [***] report shall be complete and accurate in all material respects.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3.2 Commercialization</w:t>
      </w:r>
      <w:r>
        <w:rPr>
          <w:rFonts w:ascii="Times New Roman" w:hAnsi="Times New Roman"/>
          <w:color w:val="000000"/>
          <w:sz w:val="20"/>
        </w:rPr>
        <w:t>. Petra shall have the sole responsibility and decision-making authority to Commercialize Products itself or through one or more Sublicensees or other Third Parties selected by Petra in accordance with this Agreement and shall have the sole decision-making authority and responsibility in all matters relating to the Commercialization of Products in the Territory in the Field. As between the Parties. Petra shall be solely responsible for all costs and expenses associated with Commercialization.</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3.3 Clinical and Commercial Manufacturing</w:t>
      </w:r>
      <w:r>
        <w:rPr>
          <w:rFonts w:ascii="Times New Roman" w:hAnsi="Times New Roman"/>
          <w:color w:val="000000"/>
          <w:sz w:val="20"/>
        </w:rPr>
        <w:t xml:space="preserve">. Petra shall have sole responsibility for all manufacturing and labeling of the Licensed Compounds and/or Product(s), including clinical and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commercial manufacturing and labeling. Petra has the right to manufacture the Licensed Compounds and Products itself or through one or more Sublicensees or subcontractors selected by Petra in accordance with this Agreement. As between the Parties, Petra shall be solely responsible for all costs and expenses associated with such activities.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3.4 Diligence by Petra</w:t>
      </w:r>
      <w:r>
        <w:rPr>
          <w:rFonts w:ascii="Times New Roman" w:hAnsi="Times New Roman"/>
          <w:color w:val="000000"/>
          <w:sz w:val="20"/>
        </w:rPr>
        <w:t xml:space="preserve">. Petra shall use Commercially Reasonable Efforts to Develop and Commercialize at least one (1) Product in the Territory. Petra shall have the exclusive right to determine, in its sole discretion, the launch strategy for each Product, subject to its exercise of Commercially Reasonable Efforts] and the availability of any necessary Third Party licenses or other rights. Activities conducted by Petra’s Sublicensees will be considered as Petra’s activities under this Agreement for purposes of determining whether Petra has complied with its obligation to [use Commercially Reasonable Efforts. Petra shall be relieved of its diligence obligations under this </w:t>
      </w:r>
      <w:r>
        <w:rPr>
          <w:rFonts w:ascii="Times New Roman" w:hAnsi="Times New Roman"/>
          <w:color w:val="000000"/>
          <w:sz w:val="20"/>
          <w:u w:val="single"/>
        </w:rPr>
        <w:t>Section 3.4</w:t>
      </w:r>
      <w:r>
        <w:rPr>
          <w:rFonts w:ascii="Times New Roman" w:hAnsi="Times New Roman"/>
          <w:color w:val="000000"/>
          <w:sz w:val="20"/>
        </w:rPr>
        <w:t xml:space="preserve"> if either Party provides the other Party with a termination notice pursuant to </w:t>
      </w:r>
      <w:r>
        <w:rPr>
          <w:rFonts w:ascii="Times New Roman" w:hAnsi="Times New Roman"/>
          <w:color w:val="000000"/>
          <w:sz w:val="20"/>
          <w:u w:val="single"/>
        </w:rPr>
        <w:t>Section 10.2</w:t>
      </w:r>
      <w:r>
        <w:rPr>
          <w:rFonts w:ascii="Times New Roman" w:hAnsi="Times New Roman"/>
          <w:color w:val="000000"/>
          <w:sz w:val="20"/>
        </w:rPr>
        <w:t>, effective immediately upon delivery of such termination notice.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3.5 Subcontracting</w:t>
      </w:r>
      <w:r>
        <w:rPr>
          <w:rFonts w:ascii="Times New Roman" w:hAnsi="Times New Roman"/>
          <w:color w:val="000000"/>
          <w:sz w:val="20"/>
        </w:rPr>
        <w:t xml:space="preserve">. Petra may exercise any of its rights, or perform any of its obligations, under this Agreement by subcontracting (including, for example, to fee-for-service or commercial research organizations) the exercise or performance of all or any portion of such rights and obligations on Petra’s behalf. For the avoidance of doubt, this provision shall not be construed as permitting the granting of a Sublicense to any sub-contractor other than in accordance with the requirements of </w:t>
      </w:r>
      <w:r>
        <w:rPr>
          <w:rFonts w:ascii="Times New Roman" w:hAnsi="Times New Roman"/>
          <w:color w:val="000000"/>
          <w:sz w:val="20"/>
          <w:u w:val="single"/>
        </w:rPr>
        <w:t>Section 2.4</w:t>
      </w:r>
      <w:r>
        <w:rPr>
          <w:rFonts w:ascii="Times New Roman" w:hAnsi="Times New Roman"/>
          <w:color w:val="000000"/>
          <w:sz w:val="20"/>
        </w:rPr>
        <w:t xml:space="preserve"> and any sub-contractors shall not be considered Sublicensees. Any subcontract granted or entered into by Petra as contemplated by this Section shall be in writing, shall specify the activity or activities subcontracted, and shall impart on the subcontractor the same level of obligation provided hereunder and the same level of protection for Takeda as provided hereunder (in each case as applicable to the subcontracted activities). Subcontracting shall not relieve Petra from any of its obligations under this Agreement. Petra shall be responsible for the performance of and any breaches of this Agreement by its subcontractors. Petra shall ensure that any subcontractors are aware of, and comply with the provisions of this Agreement applicable to the work being performed by such subcontractor.</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3.6 Trademarks</w:t>
      </w:r>
      <w:r>
        <w:rPr>
          <w:rFonts w:ascii="Times New Roman" w:hAnsi="Times New Roman"/>
          <w:color w:val="000000"/>
          <w:sz w:val="20"/>
        </w:rPr>
        <w:t>. As between Takeda and Petra, Petra shall have the sole authority to select trademarks for the Products and shall own all such trademarks in the Territory. Throughout the Term of this Agreement and thereafter, Petra shall not adopt or use, register or attempt to register in the Territory any trademark, trade name, domain name, or similar commercial symbol that includes, or is confusingly similar to, Takeda’s or any of its Affiliates trademarks or service marks.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3.7 </w:t>
      </w:r>
      <w:r>
        <w:rPr>
          <w:rFonts w:ascii="Times New Roman" w:hAnsi="Times New Roman"/>
          <w:color w:val="000000"/>
          <w:sz w:val="20"/>
        </w:rPr>
        <w:t>[</w:t>
      </w:r>
      <w:r>
        <w:rPr>
          <w:rFonts w:ascii="Times New Roman" w:hAnsi="Times New Roman"/>
          <w:b/>
          <w:color w:val="000000"/>
          <w:sz w:val="20"/>
        </w:rPr>
        <w:t>***</w:t>
      </w:r>
      <w:r>
        <w:rPr>
          <w:rFonts w:ascii="Times New Roman" w:hAnsi="Times New Roman"/>
          <w:color w:val="000000"/>
          <w:sz w:val="20"/>
        </w:rPr>
        <w: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3.8 Abandonment</w:t>
      </w:r>
      <w:r>
        <w:rPr>
          <w:rFonts w:ascii="Times New Roman" w:hAnsi="Times New Roman"/>
          <w:color w:val="000000"/>
          <w:sz w:val="20"/>
        </w:rPr>
        <w:t xml:space="preserve">. If Petra and its Affiliates and Sublicensees abandon Development and Commercialization of all Licensed Compounds and all Products containing any Licensed Compounds, Petra shall promptly notify Takeda of such decision. Upon receipt of such notice of abandonment, Takeda shall have the right, but not the obligation, to terminate this Agreement and take back Development or Commercialization responsibility for the Licensed Compounds, provided Takeda must notify Petra of its decision within [***]. If Takeda does not elect to take back such Development or Commercialization responsibility within such [***] period, Petra shall be solely responsible [***] for the wind down of any such of its Development or Commercialization activities, including any clinical trials [***]. If Takeda elects to take back Development or Commercialization of the Licensed Compounds during such [***] period, the Parties shall work in good faith to determine which Party shall continue any ongoing research activities, including clinical trials in process and </w:t>
      </w:r>
      <w:r>
        <w:rPr>
          <w:rFonts w:ascii="Times New Roman" w:hAnsi="Times New Roman"/>
          <w:color w:val="000000"/>
          <w:sz w:val="20"/>
          <w:u w:val="single"/>
        </w:rPr>
        <w:t>Section 10.31b)(v)</w:t>
      </w:r>
      <w:r>
        <w:rPr>
          <w:rFonts w:ascii="Times New Roman" w:hAnsi="Times New Roman"/>
          <w:color w:val="000000"/>
          <w:sz w:val="20"/>
        </w:rPr>
        <w:t xml:space="preserve"> shall apply.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4</w:t>
      </w:r>
      <w:r>
        <w:rPr>
          <w:rFonts w:ascii="Times New Roman" w:hAnsi="Times New Roman"/>
          <w:color w:val="000000"/>
          <w:sz w:val="20"/>
        </w:rPr>
        <w:br/>
      </w:r>
      <w:r>
        <w:rPr>
          <w:rFonts w:ascii="Times New Roman" w:hAnsi="Times New Roman"/>
          <w:b/>
          <w:color w:val="000000"/>
          <w:sz w:val="20"/>
        </w:rPr>
        <w:t>REGULATORY MATTERS</w:t>
      </w:r>
    </w:p>
    <w:p>
      <w:pPr>
        <w:pStyle w:val="TextBody"/>
        <w:pBdr/>
        <w:bidi w:val="0"/>
        <w:spacing w:before="0" w:after="240"/>
        <w:ind w:left="0" w:right="0" w:hanging="720"/>
        <w:jc w:val="left"/>
        <w:rPr>
          <w:rFonts w:ascii="Times New Roman" w:hAnsi="Times New Roman"/>
          <w:b/>
          <w:color w:val="000000"/>
          <w:sz w:val="20"/>
        </w:rPr>
      </w:pPr>
      <w:r>
        <w:rPr>
          <w:rFonts w:ascii="Times New Roman" w:hAnsi="Times New Roman"/>
          <w:b/>
          <w:color w:val="000000"/>
          <w:sz w:val="20"/>
        </w:rPr>
        <w:t>4.1 Regulatory Filings.</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Petra Responsibilities</w:t>
      </w:r>
      <w:r>
        <w:rPr>
          <w:rFonts w:ascii="Times New Roman" w:hAnsi="Times New Roman"/>
          <w:color w:val="000000"/>
          <w:sz w:val="20"/>
        </w:rPr>
        <w:t>. Petra will be solely responsible for all regulatory activities relating to the Licensed Compounds and/or the Products) in the Field, including (i) developing regulatory plans and strategies for the Licensed Compounds and the Product(s), (ii) making all regulatory filings with respect to the Licensed Compounds and the Product(s), and (iii) obtaining and maintaining regulatory approvals for the Product(s). As between Petra and Takeda, Petra shall own and maintain all regulatory filings and Regulatory Approvals for the Products, including all INDs and NDAs, in the Territory. Petra will be solely responsible for all costs associated with such activities. Petra has the right to select the countries where the Licensed Compounds and/or Product(s) will be maintained or submitted for regulatory approval.</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Regulatory Filings by both Petra and Takeda Licensee</w:t>
      </w:r>
      <w:r>
        <w:rPr>
          <w:rFonts w:ascii="Times New Roman" w:hAnsi="Times New Roman"/>
          <w:color w:val="000000"/>
          <w:sz w:val="20"/>
        </w:rPr>
        <w:t>. When Petra files an IND for any Licensed Compound or Product, Petra shall notify Takeda thereof within [***]. When the Third Party to whom Takeda has granted rights with respect to the Excluded Indications (the “</w:t>
      </w:r>
      <w:r>
        <w:rPr>
          <w:rFonts w:ascii="Times New Roman" w:hAnsi="Times New Roman"/>
          <w:b/>
          <w:color w:val="000000"/>
          <w:sz w:val="20"/>
        </w:rPr>
        <w:t>Takeda Licensee</w:t>
      </w:r>
      <w:r>
        <w:rPr>
          <w:rFonts w:ascii="Times New Roman" w:hAnsi="Times New Roman"/>
          <w:color w:val="000000"/>
          <w:sz w:val="20"/>
        </w:rPr>
        <w:t>”) files an IND for any Licensed Compound or Product, Takeda shall notify Petra thereof within [***]. If both Petra and the Takeda Licensee file an IND for the same Licensed Compound or Product, Takeda shall facilitate a negotiation between the Takeda Licensee and Petra, subject to which Petra and the Takeda Licensee shall negotiate in good faith and enter into a pharmacovigilance and safety data exchange agreement, which agreement shall be applicable to [***] and set forth [***]. Takeda’s obligations with respect to such negotiations shall be [***]. Further, when and if the Takeda Licensee submits a marketing approval application for any such Licensed Compound or Product, Takeda shall notify Petra thereof within [***]. In the event that the first marketing approval application of such Product is filed by either Petra or the Takeda Licensee, Petra and the Takeda Licensee shall initiate negotiations with a view to entering into a post-marketing safety data exchange agreement no later than [***], which agreement shall be applicable to [***] to permit each of Petra and the Takeda Licensee to comply with regulatory and legal requirements regarding the management of safety data by providing for the exchange of relevant information in an appropriate format within applicable timeframes.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4.2 Communications with Authorities</w:t>
      </w:r>
      <w:r>
        <w:rPr>
          <w:rFonts w:ascii="Times New Roman" w:hAnsi="Times New Roman"/>
          <w:color w:val="000000"/>
          <w:sz w:val="20"/>
        </w:rPr>
        <w:t xml:space="preserve">. Petra (or one of its Sublicensees) shall be responsible, and act as the sole point of contact, for communications with Regulatory Authorities in connection with the Development, Commercialization and manufacturing of Licensed Compounds and Products in the Territory. Following the Effective Date, Takeda shall not initiate (or permit any of its Affiliates to initiate), with respect to any Licensed Compounds or Product, any meetings or contact with Regulatory Authorities in the Territory, without Petra’s prior written consent, except as necessary to accomplish the technology transfer pursuant to </w:t>
      </w:r>
      <w:r>
        <w:rPr>
          <w:rFonts w:ascii="Times New Roman" w:hAnsi="Times New Roman"/>
          <w:color w:val="000000"/>
          <w:sz w:val="20"/>
          <w:u w:val="single"/>
        </w:rPr>
        <w:t>Section 2.8</w:t>
      </w:r>
      <w:r>
        <w:rPr>
          <w:rFonts w:ascii="Times New Roman" w:hAnsi="Times New Roman"/>
          <w:color w:val="000000"/>
          <w:sz w:val="20"/>
        </w:rPr>
        <w:t>, in which case Takeda shall keep Petra informed of the status of such transfer. To the extent Takeda or any Affiliate receives any written or oral communication from any Regulatory Authority in the Territory relating to any Licensed Compounds or Product, to the extent not prohibited by Law, Takeda shall (a) refer such Regulatory Authority to Petra, and (b) as soon as reasonably practicable (but in any event within [***]), notify Petra and provide Petra with a copy of any written communication received by Takeda or such Affiliate or, if applicable, accurate minutes of such oral communication.</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4.3 Adverse Event Reporting</w:t>
      </w:r>
      <w:r>
        <w:rPr>
          <w:rFonts w:ascii="Times New Roman" w:hAnsi="Times New Roman"/>
          <w:color w:val="000000"/>
          <w:sz w:val="20"/>
        </w:rPr>
        <w:t xml:space="preserve">. Takeda and Petra agree to comply with any and all Laws applicable during the Term in connection with Product safely data collection and reporting, including reporting of Adverse Events. If Takeda or any Affiliate has or receives any information regarding any Adverse Event which may be related to the use of any Product, then Takeda shall provide Petra with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all such information in English within such reasonable timelines which enable Petra to comply with all Laws and relevant regulations and requirements.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4.4 Recalls</w:t>
      </w:r>
      <w:r>
        <w:rPr>
          <w:rFonts w:ascii="Times New Roman" w:hAnsi="Times New Roman"/>
          <w:color w:val="000000"/>
          <w:sz w:val="20"/>
        </w:rPr>
        <w:t>. Petra shall have the sole right to determine whether and how to implement a recall or other market withdrawal of Product(s) in the Territory.</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5</w:t>
      </w:r>
      <w:r>
        <w:rPr>
          <w:rFonts w:ascii="Times New Roman" w:hAnsi="Times New Roman"/>
          <w:color w:val="000000"/>
          <w:sz w:val="20"/>
        </w:rPr>
        <w:br/>
      </w:r>
      <w:r>
        <w:rPr>
          <w:rFonts w:ascii="Times New Roman" w:hAnsi="Times New Roman"/>
          <w:b/>
          <w:color w:val="000000"/>
          <w:sz w:val="20"/>
        </w:rPr>
        <w:t>FINANCIAL PROVISIONS</w:t>
      </w:r>
    </w:p>
    <w:p>
      <w:pPr>
        <w:pStyle w:val="TextBody"/>
        <w:bidi w:val="0"/>
        <w:spacing w:before="40" w:after="280"/>
        <w:ind w:left="720" w:right="0" w:hanging="0"/>
        <w:jc w:val="left"/>
        <w:rPr>
          <w:rFonts w:ascii="Times New Roman" w:hAnsi="Times New Roman"/>
          <w:color w:val="000000"/>
          <w:sz w:val="20"/>
        </w:rPr>
      </w:pPr>
      <w:r>
        <w:rPr>
          <w:rFonts w:ascii="Times New Roman" w:hAnsi="Times New Roman"/>
          <w:color w:val="000000"/>
          <w:sz w:val="20"/>
        </w:rPr>
        <w:t>As consideration for Takeda’s grant of rights and licenses to Petra under this Agreement, and fulfilment by Takeda of its other obligations under this Agreement, Petra shall [***] and pay the milestone and royalty payments, all as described below in this Article 5.</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5.1 </w:t>
      </w:r>
      <w:r>
        <w:rPr>
          <w:rFonts w:ascii="Times New Roman" w:hAnsi="Times New Roman"/>
          <w:color w:val="000000"/>
          <w:sz w:val="20"/>
        </w:rPr>
        <w:t>[***]</w:t>
      </w:r>
    </w:p>
    <w:p>
      <w:pPr>
        <w:pStyle w:val="TextBody"/>
        <w:pBdr/>
        <w:bidi w:val="0"/>
        <w:spacing w:before="40" w:after="280"/>
        <w:ind w:left="0" w:right="0" w:hanging="720"/>
        <w:jc w:val="left"/>
        <w:rPr>
          <w:rFonts w:ascii="Times New Roman" w:hAnsi="Times New Roman"/>
          <w:sz w:val="20"/>
        </w:rPr>
      </w:pPr>
      <w:r>
        <w:rPr>
          <w:rFonts w:ascii="Times New Roman" w:hAnsi="Times New Roman"/>
          <w:b/>
          <w:color w:val="000000"/>
          <w:sz w:val="20"/>
        </w:rPr>
        <w:t xml:space="preserve">5.2 </w:t>
      </w:r>
      <w:r>
        <w:rPr>
          <w:rFonts w:ascii="Times New Roman" w:hAnsi="Times New Roman"/>
          <w:color w:val="000000"/>
          <w:sz w:val="20"/>
        </w:rPr>
        <w: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5.3 Milestone Payments</w:t>
      </w:r>
      <w:r>
        <w:rPr>
          <w:rFonts w:ascii="Times New Roman" w:hAnsi="Times New Roman"/>
          <w:color w:val="000000"/>
          <w:sz w:val="20"/>
        </w:rPr>
        <w:t>. As consideration for the exclusive license to the Takeda Technology granted under this Agreement, Petra shall pay to Takeda the following one-time milestone payments upon the first and only achievement of each such Milestone Event by the first Product to achieve such Milestone Event:</w:t>
      </w:r>
    </w:p>
    <w:tbl>
      <w:tblPr>
        <w:tblW w:w="6482" w:type="dxa"/>
        <w:jc w:val="left"/>
        <w:tblInd w:w="0" w:type="dxa"/>
        <w:tblLayout w:type="fixed"/>
        <w:tblCellMar>
          <w:top w:w="28" w:type="dxa"/>
          <w:left w:w="28" w:type="dxa"/>
          <w:bottom w:w="28" w:type="dxa"/>
          <w:right w:w="28" w:type="dxa"/>
        </w:tblCellMar>
      </w:tblPr>
      <w:tblGrid>
        <w:gridCol w:w="5581"/>
        <w:gridCol w:w="901"/>
      </w:tblGrid>
      <w:tr>
        <w:trPr/>
        <w:tc>
          <w:tcPr>
            <w:tcW w:w="558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581"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60" w:after="240"/>
              <w:jc w:val="left"/>
              <w:rPr>
                <w:rFonts w:ascii="Times New Roman" w:hAnsi="Times New Roman"/>
                <w:b/>
                <w:color w:val="000000"/>
                <w:sz w:val="20"/>
              </w:rPr>
            </w:pPr>
            <w:r>
              <w:rPr>
                <w:rFonts w:ascii="Times New Roman" w:hAnsi="Times New Roman"/>
                <w:b/>
                <w:color w:val="000000"/>
                <w:sz w:val="20"/>
              </w:rPr>
              <w:t>Milestone Event</w:t>
            </w:r>
          </w:p>
        </w:tc>
        <w:tc>
          <w:tcPr>
            <w:tcW w:w="90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60" w:after="240"/>
              <w:jc w:val="center"/>
              <w:rPr>
                <w:rFonts w:ascii="Times New Roman" w:hAnsi="Times New Roman"/>
                <w:b/>
                <w:color w:val="000000"/>
                <w:sz w:val="20"/>
              </w:rPr>
            </w:pPr>
            <w:r>
              <w:rPr>
                <w:rFonts w:ascii="Times New Roman" w:hAnsi="Times New Roman"/>
                <w:b/>
                <w:color w:val="000000"/>
                <w:sz w:val="20"/>
              </w:rPr>
              <w:t>Payment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w:t>
            </w:r>
          </w:p>
        </w:tc>
      </w:tr>
      <w:tr>
        <w:trPr/>
        <w:tc>
          <w:tcPr>
            <w:tcW w:w="55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80" w:after="80"/>
              <w:jc w:val="left"/>
              <w:rPr>
                <w:rFonts w:ascii="Times New Roman" w:hAnsi="Times New Roman"/>
                <w:b/>
                <w:color w:val="000000"/>
                <w:sz w:val="20"/>
              </w:rPr>
            </w:pPr>
            <w:r>
              <w:rPr>
                <w:rFonts w:ascii="Times New Roman" w:hAnsi="Times New Roman"/>
                <w:b/>
                <w:color w:val="000000"/>
                <w:sz w:val="20"/>
              </w:rPr>
              <w:t>Total Potential Event Milestone Payments under this Section 5.3:</w:t>
            </w:r>
          </w:p>
        </w:tc>
        <w:tc>
          <w:tcPr>
            <w:tcW w:w="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80" w:after="80"/>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w:t>
            </w:r>
            <w:r>
              <w:rPr>
                <w:rFonts w:ascii="Times New Roman" w:hAnsi="Times New Roman"/>
                <w:b/>
                <w:color w:val="000000"/>
                <w:sz w:val="20"/>
              </w:rPr>
              <w:t>***</w:t>
            </w:r>
            <w:r>
              <w:rPr>
                <w:rFonts w:ascii="Times New Roman" w:hAnsi="Times New Roman"/>
                <w:color w:val="000000"/>
                <w:sz w:val="20"/>
              </w:rPr>
              <w:t>]</w:t>
            </w:r>
          </w:p>
        </w:tc>
      </w:tr>
    </w:tbl>
    <w:p>
      <w:pPr>
        <w:pStyle w:val="TextBody"/>
        <w:pBdr/>
        <w:bidi w:val="0"/>
        <w:spacing w:before="240" w:after="240"/>
        <w:ind w:left="0" w:right="0" w:hanging="720"/>
        <w:jc w:val="left"/>
        <w:rPr>
          <w:rFonts w:ascii="Times New Roman" w:hAnsi="Times New Roman"/>
          <w:sz w:val="20"/>
        </w:rPr>
      </w:pPr>
      <w:r>
        <w:rPr>
          <w:rFonts w:ascii="Times New Roman" w:hAnsi="Times New Roman"/>
          <w:b/>
          <w:color w:val="000000"/>
          <w:sz w:val="20"/>
        </w:rPr>
        <w:t>5.4 Sales Milestone Payments</w:t>
      </w:r>
      <w:r>
        <w:rPr>
          <w:rFonts w:ascii="Times New Roman" w:hAnsi="Times New Roman"/>
          <w:color w:val="000000"/>
          <w:sz w:val="20"/>
        </w:rPr>
        <w:t>. As consideration for the exclusive license to the Takeda Technology granted under this Agreement, Petra shall pay to Takeda the following one-time net sales milestone payments within [***] after the first and only achievement of each indicated threshold for total Net Sales of the Product achieved during a Calendar Year:</w:t>
      </w:r>
    </w:p>
    <w:tbl>
      <w:tblPr>
        <w:tblW w:w="6032" w:type="dxa"/>
        <w:jc w:val="left"/>
        <w:tblInd w:w="0" w:type="dxa"/>
        <w:tblLayout w:type="fixed"/>
        <w:tblCellMar>
          <w:top w:w="28" w:type="dxa"/>
          <w:left w:w="28" w:type="dxa"/>
          <w:bottom w:w="28" w:type="dxa"/>
          <w:right w:w="28" w:type="dxa"/>
        </w:tblCellMar>
      </w:tblPr>
      <w:tblGrid>
        <w:gridCol w:w="5131"/>
        <w:gridCol w:w="901"/>
      </w:tblGrid>
      <w:tr>
        <w:trPr/>
        <w:tc>
          <w:tcPr>
            <w:tcW w:w="513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131"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60" w:after="240"/>
              <w:jc w:val="left"/>
              <w:rPr>
                <w:rFonts w:ascii="Times New Roman" w:hAnsi="Times New Roman"/>
                <w:b/>
                <w:color w:val="000000"/>
                <w:sz w:val="20"/>
              </w:rPr>
            </w:pPr>
            <w:r>
              <w:rPr>
                <w:rFonts w:ascii="Times New Roman" w:hAnsi="Times New Roman"/>
                <w:b/>
                <w:color w:val="000000"/>
                <w:sz w:val="20"/>
              </w:rPr>
              <w:t>When Calendar Year Net Sales of the Product First Exceed:</w:t>
            </w:r>
          </w:p>
        </w:tc>
        <w:tc>
          <w:tcPr>
            <w:tcW w:w="90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60" w:after="240"/>
              <w:jc w:val="center"/>
              <w:rPr>
                <w:rFonts w:ascii="Times New Roman" w:hAnsi="Times New Roman"/>
                <w:b/>
                <w:color w:val="000000"/>
                <w:sz w:val="20"/>
              </w:rPr>
            </w:pPr>
            <w:r>
              <w:rPr>
                <w:rFonts w:ascii="Times New Roman" w:hAnsi="Times New Roman"/>
                <w:b/>
                <w:color w:val="000000"/>
                <w:sz w:val="20"/>
              </w:rPr>
              <w:t>Payment</w:t>
            </w:r>
          </w:p>
        </w:tc>
      </w:tr>
    </w:tbl>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tbl>
      <w:tblPr>
        <w:tblW w:w="3542" w:type="dxa"/>
        <w:jc w:val="left"/>
        <w:tblInd w:w="0" w:type="dxa"/>
        <w:tblLayout w:type="fixed"/>
        <w:tblCellMar>
          <w:top w:w="28" w:type="dxa"/>
          <w:left w:w="28" w:type="dxa"/>
          <w:bottom w:w="28" w:type="dxa"/>
          <w:right w:w="28" w:type="dxa"/>
        </w:tblCellMar>
      </w:tblPr>
      <w:tblGrid>
        <w:gridCol w:w="2851"/>
        <w:gridCol w:w="691"/>
      </w:tblGrid>
      <w:tr>
        <w:trPr/>
        <w:tc>
          <w:tcPr>
            <w:tcW w:w="285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w:t>
            </w:r>
          </w:p>
        </w:tc>
        <w:tc>
          <w:tcPr>
            <w:tcW w:w="6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w:t>
            </w:r>
          </w:p>
        </w:tc>
      </w:tr>
      <w:tr>
        <w:trPr/>
        <w:tc>
          <w:tcPr>
            <w:tcW w:w="28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w:t>
            </w:r>
          </w:p>
        </w:tc>
      </w:tr>
      <w:tr>
        <w:trPr/>
        <w:tc>
          <w:tcPr>
            <w:tcW w:w="28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 xml:space="preserve">Total Potential Sales Milestone </w:t>
              <w:br/>
              <w:t>Payments under this Section 5.4:</w:t>
            </w:r>
          </w:p>
        </w:tc>
        <w:tc>
          <w:tcPr>
            <w:tcW w:w="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w:t>
            </w:r>
            <w:r>
              <w:rPr>
                <w:rFonts w:ascii="Times New Roman" w:hAnsi="Times New Roman"/>
                <w:b/>
                <w:color w:val="000000"/>
                <w:sz w:val="20"/>
              </w:rPr>
              <w:t>***</w:t>
            </w:r>
            <w:r>
              <w:rPr>
                <w:rFonts w:ascii="Times New Roman" w:hAnsi="Times New Roman"/>
                <w:color w:val="000000"/>
                <w:sz w:val="20"/>
              </w:rPr>
              <w:t>]</w:t>
            </w:r>
          </w:p>
        </w:tc>
      </w:tr>
    </w:tbl>
    <w:p>
      <w:pPr>
        <w:pStyle w:val="TextBody"/>
        <w:pBdr/>
        <w:bidi w:val="0"/>
        <w:spacing w:before="240" w:after="240"/>
        <w:ind w:left="0" w:right="0" w:hanging="720"/>
        <w:jc w:val="left"/>
        <w:rPr>
          <w:rFonts w:ascii="Times New Roman" w:hAnsi="Times New Roman"/>
          <w:sz w:val="20"/>
        </w:rPr>
      </w:pPr>
      <w:r>
        <w:rPr>
          <w:rFonts w:ascii="Times New Roman" w:hAnsi="Times New Roman"/>
          <w:b/>
          <w:color w:val="000000"/>
          <w:sz w:val="20"/>
        </w:rPr>
        <w:t>5.5 Notification of Milestone Achievement</w:t>
      </w:r>
      <w:r>
        <w:rPr>
          <w:rFonts w:ascii="Times New Roman" w:hAnsi="Times New Roman"/>
          <w:color w:val="000000"/>
          <w:sz w:val="20"/>
        </w:rPr>
        <w:t>. Petra will provide Takeda with prompt written notice of the occurrence of any Milestone Event, in any event no later than [***]. Promptly following receipt of the notice of a Milestone Event achievement, Takeda will prepare and deliver to Petra an invoice for the applicable Milestone Payment, which shall be payable within [***].</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5.6 Royalty Payments</w:t>
      </w:r>
      <w:r>
        <w:rPr>
          <w:rFonts w:ascii="Times New Roman" w:hAnsi="Times New Roman"/>
          <w:color w:val="000000"/>
          <w:sz w:val="20"/>
        </w:rPr>
        <w:t xml:space="preserve">. Subject to </w:t>
      </w:r>
      <w:r>
        <w:rPr>
          <w:rFonts w:ascii="Times New Roman" w:hAnsi="Times New Roman"/>
          <w:color w:val="000000"/>
          <w:sz w:val="20"/>
          <w:u w:val="single"/>
        </w:rPr>
        <w:t>Section 5.7</w:t>
      </w:r>
      <w:r>
        <w:rPr>
          <w:rFonts w:ascii="Times New Roman" w:hAnsi="Times New Roman"/>
          <w:color w:val="000000"/>
          <w:sz w:val="20"/>
        </w:rPr>
        <w:t>, as consideration for the exclusive license to the Takeda Technology granted under this Agreement, Petra shall, during each applicable Royalty Term; pay to Takeda [***] royalty payments, on a Product-by-Product, country-by-country and Calendar Year-by-Calendar Year basis as follows (“</w:t>
      </w:r>
      <w:r>
        <w:rPr>
          <w:rFonts w:ascii="Times New Roman" w:hAnsi="Times New Roman"/>
          <w:b/>
          <w:color w:val="000000"/>
          <w:sz w:val="20"/>
        </w:rPr>
        <w:t>Royalty Payments</w:t>
      </w:r>
      <w:r>
        <w:rPr>
          <w:rFonts w:ascii="Times New Roman" w:hAnsi="Times New Roman"/>
          <w:color w:val="000000"/>
          <w:sz w:val="20"/>
        </w:rPr>
        <w:t>”):</w:t>
      </w:r>
    </w:p>
    <w:tbl>
      <w:tblPr>
        <w:tblW w:w="6872" w:type="dxa"/>
        <w:jc w:val="left"/>
        <w:tblInd w:w="0" w:type="dxa"/>
        <w:tblLayout w:type="fixed"/>
        <w:tblCellMar>
          <w:top w:w="28" w:type="dxa"/>
          <w:left w:w="28" w:type="dxa"/>
          <w:bottom w:w="28" w:type="dxa"/>
          <w:right w:w="28" w:type="dxa"/>
        </w:tblCellMar>
      </w:tblPr>
      <w:tblGrid>
        <w:gridCol w:w="5611"/>
        <w:gridCol w:w="1261"/>
      </w:tblGrid>
      <w:tr>
        <w:trPr/>
        <w:tc>
          <w:tcPr>
            <w:tcW w:w="56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611"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60" w:after="240"/>
              <w:jc w:val="left"/>
              <w:rPr>
                <w:rFonts w:ascii="Times New Roman" w:hAnsi="Times New Roman"/>
                <w:b/>
                <w:color w:val="000000"/>
                <w:sz w:val="20"/>
              </w:rPr>
            </w:pPr>
            <w:r>
              <w:rPr>
                <w:rFonts w:ascii="Times New Roman" w:hAnsi="Times New Roman"/>
                <w:b/>
                <w:color w:val="000000"/>
                <w:sz w:val="20"/>
              </w:rPr>
              <w:t>Portion of Calendar Year Net Sales of a Product in the Territory:</w:t>
            </w:r>
          </w:p>
        </w:tc>
        <w:tc>
          <w:tcPr>
            <w:tcW w:w="126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60" w:after="240"/>
              <w:jc w:val="center"/>
              <w:rPr>
                <w:rFonts w:ascii="Times New Roman" w:hAnsi="Times New Roman"/>
                <w:b/>
                <w:color w:val="000000"/>
                <w:sz w:val="20"/>
              </w:rPr>
            </w:pPr>
            <w:r>
              <w:rPr>
                <w:rFonts w:ascii="Times New Roman" w:hAnsi="Times New Roman"/>
                <w:b/>
                <w:color w:val="000000"/>
                <w:sz w:val="20"/>
              </w:rPr>
              <w:t>Royalty Rate</w:t>
            </w:r>
          </w:p>
        </w:tc>
      </w:tr>
      <w:tr>
        <w:trPr/>
        <w:tc>
          <w:tcPr>
            <w:tcW w:w="5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to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w:t>
            </w:r>
          </w:p>
        </w:tc>
      </w:tr>
      <w:tr>
        <w:trPr/>
        <w:tc>
          <w:tcPr>
            <w:tcW w:w="5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&gt; $[***] to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w:t>
            </w:r>
          </w:p>
        </w:tc>
      </w:tr>
      <w:tr>
        <w:trPr/>
        <w:tc>
          <w:tcPr>
            <w:tcW w:w="5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&gt;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ind w:left="720" w:right="0" w:hanging="0"/>
        <w:jc w:val="left"/>
        <w:rPr>
          <w:rFonts w:ascii="Times New Roman" w:hAnsi="Times New Roman"/>
          <w:color w:val="000000"/>
          <w:sz w:val="20"/>
        </w:rPr>
      </w:pPr>
      <w:r>
        <w:rPr>
          <w:rFonts w:ascii="Times New Roman" w:hAnsi="Times New Roman"/>
          <w:color w:val="000000"/>
          <w:sz w:val="20"/>
        </w:rPr>
        <w:t>Upon the expiration of the Royalty Term with respect to each Product in each country, Petra shall have a fully paid-up, irrevocable license with respect to such Product in such country.</w:t>
      </w:r>
    </w:p>
    <w:p>
      <w:pPr>
        <w:pStyle w:val="TextBody"/>
        <w:pBdr/>
        <w:bidi w:val="0"/>
        <w:spacing w:before="0" w:after="240"/>
        <w:ind w:left="0" w:right="0" w:hanging="720"/>
        <w:jc w:val="left"/>
        <w:rPr>
          <w:rFonts w:ascii="Times New Roman" w:hAnsi="Times New Roman"/>
          <w:b/>
          <w:color w:val="000000"/>
          <w:sz w:val="20"/>
        </w:rPr>
      </w:pPr>
      <w:r>
        <w:rPr>
          <w:rFonts w:ascii="Times New Roman" w:hAnsi="Times New Roman"/>
          <w:b/>
          <w:color w:val="000000"/>
          <w:sz w:val="20"/>
        </w:rPr>
        <w:t>5.7 Reductions.</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Anti-Stacking</w:t>
      </w:r>
      <w:r>
        <w:rPr>
          <w:rFonts w:ascii="Times New Roman" w:hAnsi="Times New Roman"/>
          <w:color w:val="000000"/>
          <w:sz w:val="20"/>
        </w:rPr>
        <w:t xml:space="preserve">. If, based on the opinion of counsel that such is necessary for avoiding infringement or misappropriation of Third Party intellectual property rights, Petra, its Affiliate or any of its Sublicensees enters into any Third Party license agreements in order to Exploit the Takeda Technology, including in connection with settlement of any Third Party Action, Petra will be entitled to deduct [***] of the amounts paid by Petra or its Sublicensee pursuant to the applicable Third Party license agreement from any amounts due to Takeda pursuant to </w:t>
      </w:r>
      <w:r>
        <w:rPr>
          <w:rFonts w:ascii="Times New Roman" w:hAnsi="Times New Roman"/>
          <w:color w:val="000000"/>
          <w:sz w:val="20"/>
          <w:u w:val="single"/>
        </w:rPr>
        <w:t>Section 5.6</w:t>
      </w:r>
      <w:r>
        <w:rPr>
          <w:rFonts w:ascii="Times New Roman" w:hAnsi="Times New Roman"/>
          <w:color w:val="000000"/>
          <w:sz w:val="20"/>
        </w:rPr>
        <w:t xml:space="preserve">. Notwithstanding the foregoing, under no circumstances shall the deductions under this </w:t>
      </w:r>
      <w:r>
        <w:rPr>
          <w:rFonts w:ascii="Times New Roman" w:hAnsi="Times New Roman"/>
          <w:color w:val="000000"/>
          <w:sz w:val="20"/>
          <w:u w:val="single"/>
        </w:rPr>
        <w:t>Section 5.7(a)</w:t>
      </w:r>
      <w:r>
        <w:rPr>
          <w:rFonts w:ascii="Times New Roman" w:hAnsi="Times New Roman"/>
          <w:color w:val="000000"/>
          <w:sz w:val="20"/>
        </w:rPr>
        <w:t xml:space="preserve"> result in the amount payable to Takeda being reduced by [***] compared with the amount otherwise payable for such Product as of such time.</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Generic Competition</w:t>
      </w:r>
      <w:r>
        <w:rPr>
          <w:rFonts w:ascii="Times New Roman" w:hAnsi="Times New Roman"/>
          <w:color w:val="000000"/>
          <w:sz w:val="20"/>
        </w:rPr>
        <w:t xml:space="preserve">. It with respect to a particular Product in a particular country in the Territory during a particular [***], the Generic Competition Percentage is [***], then the royalty rates set forth in </w:t>
      </w:r>
      <w:r>
        <w:rPr>
          <w:rFonts w:ascii="Times New Roman" w:hAnsi="Times New Roman"/>
          <w:color w:val="000000"/>
          <w:sz w:val="20"/>
          <w:u w:val="single"/>
        </w:rPr>
        <w:t>Section 5.6</w:t>
      </w:r>
      <w:r>
        <w:rPr>
          <w:rFonts w:ascii="Times New Roman" w:hAnsi="Times New Roman"/>
          <w:color w:val="000000"/>
          <w:sz w:val="20"/>
        </w:rPr>
        <w:t xml:space="preserve"> for Net Sales of such Product in such country during such [***] shall be reduced by [***].</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color w:val="000000"/>
          <w:sz w:val="20"/>
        </w:rPr>
        <w:t>Minimum Royalty</w:t>
      </w:r>
      <w:r>
        <w:rPr>
          <w:rFonts w:ascii="Times New Roman" w:hAnsi="Times New Roman"/>
          <w:color w:val="000000"/>
          <w:sz w:val="20"/>
        </w:rPr>
        <w:t xml:space="preserve">. Notwithstanding anything in this Agreement express or implied to the contrary, none of the reductions to Royalty Payments provided in </w:t>
      </w:r>
      <w:r>
        <w:rPr>
          <w:rFonts w:ascii="Times New Roman" w:hAnsi="Times New Roman"/>
          <w:color w:val="000000"/>
          <w:sz w:val="20"/>
          <w:u w:val="single"/>
        </w:rPr>
        <w:t>Section 5.7(a)</w:t>
      </w:r>
      <w:r>
        <w:rPr>
          <w:rFonts w:ascii="Times New Roman" w:hAnsi="Times New Roman"/>
          <w:color w:val="000000"/>
          <w:sz w:val="20"/>
        </w:rPr>
        <w:t xml:space="preserve"> and (b) above, will, in the aggregate, reduce the Royalty Payments payable with respect to Net Sales of any Product sold by Petra, its Affiliates and its Sublicensees in any country during the Term by more than [***] of the Royalty Payments otherwise owed to Takeda.</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5.8 Mode of Payment and Currency; Invoices</w:t>
      </w:r>
      <w:r>
        <w:rPr>
          <w:rFonts w:ascii="Times New Roman" w:hAnsi="Times New Roman"/>
          <w:color w:val="000000"/>
          <w:sz w:val="20"/>
        </w:rPr>
        <w:t>. All payments to Takeda hereunder shall be made by deposit of USD in the requisite amount to such bank account as Takeda may from time to time designate by written notice to Petra. With respect to amounts payable hereunder not denominated in USD, Petra shall convert applicable amounts in foreign currency into USD by using an exchange rate equal to [***]. Based on the resulting sales in USD, the then-applicable royalties shall be calculated. The Parties may vary the method of payment set forth herein at any time upon mutual written agreement, and any change shall be consistent with the local Law at the place of payment or remittance.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5.9 Reports and Records Retention</w:t>
      </w:r>
      <w:r>
        <w:rPr>
          <w:rFonts w:ascii="Times New Roman" w:hAnsi="Times New Roman"/>
          <w:color w:val="000000"/>
          <w:sz w:val="20"/>
        </w:rPr>
        <w:t>. Within [***], Petra shall deliver to Takeda, together with the applicable payment of the associated Royalty Payment, a written report (“</w:t>
      </w:r>
      <w:r>
        <w:rPr>
          <w:rFonts w:ascii="Times New Roman" w:hAnsi="Times New Roman"/>
          <w:b/>
          <w:color w:val="000000"/>
          <w:sz w:val="20"/>
        </w:rPr>
        <w:t>Royalty Report</w:t>
      </w:r>
      <w:r>
        <w:rPr>
          <w:rFonts w:ascii="Times New Roman" w:hAnsi="Times New Roman"/>
          <w:color w:val="000000"/>
          <w:sz w:val="20"/>
        </w:rPr>
        <w:t>”), on a Product-by-Product, country-by-country basis, summarizing the total amount of Net Sales during such Calendar Quarter, the exchange rates used in converting Net Sales to USD, and details on a country-by-country basis of any deductions or reductions and the calculation of the Royalty Payment. Each Royalty Report shall be deemed Confidential Information of Petra subject to the obligations of Article 7 of this Agreement. For at least [***], Petra shall keep complete and accurate records of such Net Sales in sufficient detail to confirm the accuracy of the calculations hereunder.</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5.10 Late Payments</w:t>
      </w:r>
      <w:r>
        <w:rPr>
          <w:rFonts w:ascii="Times New Roman" w:hAnsi="Times New Roman"/>
          <w:color w:val="000000"/>
          <w:sz w:val="20"/>
        </w:rPr>
        <w:t>. All payments under this Agreement which are not disputed in good faith by Petra shall earn interest from the date due until paid at a rate equal to the lesser of (a) the maximum rate permissible under Law and (b) one [***].</w:t>
      </w:r>
    </w:p>
    <w:p>
      <w:pPr>
        <w:pStyle w:val="TextBody"/>
        <w:pBdr/>
        <w:bidi w:val="0"/>
        <w:spacing w:before="0" w:after="240"/>
        <w:ind w:left="0" w:right="0" w:hanging="720"/>
        <w:jc w:val="left"/>
        <w:rPr>
          <w:rFonts w:ascii="Times New Roman" w:hAnsi="Times New Roman"/>
          <w:b/>
          <w:color w:val="000000"/>
          <w:sz w:val="20"/>
        </w:rPr>
      </w:pPr>
      <w:r>
        <w:rPr>
          <w:rFonts w:ascii="Times New Roman" w:hAnsi="Times New Roman"/>
          <w:b/>
          <w:color w:val="000000"/>
          <w:sz w:val="20"/>
        </w:rPr>
        <w:t>5.11 Audits.</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Audits Generally</w:t>
      </w:r>
      <w:r>
        <w:rPr>
          <w:rFonts w:ascii="Times New Roman" w:hAnsi="Times New Roman"/>
          <w:color w:val="000000"/>
          <w:sz w:val="20"/>
        </w:rPr>
        <w:t>. During the Term and for [***], and not more than [***] in each Calendar Year, Petra shall permit an independent certified public accounting firm of nationally recognized standing selected by Takeda to have access to and to review, during normal business hours upon reasonable prior written notice, the applicable records of Petra to verify the accuracy of the Royalty Reports and payments under this Article 5. Such review may cover the records for sales made in any Calendar Year ending not more than [***] prior to the date of such request. The accounting firm shall disclose to Takeda and Petra only whether the Royalty Reports are correct or incorrect and the specific details concerning any discrepancies.</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Audit-Based Reconciliation</w:t>
      </w:r>
      <w:r>
        <w:rPr>
          <w:rFonts w:ascii="Times New Roman" w:hAnsi="Times New Roman"/>
          <w:color w:val="000000"/>
          <w:sz w:val="20"/>
        </w:rPr>
        <w:t>. If such accounting firm concludes that additional amounts were owed during such period, Petra shall pay the additional undisputed amount [***], within [***]. If such accounting firm concludes that an overpayment was made, such overpayment shall be fully creditable against amounts payable in subsequent payment periods. If Petra disagrees with such calculation, it may, [***], retain its own independent certified public accounting firm of recognized standing and reasonably acceptable to Takeda, to conduct a review, and if such firm concurs with the other accounting firm, Petra shall make the required payment within [***]. Takeda shall pay for the cost of its auditor, unless Petra has underpaid Takeda by [***] or more for the audited period, in which case Petra shall reimburse Takeda for all out-of-pocket costs and expenses associated with the audit.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rPr>
        <w:t>Audit Confidentiality</w:t>
      </w:r>
      <w:r>
        <w:rPr>
          <w:rFonts w:ascii="Times New Roman" w:hAnsi="Times New Roman"/>
          <w:color w:val="000000"/>
          <w:sz w:val="20"/>
        </w:rPr>
        <w:t xml:space="preserve">. Each Party shall treat all information that it receives under this </w:t>
      </w:r>
      <w:r>
        <w:rPr>
          <w:rFonts w:ascii="Times New Roman" w:hAnsi="Times New Roman"/>
          <w:color w:val="000000"/>
          <w:sz w:val="20"/>
          <w:u w:val="single"/>
        </w:rPr>
        <w:t>Section 5.11</w:t>
      </w:r>
      <w:r>
        <w:rPr>
          <w:rFonts w:ascii="Times New Roman" w:hAnsi="Times New Roman"/>
          <w:color w:val="000000"/>
          <w:sz w:val="20"/>
        </w:rPr>
        <w:t xml:space="preserve"> in accordance with the confidentiality provisions of Article 7 of this Agreement, and shall cause its accounting firm to enter into an acceptable confidentiality agreement with the other Party obligating such firm to retain all such financial information in confidence pursuant to such confidentiality agreement, except to the extent necessary for Takeda to enforce its rights under this Agreement.</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b/>
          <w:color w:val="000000"/>
          <w:sz w:val="20"/>
        </w:rPr>
      </w:pPr>
      <w:r>
        <w:rPr>
          <w:rFonts w:ascii="Times New Roman" w:hAnsi="Times New Roman"/>
          <w:b/>
          <w:color w:val="000000"/>
          <w:sz w:val="20"/>
        </w:rPr>
        <w:t>5.12 Taxes.</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Withholding Tax</w:t>
      </w:r>
      <w:r>
        <w:rPr>
          <w:rFonts w:ascii="Times New Roman" w:hAnsi="Times New Roman"/>
          <w:color w:val="000000"/>
          <w:sz w:val="20"/>
        </w:rPr>
        <w:t>. The amounts payable pursuant to this Agreement (“</w:t>
      </w:r>
      <w:r>
        <w:rPr>
          <w:rFonts w:ascii="Times New Roman" w:hAnsi="Times New Roman"/>
          <w:b/>
          <w:color w:val="000000"/>
          <w:sz w:val="20"/>
        </w:rPr>
        <w:t>Payments</w:t>
      </w:r>
      <w:r>
        <w:rPr>
          <w:rFonts w:ascii="Times New Roman" w:hAnsi="Times New Roman"/>
          <w:color w:val="000000"/>
          <w:sz w:val="20"/>
        </w:rPr>
        <w:t>”) shall not be reduced on account of any Taxes unless required by applicable Law. Petra shall deduct and withhold from the Payments any Taxes that it is required by applicable Law to deduct or withhold. Notwithstanding the foregoing, if Takeda is entitled under any applicable tax treaty to a reduction of rate of, or the elimination of, or recovery of, applicable withholding tax, it may deliver to Petra or the appropriate governmental authority the prescribed forms necessary to reduce the applicable rate of withholding or to relieve Petra of its obligation to withhold tax. In such case, Petra shall apply the reduced rate of withholding, or not withhold, as the case may be, provided that Petra is in receipt of evidence, in a form reasonably satisfactory to Petra, for example Takeda’s delivery of all applicable documentation at least [***]. If, in accordance with the foregoing, Petra withholds any amount, it shall pay to Takeda the balance when due, make timely payment to the proper taxing authority of the withheld amount, and send Takeda proof of such payment within [***].</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Value Added Tax</w:t>
      </w:r>
      <w:r>
        <w:rPr>
          <w:rFonts w:ascii="Times New Roman" w:hAnsi="Times New Roman"/>
          <w:color w:val="000000"/>
          <w:sz w:val="20"/>
        </w:rPr>
        <w:t>. It is understood and agreed between the Parties that VAT and any similar Tax imposed upon payments by Petra to Takeda shall be the responsibility of Takeda. Takeda shall file (with Petra reasonable cooperation) all required Tax returns, ensure all VAT and similar Taxes are paid, and provide evidence of such to Petra on a timely basis following each such payment.</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6</w:t>
      </w:r>
      <w:r>
        <w:rPr>
          <w:rFonts w:ascii="Times New Roman" w:hAnsi="Times New Roman"/>
          <w:color w:val="000000"/>
          <w:sz w:val="20"/>
        </w:rPr>
        <w:br/>
      </w:r>
      <w:r>
        <w:rPr>
          <w:rFonts w:ascii="Times New Roman" w:hAnsi="Times New Roman"/>
          <w:b/>
          <w:color w:val="000000"/>
          <w:sz w:val="20"/>
        </w:rPr>
        <w:t>INVENTIONS AND PATENTS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6.1 Drug Price Competition and Patent Restoration Act</w:t>
      </w:r>
      <w:r>
        <w:rPr>
          <w:rFonts w:ascii="Times New Roman" w:hAnsi="Times New Roman"/>
          <w:color w:val="000000"/>
          <w:sz w:val="20"/>
        </w:rPr>
        <w:t>. Each Party shall promptly give written notice to the other Party of any certification of which it becomes aware filed pursuant to 21 U.S.C. Section 355(b)(2)(A) (or any amendment or successor statute thereto) claiming that any Takeda Patents covering any Licensed Compounds or any Product, or the manufacture or use of any of the foregoing, are invalid or unenforceable, or that infringement will not arise from the manufacture, use or sale of a Product by a Third Party.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6.2 Listing of Patents</w:t>
      </w:r>
      <w:r>
        <w:rPr>
          <w:rFonts w:ascii="Times New Roman" w:hAnsi="Times New Roman"/>
          <w:color w:val="000000"/>
          <w:sz w:val="20"/>
        </w:rPr>
        <w:t>. Petra shall have the sole right to determine which of the Takeda Patents, if any, shall be listed for inclusion in the Approved Drug Products with Therapeutic Equivalence Evaluations pursuant to 21 U.S.C. Section 355, or any successor Law in the United States, together with any comparable Laws in any other country in the Territory.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6.3</w:t>
      </w:r>
      <w:r>
        <w:rPr>
          <w:rFonts w:ascii="Times New Roman" w:hAnsi="Times New Roman"/>
          <w:color w:val="000000"/>
          <w:sz w:val="20"/>
        </w:rPr>
        <w:t xml:space="preserve"> </w:t>
      </w:r>
      <w:r>
        <w:rPr>
          <w:rFonts w:ascii="Times New Roman" w:hAnsi="Times New Roman"/>
          <w:b/>
          <w:color w:val="000000"/>
          <w:sz w:val="20"/>
        </w:rPr>
        <w:t>Patent Prosecution and Maintenance.</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Takeda Patents</w:t>
      </w:r>
      <w:r>
        <w:rPr>
          <w:rFonts w:ascii="Times New Roman" w:hAnsi="Times New Roman"/>
          <w:color w:val="000000"/>
          <w:sz w:val="20"/>
        </w:rPr>
        <w:t xml:space="preserve">. Petra shall have the first right, but not the obligation (subject to </w:t>
      </w:r>
      <w:r>
        <w:rPr>
          <w:rFonts w:ascii="Times New Roman" w:hAnsi="Times New Roman"/>
          <w:color w:val="000000"/>
          <w:sz w:val="20"/>
          <w:u w:val="single"/>
        </w:rPr>
        <w:t>Section 6.3(b)</w:t>
      </w:r>
      <w:r>
        <w:rPr>
          <w:rFonts w:ascii="Times New Roman" w:hAnsi="Times New Roman"/>
          <w:color w:val="000000"/>
          <w:sz w:val="20"/>
        </w:rPr>
        <w:t xml:space="preserve">), to file, prosecute and maintain Takeda Patents in Takeda’s name, on a worldwide basis. As between the Parties, [***]. Petra shall keep Takeda reasonably informed of the status of the filing and prosecution of Takeda Patents or related proceedings including any material communications with any patent office or patent authority having jurisdiction over a patent or patent application in connection with pre- and post-grant proceedings (e.g., interferences, oppositions, reexaminations, reissues, revocations or nullifications) in a timely manner. Promptly after the Effective Date, Takeda shall deliver to Petra all prosecution and maintenance files associated with the Takeda Patents, in accordance with </w:t>
      </w:r>
      <w:r>
        <w:rPr>
          <w:rFonts w:ascii="Times New Roman" w:hAnsi="Times New Roman"/>
          <w:color w:val="000000"/>
          <w:sz w:val="20"/>
          <w:u w:val="single"/>
        </w:rPr>
        <w:t>Section 2.6</w:t>
      </w:r>
      <w:r>
        <w:rPr>
          <w:rFonts w:ascii="Times New Roman" w:hAnsi="Times New Roman"/>
          <w:color w:val="000000"/>
          <w:sz w:val="20"/>
        </w:rPr>
        <w:t>. Petra may request that Takeda make its employees, agents and service providers available to Petra to help enable Petra to continue prosecution or maintenance of any such Takeda Patents in such country,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Election Not to File and Prosecute Takeda Patents</w:t>
      </w:r>
      <w:r>
        <w:rPr>
          <w:rFonts w:ascii="Times New Roman" w:hAnsi="Times New Roman"/>
          <w:color w:val="000000"/>
          <w:sz w:val="20"/>
        </w:rPr>
        <w:t>. If Petra elects not to continue to prosecute or maintain a Takeda Patent in Takeda’s name in any country in the Territory, then it shall notify Takeda in writing at least [***], as the case may be, or [***], as the case may be. In such case, Takeda shall have the right to support the continued prosecution or maintenance of such Takeda Patent in that country. If Takeda elects to continue prosecution or maintenance of any such Takeda Patent, then Petra shall promptly deliver to Takeda all prosecution files associated with such Takeda Patent and use reasonable efforts to make its employees, agents and consultants reasonably available to Takeda, at no cost to Takeda, to the extent reasonably necessary to enable Takeda to continue prosecution or maintenance of any such Takeda Patent.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rPr>
        <w:t>Patent Term Extension</w:t>
      </w:r>
      <w:r>
        <w:rPr>
          <w:rFonts w:ascii="Times New Roman" w:hAnsi="Times New Roman"/>
          <w:color w:val="000000"/>
          <w:sz w:val="20"/>
        </w:rPr>
        <w:t>. Petra shall be responsible, in Takeda’s name, on a worldwide basis, for making decisions regarding and obtaining patent term extensions wherever available for Takeda Patents. In the event that any election with respect to obtaining patent term extensions is to be made, Petra shall have the right to make such elections. Petra shall keep Takeda informed of the status of any efforts regarding patent term extensions in a timely manner and shall provide Takeda with any material communications related thereto.</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color w:val="000000"/>
          <w:sz w:val="20"/>
        </w:rPr>
        <w:t>Petra Patents</w:t>
      </w:r>
      <w:r>
        <w:rPr>
          <w:rFonts w:ascii="Times New Roman" w:hAnsi="Times New Roman"/>
          <w:color w:val="000000"/>
          <w:sz w:val="20"/>
        </w:rPr>
        <w:t>. Petra and its Sublicensees shall own any Know-How developed solely by them or a Third Party on behalf of them and shall have the right, but not the obligation, to file, prosecute and maintain Patent Rights covering or claiming any such Know-How (collectively, “</w:t>
      </w:r>
      <w:r>
        <w:rPr>
          <w:rFonts w:ascii="Times New Roman" w:hAnsi="Times New Roman"/>
          <w:b/>
          <w:color w:val="000000"/>
          <w:sz w:val="20"/>
        </w:rPr>
        <w:t>Petra Patents</w:t>
      </w:r>
      <w:r>
        <w:rPr>
          <w:rFonts w:ascii="Times New Roman" w:hAnsi="Times New Roman"/>
          <w:color w:val="000000"/>
          <w:sz w:val="20"/>
        </w:rPr>
        <w:t>”). [***].</w:t>
      </w:r>
    </w:p>
    <w:p>
      <w:pPr>
        <w:pStyle w:val="TextBody"/>
        <w:pBdr/>
        <w:bidi w:val="0"/>
        <w:spacing w:before="0" w:after="240"/>
        <w:ind w:left="0" w:right="0" w:hanging="720"/>
        <w:jc w:val="left"/>
        <w:rPr>
          <w:rFonts w:ascii="Times New Roman" w:hAnsi="Times New Roman"/>
          <w:b/>
          <w:color w:val="000000"/>
          <w:sz w:val="20"/>
        </w:rPr>
      </w:pPr>
      <w:r>
        <w:rPr>
          <w:rFonts w:ascii="Times New Roman" w:hAnsi="Times New Roman"/>
          <w:b/>
          <w:color w:val="000000"/>
          <w:sz w:val="20"/>
        </w:rPr>
        <w:t>6.4 Enforcement of Patents.</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Notice</w:t>
      </w:r>
      <w:r>
        <w:rPr>
          <w:rFonts w:ascii="Times New Roman" w:hAnsi="Times New Roman"/>
          <w:color w:val="000000"/>
          <w:sz w:val="20"/>
        </w:rPr>
        <w:t>. If either becomes aware of any infringement or ownership claim or threatened infringement claim with respect to the Takeda Patents, or if a Third Party claims that any Takeda Patent is invalid or unenforceable anywhere in the Territory (any such activity, a “</w:t>
      </w:r>
      <w:r>
        <w:rPr>
          <w:rFonts w:ascii="Times New Roman" w:hAnsi="Times New Roman"/>
          <w:b/>
          <w:color w:val="000000"/>
          <w:sz w:val="20"/>
        </w:rPr>
        <w:t>Third Party Infringement</w:t>
      </w:r>
      <w:r>
        <w:rPr>
          <w:rFonts w:ascii="Times New Roman" w:hAnsi="Times New Roman"/>
          <w:color w:val="000000"/>
          <w:sz w:val="20"/>
        </w:rPr>
        <w:t>”), the Party possessing such knowledge or belief shall promptly notify the other Party and provide it with details of such Third Party Infringement that are known by such Party.</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Right to Bring an Action</w:t>
      </w:r>
      <w:r>
        <w:rPr>
          <w:rFonts w:ascii="Times New Roman" w:hAnsi="Times New Roman"/>
          <w:color w:val="000000"/>
          <w:sz w:val="20"/>
        </w:rPr>
        <w:t>. Petra shall have the exclusive right to attempt to resolve any Third Party Infringement, including by filing an infringement suit, defending against such claim or taking other similar action (each, an “</w:t>
      </w:r>
      <w:r>
        <w:rPr>
          <w:rFonts w:ascii="Times New Roman" w:hAnsi="Times New Roman"/>
          <w:b/>
          <w:color w:val="000000"/>
          <w:sz w:val="20"/>
        </w:rPr>
        <w:t>Action</w:t>
      </w:r>
      <w:r>
        <w:rPr>
          <w:rFonts w:ascii="Times New Roman" w:hAnsi="Times New Roman"/>
          <w:color w:val="000000"/>
          <w:sz w:val="20"/>
        </w:rPr>
        <w:t xml:space="preserve">”) and to compromise or settle any such infringement or claim. At Petra’s request, Takeda shall promptly provide Petra with all relevant documentation (as may be reasonably requested by Petra) evidencing that Petra is validly empowered by Takeda to take such an Action. Takeda shall be obligated to join Petra in such Action if it is necessary to demonstrate “standing to sue,” provided that Takeda will have the right, at its own expense, to retain its own counsel with respect to such Action. In addition, Takeda shall have the right to join any Action relating to the Takeda Patents, at its own expense. If Petra does not intend to prosecute or defend an Action, Petra shall promptly inform Takeda and Takeda shall have the right, but not the obligation, to control such Action. The Party controlling the Action (i) shall keep the other Party reasonably informed with respect to such Action, (ii) shall, in good faith, consult with, and give reasonable consideration to, any comments made by the other Party related to such Action, and (iii) shall provide the other Party with copies of all material documents (e.g.,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Action. The Parties shall cooperate in good faith to ensure that each Person that participates in, or receives any information about, any Action in accordance with this </w:t>
      </w:r>
      <w:r>
        <w:rPr>
          <w:rFonts w:ascii="Times New Roman" w:hAnsi="Times New Roman"/>
          <w:color w:val="000000"/>
          <w:sz w:val="20"/>
          <w:u w:val="single"/>
        </w:rPr>
        <w:t>Section 6.4(b)</w:t>
      </w:r>
      <w:r>
        <w:rPr>
          <w:rFonts w:ascii="Times New Roman" w:hAnsi="Times New Roman"/>
          <w:color w:val="000000"/>
          <w:sz w:val="20"/>
        </w:rPr>
        <w:t xml:space="preserve"> shall use reasonable efforts to protect all applicable confidential information and preserve all applicable attorney-client privilege and work product protections.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rPr>
        <w:t>Costs of an Action</w:t>
      </w:r>
      <w:r>
        <w:rPr>
          <w:rFonts w:ascii="Times New Roman" w:hAnsi="Times New Roman"/>
          <w:color w:val="000000"/>
          <w:sz w:val="20"/>
        </w:rPr>
        <w:t>. Without limiting the respective indemnity obligations of the Parties set forth in Article 9, and except for [***], [***] shall pay [***].</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color w:val="000000"/>
          <w:sz w:val="20"/>
        </w:rPr>
        <w:t>Settlement</w:t>
      </w:r>
      <w:r>
        <w:rPr>
          <w:rFonts w:ascii="Times New Roman" w:hAnsi="Times New Roman"/>
          <w:color w:val="000000"/>
          <w:sz w:val="20"/>
        </w:rPr>
        <w:t xml:space="preserve">. Neither Party shall settle or otherwise compromise any Action by admitting that any Takeda Patent is invalid or unenforceable without the other Party’s prior written consent, and neither Party shall settle or otherwise compromise an Action in a way that adversely affects or would be reasonably expected to materially adversely affect the validity or enforceability of the Takeda Patents or the rights or benefits of the other Party hereunder, without the other Party’s prior written consent. The foregoing shall not limit Petra’s rights under </w:t>
      </w:r>
      <w:r>
        <w:rPr>
          <w:rFonts w:ascii="Times New Roman" w:hAnsi="Times New Roman"/>
          <w:color w:val="000000"/>
          <w:sz w:val="20"/>
          <w:u w:val="single"/>
        </w:rPr>
        <w:t>Section 6.4(b)</w:t>
      </w:r>
      <w:r>
        <w:rPr>
          <w:rFonts w:ascii="Times New Roman" w:hAnsi="Times New Roman"/>
          <w:color w:val="000000"/>
          <w:sz w:val="20"/>
        </w:rPr>
        <w: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b/>
          <w:color w:val="000000"/>
          <w:sz w:val="20"/>
        </w:rPr>
        <w:t>Distribution of Amounts Recovered</w:t>
      </w:r>
      <w:r>
        <w:rPr>
          <w:rFonts w:ascii="Times New Roman" w:hAnsi="Times New Roman"/>
          <w:color w:val="000000"/>
          <w:sz w:val="20"/>
        </w:rPr>
        <w:t xml:space="preserve">. Any amounts recovered by the Party taking an Action pursuant to this </w:t>
      </w:r>
      <w:r>
        <w:rPr>
          <w:rFonts w:ascii="Times New Roman" w:hAnsi="Times New Roman"/>
          <w:color w:val="000000"/>
          <w:sz w:val="20"/>
          <w:u w:val="single"/>
        </w:rPr>
        <w:t>Section 6.4</w:t>
      </w:r>
      <w:r>
        <w:rPr>
          <w:rFonts w:ascii="Times New Roman" w:hAnsi="Times New Roman"/>
          <w:color w:val="000000"/>
          <w:sz w:val="20"/>
        </w:rPr>
        <w:t>, whether by settlement or judgment, shall be allocated in the following order: [***].</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(f)</w:t>
      </w:r>
      <w:r>
        <w:rPr>
          <w:rFonts w:ascii="Times New Roman" w:hAnsi="Times New Roman"/>
          <w:color w:val="000000"/>
          <w:sz w:val="20"/>
        </w:rPr>
        <w:t xml:space="preserve"> </w:t>
      </w:r>
      <w:r>
        <w:rPr>
          <w:rFonts w:ascii="Times New Roman" w:hAnsi="Times New Roman"/>
          <w:b/>
          <w:color w:val="000000"/>
          <w:sz w:val="20"/>
        </w:rPr>
        <w:t>Petra Patents</w:t>
      </w:r>
      <w:r>
        <w:rPr>
          <w:rFonts w:ascii="Times New Roman" w:hAnsi="Times New Roman"/>
          <w:color w:val="000000"/>
          <w:sz w:val="20"/>
        </w:rPr>
        <w:t>. Petra shall have the sole right and authority. but not the obligation, to enforce Petra Patents against any Third Party infringer.</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(g)</w:t>
      </w:r>
      <w:r>
        <w:rPr>
          <w:rFonts w:ascii="Times New Roman" w:hAnsi="Times New Roman"/>
          <w:color w:val="000000"/>
          <w:sz w:val="20"/>
        </w:rPr>
        <w:t xml:space="preserve"> </w:t>
      </w:r>
      <w:r>
        <w:rPr>
          <w:rFonts w:ascii="Times New Roman" w:hAnsi="Times New Roman"/>
          <w:b/>
          <w:color w:val="000000"/>
          <w:sz w:val="20"/>
        </w:rPr>
        <w:t>Delegation of Enforcement Rights</w:t>
      </w:r>
      <w:r>
        <w:rPr>
          <w:rFonts w:ascii="Times New Roman" w:hAnsi="Times New Roman"/>
          <w:color w:val="000000"/>
          <w:sz w:val="20"/>
        </w:rPr>
        <w:t xml:space="preserve">. Petra shall have the right, in its sole discretion, to delegate its rights under this </w:t>
      </w:r>
      <w:r>
        <w:rPr>
          <w:rFonts w:ascii="Times New Roman" w:hAnsi="Times New Roman"/>
          <w:color w:val="000000"/>
          <w:sz w:val="20"/>
          <w:u w:val="single"/>
        </w:rPr>
        <w:t>Section 6.4</w:t>
      </w:r>
      <w:r>
        <w:rPr>
          <w:rFonts w:ascii="Times New Roman" w:hAnsi="Times New Roman"/>
          <w:color w:val="000000"/>
          <w:sz w:val="20"/>
        </w:rPr>
        <w:t xml:space="preserve">, in whole or in part, to one or more Sublicensees, provided that any such Sublicensee shall comply with the terms of this </w:t>
      </w:r>
      <w:r>
        <w:rPr>
          <w:rFonts w:ascii="Times New Roman" w:hAnsi="Times New Roman"/>
          <w:color w:val="000000"/>
          <w:sz w:val="20"/>
          <w:u w:val="single"/>
        </w:rPr>
        <w:t>Section 6.4</w:t>
      </w:r>
      <w:r>
        <w:rPr>
          <w:rFonts w:ascii="Times New Roman" w:hAnsi="Times New Roman"/>
          <w:color w:val="000000"/>
          <w:sz w:val="20"/>
        </w:rPr>
        <w: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6.5 Challenge</w:t>
      </w:r>
      <w:r>
        <w:rPr>
          <w:rFonts w:ascii="Times New Roman" w:hAnsi="Times New Roman"/>
          <w:color w:val="000000"/>
          <w:sz w:val="20"/>
        </w:rPr>
        <w:t>. If Petra, or any of Petra’s Sublicensees, directly, or indirectly, commences any interference or opposition proceeding, challenges the validity or enforceability of, or opposes any extension of or the grant of a supplementary protection certificate, in each case, with respect to any Takeda Patent in a given country (each such action, a “</w:t>
      </w:r>
      <w:r>
        <w:rPr>
          <w:rFonts w:ascii="Times New Roman" w:hAnsi="Times New Roman"/>
          <w:b/>
          <w:color w:val="000000"/>
          <w:sz w:val="20"/>
        </w:rPr>
        <w:t>Patent Challenge</w:t>
      </w:r>
      <w:r>
        <w:rPr>
          <w:rFonts w:ascii="Times New Roman" w:hAnsi="Times New Roman"/>
          <w:color w:val="000000"/>
          <w:sz w:val="20"/>
        </w:rPr>
        <w:t xml:space="preserve">”), Takeda shall have the right to terminate this Agreement in its entirety if Petra or its Sublicensee fails to withdraw such Patent Challenge within [***]; provided however that such right to terminate shall not apply to any controlling Affiliate of Petra that first becomes an Affiliate of Petra after the Effective Date where such Affiliate was undertaking activities in connection with a Patent Challenge prior to becoming such an Affiliate; </w:t>
      </w:r>
      <w:r>
        <w:rPr>
          <w:rFonts w:ascii="Times New Roman" w:hAnsi="Times New Roman"/>
          <w:i/>
          <w:color w:val="000000"/>
          <w:sz w:val="20"/>
        </w:rPr>
        <w:t>provided, however</w:t>
      </w:r>
      <w:r>
        <w:rPr>
          <w:rFonts w:ascii="Times New Roman" w:hAnsi="Times New Roman"/>
          <w:color w:val="000000"/>
          <w:sz w:val="20"/>
        </w:rPr>
        <w:t xml:space="preserve">, that Petra causes such Patent Challenge to terminate within [***]. For the avoidance of doubt, an action by Petra in accordance with </w:t>
      </w:r>
      <w:r>
        <w:rPr>
          <w:rFonts w:ascii="Times New Roman" w:hAnsi="Times New Roman"/>
          <w:color w:val="000000"/>
          <w:sz w:val="20"/>
          <w:u w:val="single"/>
        </w:rPr>
        <w:t>Section 6.3</w:t>
      </w:r>
      <w:r>
        <w:rPr>
          <w:rFonts w:ascii="Times New Roman" w:hAnsi="Times New Roman"/>
          <w:color w:val="000000"/>
          <w:sz w:val="20"/>
        </w:rPr>
        <w:t xml:space="preserve"> to amend claims within a pending patent application of the Takeda Patents or in defense of a Third Party Infringement shall not constitute a challenge under this </w:t>
      </w:r>
      <w:r>
        <w:rPr>
          <w:rFonts w:ascii="Times New Roman" w:hAnsi="Times New Roman"/>
          <w:color w:val="000000"/>
          <w:sz w:val="20"/>
          <w:u w:val="single"/>
        </w:rPr>
        <w:t>Section 6.5</w:t>
      </w:r>
      <w:r>
        <w:rPr>
          <w:rFonts w:ascii="Times New Roman" w:hAnsi="Times New Roman"/>
          <w:color w:val="000000"/>
          <w:sz w:val="20"/>
        </w:rPr>
        <w:t>.</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7</w:t>
      </w:r>
      <w:r>
        <w:rPr>
          <w:rFonts w:ascii="Times New Roman" w:hAnsi="Times New Roman"/>
          <w:color w:val="000000"/>
          <w:sz w:val="20"/>
        </w:rPr>
        <w:br/>
      </w:r>
      <w:r>
        <w:rPr>
          <w:rFonts w:ascii="Times New Roman" w:hAnsi="Times New Roman"/>
          <w:b/>
          <w:color w:val="000000"/>
          <w:sz w:val="20"/>
        </w:rPr>
        <w:t>CONFIDENTIALITY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7.1 Confidentiality Obligations</w:t>
      </w:r>
      <w:r>
        <w:rPr>
          <w:rFonts w:ascii="Times New Roman" w:hAnsi="Times New Roman"/>
          <w:color w:val="000000"/>
          <w:sz w:val="20"/>
        </w:rPr>
        <w:t>. Each Party (the “</w:t>
      </w:r>
      <w:r>
        <w:rPr>
          <w:rFonts w:ascii="Times New Roman" w:hAnsi="Times New Roman"/>
          <w:b/>
          <w:color w:val="000000"/>
          <w:sz w:val="20"/>
        </w:rPr>
        <w:t>Receiving Party</w:t>
      </w:r>
      <w:r>
        <w:rPr>
          <w:rFonts w:ascii="Times New Roman" w:hAnsi="Times New Roman"/>
          <w:color w:val="000000"/>
          <w:sz w:val="20"/>
        </w:rPr>
        <w:t>”) agrees that, for the Term and for [***] thereafter, such Party shall, and shall ensure that its Affiliates and its and its Affiliates’ employees, consultants, Sublicensees, contractors, advisors and agents (collectively, “</w:t>
      </w:r>
      <w:r>
        <w:rPr>
          <w:rFonts w:ascii="Times New Roman" w:hAnsi="Times New Roman"/>
          <w:b/>
          <w:color w:val="000000"/>
          <w:sz w:val="20"/>
        </w:rPr>
        <w:t>Receiving Party Representatives</w:t>
      </w:r>
      <w:r>
        <w:rPr>
          <w:rFonts w:ascii="Times New Roman" w:hAnsi="Times New Roman"/>
          <w:color w:val="000000"/>
          <w:sz w:val="20"/>
        </w:rPr>
        <w:t>”) shall, (a) hold in strict confidence all Confidential Information disclosed to it by the other Party (the “</w:t>
      </w:r>
      <w:r>
        <w:rPr>
          <w:rFonts w:ascii="Times New Roman" w:hAnsi="Times New Roman"/>
          <w:b/>
          <w:color w:val="000000"/>
          <w:sz w:val="20"/>
        </w:rPr>
        <w:t>Disclosing Party</w:t>
      </w:r>
      <w:r>
        <w:rPr>
          <w:rFonts w:ascii="Times New Roman" w:hAnsi="Times New Roman"/>
          <w:color w:val="000000"/>
          <w:sz w:val="20"/>
        </w:rPr>
        <w:t xml:space="preserve">”) pursuant to this Agreement and (b) not use such Confidential Information for any purpose except those permitted by this Agreement (it being understood that this </w:t>
      </w:r>
      <w:r>
        <w:rPr>
          <w:rFonts w:ascii="Times New Roman" w:hAnsi="Times New Roman"/>
          <w:color w:val="000000"/>
          <w:sz w:val="20"/>
          <w:u w:val="single"/>
        </w:rPr>
        <w:t>Section 7.1</w:t>
      </w:r>
      <w:r>
        <w:rPr>
          <w:rFonts w:ascii="Times New Roman" w:hAnsi="Times New Roman"/>
          <w:color w:val="000000"/>
          <w:sz w:val="20"/>
        </w:rPr>
        <w:t xml:space="preserve"> shall not create or imply any rights or licenses not expressly granted under this Agreement), unless such information:</w:t>
      </w:r>
    </w:p>
    <w:p>
      <w:pPr>
        <w:pStyle w:val="TextBody"/>
        <w:pBdr/>
        <w:bidi w:val="0"/>
        <w:spacing w:before="0" w:after="240"/>
        <w:ind w:left="720" w:right="0" w:hanging="72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is approved in writing by the Disclosing Party for release or use by the Receiving Party without restriction, but only from the time such Confidential Information is approved for release and thereafter;</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720" w:right="0" w:hanging="72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is part of the public domain at the time of disclosure to the Receiving Party or becomes part of the public domain through no wrongful act or intentional failure to act of the Receiving Party or its Affiliates, but only from the time such Confidential Information becomes available to the public or otherwise part of the public domain and thereafter;</w:t>
      </w:r>
    </w:p>
    <w:p>
      <w:pPr>
        <w:pStyle w:val="TextBody"/>
        <w:pBdr/>
        <w:bidi w:val="0"/>
        <w:spacing w:before="0" w:after="240"/>
        <w:ind w:left="720" w:right="0" w:hanging="72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is in the Receiving Party’s possession without any confidentiality obligation or use restriction at the time of disclosure by the Disclosing Party, as the Receiving Party can, by competent proof demonstrate, other than as a result of any prior confidential disclosure by the Disclosing Party;</w:t>
      </w:r>
    </w:p>
    <w:p>
      <w:pPr>
        <w:pStyle w:val="TextBody"/>
        <w:pBdr/>
        <w:bidi w:val="0"/>
        <w:spacing w:before="0" w:after="240"/>
        <w:ind w:left="720" w:right="0" w:hanging="72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was disclosed to the Receiving Party by a Third Party having no duty of confidentiality to the Disclosing Party with respect to such Confidential information and having the legal right to disclose such Confidential Information, but only from the time such Confidential Information was so rightfully disclosed and thereafter; or</w:t>
      </w:r>
    </w:p>
    <w:p>
      <w:pPr>
        <w:pStyle w:val="TextBody"/>
        <w:pBdr/>
        <w:bidi w:val="0"/>
        <w:spacing w:before="0" w:after="240"/>
        <w:ind w:left="720" w:right="0" w:hanging="720"/>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is independently developed by the Receiving Party or its Affiliates, as the Receiving Party can, by competent proof, demonstrate, by persons in its employ or consultants who have had, directly or indirectly, no contact with or exposure to Confidential Information received hereunder, but only from the time such Confidential Information was independently developed and thereafter.</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The Receiving Party shall not disclose any of the Confidential Information, except to Representatives of the Receiving Party who need to know the Confidential Information for the purpose of performing the Receiving Party’s obligations, or to assist Receiving Party in exercising its rights, under this Agreement and who are bound by written obligations of non-use and non-disclosure at least as protective of the Disclosing Party those set forth herein. The Receiving Party shall be responsible for any disclosure or use of the Confidential Information by such Receiving Party Representatives. The Receiving Party shall protect Confidential Information using not less than the same care with which it treats its own confidential information, but at all times shall use at least reasonable care. Notwithstanding the foregoing, unless and until this Agreement is terminated, the Takeda Know-How shall be deemed to be the Confidential Information of both Takeda and Petra and each Party shall be the Receiving Party with respect thereto and subject to the obligations set forth under this Article 7, it being understood that (a) Petra shall have all rights to use such Takeda Know-How consistent with its rights and licenses under this Agreement and (b) Takeda shall have all rights to use such Takeda Know-How consistent with its rights and licenses under </w:t>
      </w:r>
      <w:r>
        <w:rPr>
          <w:rFonts w:ascii="Times New Roman" w:hAnsi="Times New Roman"/>
          <w:color w:val="000000"/>
          <w:sz w:val="20"/>
          <w:u w:val="single"/>
        </w:rPr>
        <w:t>Section 2.2</w:t>
      </w:r>
      <w:r>
        <w:rPr>
          <w:rFonts w:ascii="Times New Roman" w:hAnsi="Times New Roman"/>
          <w:color w:val="000000"/>
          <w:sz w:val="20"/>
        </w:rPr>
        <w:t xml:space="preserve"> above.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7.2 Authorized Disclosure and Use</w:t>
      </w:r>
      <w:r>
        <w:rPr>
          <w:rFonts w:ascii="Times New Roman" w:hAnsi="Times New Roman"/>
          <w:color w:val="000000"/>
          <w:sz w:val="20"/>
        </w:rPr>
        <w:t xml:space="preserve">. Notwithstanding </w:t>
      </w:r>
      <w:r>
        <w:rPr>
          <w:rFonts w:ascii="Times New Roman" w:hAnsi="Times New Roman"/>
          <w:color w:val="000000"/>
          <w:sz w:val="20"/>
          <w:u w:val="single"/>
        </w:rPr>
        <w:t>Section 7.1</w:t>
      </w:r>
      <w:r>
        <w:rPr>
          <w:rFonts w:ascii="Times New Roman" w:hAnsi="Times New Roman"/>
          <w:color w:val="000000"/>
          <w:sz w:val="20"/>
        </w:rPr>
        <w:t>, a Receiving Party may use or disclose the Confidential Information of the Disclosing Party for the purpose of performing its obligations, or exercising its rights, under this Agreement, including for purposes of:</w:t>
      </w:r>
    </w:p>
    <w:p>
      <w:pPr>
        <w:pStyle w:val="TextBody"/>
        <w:bidi w:val="0"/>
        <w:spacing w:before="0" w:after="240"/>
        <w:ind w:left="144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filing or prosecuting patent applications or enforcing patents, pursuant to the terms of </w:t>
      </w:r>
      <w:r>
        <w:rPr>
          <w:rFonts w:ascii="Times New Roman" w:hAnsi="Times New Roman"/>
          <w:color w:val="000000"/>
          <w:sz w:val="20"/>
          <w:u w:val="single"/>
        </w:rPr>
        <w:t>Section 6.3</w:t>
      </w:r>
      <w:r>
        <w:rPr>
          <w:rFonts w:ascii="Times New Roman" w:hAnsi="Times New Roman"/>
          <w:color w:val="000000"/>
          <w:sz w:val="20"/>
        </w:rPr>
        <w:t xml:space="preserve"> and </w:t>
      </w:r>
      <w:r>
        <w:rPr>
          <w:rFonts w:ascii="Times New Roman" w:hAnsi="Times New Roman"/>
          <w:color w:val="000000"/>
          <w:sz w:val="20"/>
          <w:u w:val="single"/>
        </w:rPr>
        <w:t>Section 6.4</w:t>
      </w:r>
      <w:r>
        <w:rPr>
          <w:rFonts w:ascii="Times New Roman" w:hAnsi="Times New Roman"/>
          <w:color w:val="000000"/>
          <w:sz w:val="20"/>
        </w:rPr>
        <w:t>;</w:t>
      </w:r>
    </w:p>
    <w:p>
      <w:pPr>
        <w:pStyle w:val="TextBody"/>
        <w:bidi w:val="0"/>
        <w:spacing w:before="0" w:after="240"/>
        <w:ind w:left="144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prosecuting or defending litigation, including responding to a subpoena in a Third Party litigation;</w:t>
      </w:r>
    </w:p>
    <w:p>
      <w:pPr>
        <w:pStyle w:val="TextBody"/>
        <w:bidi w:val="0"/>
        <w:spacing w:before="0" w:after="240"/>
        <w:ind w:left="1440" w:right="0" w:hanging="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conducting pre-clinical studies or clinical trials pursuant to this Agreement; </w:t>
      </w:r>
    </w:p>
    <w:p>
      <w:pPr>
        <w:pStyle w:val="TextBody"/>
        <w:bidi w:val="0"/>
        <w:spacing w:before="0" w:after="240"/>
        <w:ind w:left="1440" w:right="0" w:hanging="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seeking or maintaining any regulatory filings or Regulatory Approval of any Product; or</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1440" w:right="0" w:hanging="0"/>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complying with Law, including securities Law and the rules of any securities exchange or market on which a Party’s securities are listed or traded.</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In addition to the foregoing, Petra may disclose Confidential Information of Takeda to Petra’s and its Affiliates’ Sublicensees (if such Sublicensee has been sublicensed by Petra in compliance with </w:t>
      </w:r>
      <w:r>
        <w:rPr>
          <w:rFonts w:ascii="Times New Roman" w:hAnsi="Times New Roman"/>
          <w:color w:val="000000"/>
          <w:sz w:val="20"/>
          <w:u w:val="single"/>
        </w:rPr>
        <w:t>Section 2.4</w:t>
      </w:r>
      <w:r>
        <w:rPr>
          <w:rFonts w:ascii="Times New Roman" w:hAnsi="Times New Roman"/>
          <w:color w:val="000000"/>
          <w:sz w:val="20"/>
        </w:rPr>
        <w:t>), each of which, prior to disclosure, must be bound by written obligations of confidentiality and non-use at least as protective of Takeda’s rights as those set forth in this Article 7. Furthermore, the Receiving Party may disclose (a) the Disclosing Party’s Confidential Information to its Affiliates, employees, consultants, agents and (b) on a need-to-know basis, the terms and conditions of this Agreement to actual or potential acquirers, investors, partners, financing sources, and/or financial advisors, each of whom, pursuant to clauses (a) and (b) above, prior to disclosure must be bound by written obligations of confidentiality and non-use at least as protective of the Disclosing Party’s rights as those set forth in this Article 7; [***]. The Receiving Party shall be responsible for any disclosure or use of the Confidential Information by such Persons to whom it discloses Confidential Information pursuant to this paragraph.</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If either Party proposes to file with the SEC or the securities regulators of any state or other jurisdiction a registration statement or any other disclosure document that describes or refers to the terms and conditions of, or includes a copy of, this Agreement under the Securities Act of 1933, as amended, the Securities Exchange Act of 1934, as amended, or any other applicable securities law, such Party will notify the other Party of such intention and will provide such other Party with a copy of relevant portions of the proposed filing a reasonable time (but at least ten [***] (and any material revisions to such portions of the proposed filing a reasonable time (but at least [***]), including any exhibits thereto disclosing the terms or conditions of this Agreement, and will use reasonable and diligent efforts to seek confidential treatment of the terms and conditions of this Agreement that such other Party requests be kept confidential, and will only disclose such terms and conditions of this Agreement that it is advised by counsel are legally required to be disclosed. No such notice will be required under this </w:t>
      </w:r>
      <w:r>
        <w:rPr>
          <w:rFonts w:ascii="Times New Roman" w:hAnsi="Times New Roman"/>
          <w:color w:val="000000"/>
          <w:sz w:val="20"/>
          <w:u w:val="single"/>
        </w:rPr>
        <w:t>Section 7.2</w:t>
      </w:r>
      <w:r>
        <w:rPr>
          <w:rFonts w:ascii="Times New Roman" w:hAnsi="Times New Roman"/>
          <w:color w:val="000000"/>
          <w:sz w:val="20"/>
        </w:rPr>
        <w:t xml:space="preserve"> if the description of or reference to this Agreement contained in the proposed filing has been included in any previous filing made by the other Party hereunder or otherwise approved by the other Party.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7.3 Required Disclosure</w:t>
      </w:r>
      <w:r>
        <w:rPr>
          <w:rFonts w:ascii="Times New Roman" w:hAnsi="Times New Roman"/>
          <w:color w:val="000000"/>
          <w:sz w:val="20"/>
        </w:rPr>
        <w:t>. The receiving Party may disclose the Confidential Information to the extent required by Law or court order; provided, however, that the receiving Party promptly provides to the disclosing party prior written notice of such disclosure and provides reasonable assistance to the disclosing party in obtaining an order or other remedy protecting the Confidential Information from public disclosure.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7.4 Publications</w:t>
      </w:r>
      <w:r>
        <w:rPr>
          <w:rFonts w:ascii="Times New Roman" w:hAnsi="Times New Roman"/>
          <w:color w:val="000000"/>
          <w:sz w:val="20"/>
        </w:rPr>
        <w:t>. Takeda shall submit to Petra for Petra’s written approval (which approval may be granted or denied in Petra’s sole discretion) any publication or presentation (including in any seminars, symposia or otherwise) of information related directly to the Licensed Compounds or any Product for review and approval at least [***]; provided that Takeda shall have the right, without Petra’s written approval, to publish or otherwise publicly present the results of any non-clinical research relating to the Licensed Compounds conducted by Takeda prior to the Effective Date. Petra shall have the right to make such publications regarding Development or Commercialization of Licensed Compounds or Product as it chooses, in its sole discretion, without the approval of Takeda, provided such publication does not contain any Confidential Information of Takeda (other than the Takeda Know-How), if approval of Takeda is required pursuant to this Section, Takeda shall not unreasonably withhold or condition such approval, and shall provide such approval or rejection of the applicable publication within [***]. If Takeda rejects the applicable publication, then in connection with such rejection, Takeda shall specify what Confidential information of Takeda is included in such publication and where such Confidential Information is included.</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7.5 Public Disclosures</w:t>
      </w:r>
      <w:r>
        <w:rPr>
          <w:rFonts w:ascii="Times New Roman" w:hAnsi="Times New Roman"/>
          <w:color w:val="000000"/>
          <w:sz w:val="20"/>
        </w:rPr>
        <w:t xml:space="preserve">. Neither Party may issue a press release or other public statement, whether oral or written, disclosing the existence of this Agreement, the terms hereof, or any information relating hereto without the prior written consent of the other Party, except as otherwise provided for in this Article 7. Notwithstanding the foregoing, each Party may make any disclosures required of it to comply with any duty of disclosure it may have under relevant Laws. In the event of a disclosure required by Law, the Parties will coordinate with each other with respect to the timing, form and content of such required disclosure. Subject to the foregoing sentence, Petra shall have the right to make press releases or public announcements regarding the Development and/or Commercialization of any Licensed Compounds and Products, and in connection with which acknowledge (subject to </w:t>
      </w:r>
      <w:r>
        <w:rPr>
          <w:rFonts w:ascii="Times New Roman" w:hAnsi="Times New Roman"/>
          <w:color w:val="000000"/>
          <w:sz w:val="20"/>
          <w:u w:val="single"/>
        </w:rPr>
        <w:t>Section 12.5</w:t>
      </w:r>
      <w:r>
        <w:rPr>
          <w:rFonts w:ascii="Times New Roman" w:hAnsi="Times New Roman"/>
          <w:color w:val="000000"/>
          <w:sz w:val="20"/>
        </w:rPr>
        <w:t xml:space="preserve">) that the Licensed Compounds and/or Product(s) were licensed in from an unaffiliated entity (without naming Takeda), without the prior written consent of Takeda. In addition, if a public securities filing under </w:t>
      </w:r>
      <w:r>
        <w:rPr>
          <w:rFonts w:ascii="Times New Roman" w:hAnsi="Times New Roman"/>
          <w:color w:val="000000"/>
          <w:sz w:val="20"/>
          <w:u w:val="single"/>
        </w:rPr>
        <w:t>Section 7.2</w:t>
      </w:r>
      <w:r>
        <w:rPr>
          <w:rFonts w:ascii="Times New Roman" w:hAnsi="Times New Roman"/>
          <w:color w:val="000000"/>
          <w:sz w:val="20"/>
        </w:rPr>
        <w:t xml:space="preserve"> has been made, or a press release or other public statement has been issued or made, in which it was stated that a Licensed Compound and/or Product was licensed in from Takeda, then Petra shall have the right to restate such already publicized information contained in the public securities filing and/or press release or other public statement, without the prior written consent of Takeda.</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8</w:t>
      </w:r>
      <w:r>
        <w:rPr>
          <w:rFonts w:ascii="Times New Roman" w:hAnsi="Times New Roman"/>
          <w:color w:val="000000"/>
          <w:sz w:val="20"/>
        </w:rPr>
        <w:br/>
      </w:r>
      <w:r>
        <w:rPr>
          <w:rFonts w:ascii="Times New Roman" w:hAnsi="Times New Roman"/>
          <w:b/>
          <w:color w:val="000000"/>
          <w:sz w:val="20"/>
        </w:rPr>
        <w:t>REPRESENTATIONS AND WARRANTIES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8.1 Mutual Representations and Warranties</w:t>
      </w:r>
      <w:r>
        <w:rPr>
          <w:rFonts w:ascii="Times New Roman" w:hAnsi="Times New Roman"/>
          <w:color w:val="000000"/>
          <w:sz w:val="20"/>
        </w:rPr>
        <w:t>. Each Party represents and warrants that, as of the Effective Date:</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such Party is duly organized and validly existing under the Laws of the jurisdiction of its incorporation or organization;</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such Party has taken all action necessary to authorize the execution and delivery of this Agreement and the performance of its obligations under this Agreement;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the execution, delivery and performance of this Agreement by such Party does not conflict with, breach or create in any Third Party the right to accelerate, terminate or modify any agreement or instrument, including any policy, procedure or rule, to which such Party (or any officer or director of such Party) is a party or by which such Party (or such individual) is bound, and does not violate any Law of any Governmental Body having authority over such Party (or such individual); and</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such Party has all right, power and authority to enter into this Agreement and to perform its obligations under this Agreement.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8.2 Takeda Representations and Warranties</w:t>
      </w:r>
      <w:r>
        <w:rPr>
          <w:rFonts w:ascii="Times New Roman" w:hAnsi="Times New Roman"/>
          <w:color w:val="000000"/>
          <w:sz w:val="20"/>
        </w:rPr>
        <w:t>. Takeda represents and warrants that, as of the Effective Date:</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no consent by any Third Party or Governmental Body is required with respect to the execution and delivery of this Agreement by it or the consummation by it of the transactions contemplated hereby.</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no claims have been asserted against it, or, to its knowledge, threatened (without independent investigation or inquiry), by any Person (i) challenging the validity, enforceability, effectiveness, or ownership of any of the Takeda Patents listed on </w:t>
      </w:r>
      <w:r>
        <w:rPr>
          <w:rFonts w:ascii="Times New Roman" w:hAnsi="Times New Roman"/>
          <w:color w:val="000000"/>
          <w:sz w:val="20"/>
          <w:u w:val="single"/>
        </w:rPr>
        <w:t>Exhibit C</w:t>
      </w:r>
      <w:r>
        <w:rPr>
          <w:rFonts w:ascii="Times New Roman" w:hAnsi="Times New Roman"/>
          <w:color w:val="000000"/>
          <w:sz w:val="20"/>
        </w:rPr>
        <w:t>, or (ii) that the use, manufacture, Development, or Commercialization of any Licensed Compound, each in its form as of the Effective Date, infringes or will infringe on any Patent Rights or other intellectual property right of any Person;</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none of the Takeda Patents are the subject of any litigation procedure, discovery process, interference, reissue, reexamination, opposition, appeal proceedings or any other legal dispute;</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Takeda has sole and exclusive Control of the entire right, title and interest in and to the Takeda Technology, and the Takeda Technology is free and clear of any liens, charges, encumbrances or rights of others to possession or use in the Field in the Territory;</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neither it nor any of its Affiliates has employed or otherwise used in any capacity the services of any Person debarred under United States law, including under Section 21 U.S.C. Section 335a or any foreign equivalent thereof, with respect to any Development of any Licensed Compound; and</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(f)</w:t>
      </w:r>
      <w:r>
        <w:rPr>
          <w:rFonts w:ascii="Times New Roman" w:hAnsi="Times New Roman"/>
          <w:color w:val="000000"/>
          <w:sz w:val="20"/>
        </w:rPr>
        <w:t xml:space="preserve"> Takeda Controls all right, title and interest in and to the Regulatory Materials to be assigned to Petra hereunder, and to Takeda’s knowledge, Takeda and its Affiliates have generated, prepared, maintained, and retained all material Regulatory Materials in the Field that are required to be maintained or retained pursuant to and in accordance with GCP, GLP and other applicable Law, and all such information is true, complete and correct in all material respects and what it purports to be.</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(g)</w:t>
      </w:r>
      <w:r>
        <w:rPr>
          <w:rFonts w:ascii="Times New Roman" w:hAnsi="Times New Roman"/>
          <w:color w:val="000000"/>
          <w:sz w:val="20"/>
        </w:rPr>
        <w:t xml:space="preserve"> to Takeda’s knowledge, without independent inquiry, the patents and patent applications listed in Exhibit C are the sole patents and patent applications Controlled by Takeda or its Affiliates as of the Effective Date that claim the composition of matter of TAK-117 [***], [***], or [***].</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 xml:space="preserve">8.3 WAIVER OF ALL OTHER REPRESENTATIONS AND WARRANTIES. EXCEPT AS PROVIDED IN </w:t>
      </w:r>
      <w:r>
        <w:rPr>
          <w:rFonts w:ascii="Times New Roman" w:hAnsi="Times New Roman"/>
          <w:b/>
          <w:color w:val="000000"/>
          <w:sz w:val="20"/>
          <w:u w:val="single"/>
        </w:rPr>
        <w:t>SECTIONS 8.1</w:t>
      </w:r>
      <w:r>
        <w:rPr>
          <w:rFonts w:ascii="Times New Roman" w:hAnsi="Times New Roman"/>
          <w:color w:val="000000"/>
          <w:sz w:val="20"/>
        </w:rPr>
        <w:t xml:space="preserve"> </w:t>
      </w:r>
      <w:r>
        <w:rPr>
          <w:rFonts w:ascii="Times New Roman" w:hAnsi="Times New Roman"/>
          <w:b/>
          <w:color w:val="000000"/>
          <w:sz w:val="20"/>
        </w:rPr>
        <w:t xml:space="preserve">AND </w:t>
      </w:r>
      <w:r>
        <w:rPr>
          <w:rFonts w:ascii="Times New Roman" w:hAnsi="Times New Roman"/>
          <w:b/>
          <w:color w:val="000000"/>
          <w:sz w:val="20"/>
          <w:u w:val="single"/>
        </w:rPr>
        <w:t>8.2</w:t>
      </w:r>
      <w:r>
        <w:rPr>
          <w:rFonts w:ascii="Times New Roman" w:hAnsi="Times New Roman"/>
          <w:color w:val="000000"/>
          <w:sz w:val="20"/>
        </w:rPr>
        <w:t xml:space="preserve"> </w:t>
      </w:r>
      <w:r>
        <w:rPr>
          <w:rFonts w:ascii="Times New Roman" w:hAnsi="Times New Roman"/>
          <w:b/>
          <w:color w:val="000000"/>
          <w:sz w:val="20"/>
        </w:rPr>
        <w:t xml:space="preserve">OR ELSEWHERE IN THIS AGREEMENT, THE LICENSED COMPOUNDS AND THE TAKEDA TECHNOLOGY ARE PROVIDED AS-IS. EXCEPT AS PROVIDED IN </w:t>
      </w:r>
      <w:r>
        <w:rPr>
          <w:rFonts w:ascii="Times New Roman" w:hAnsi="Times New Roman"/>
          <w:b/>
          <w:color w:val="000000"/>
          <w:sz w:val="20"/>
          <w:u w:val="single"/>
        </w:rPr>
        <w:t>SECTIONS 8.1</w:t>
      </w:r>
      <w:r>
        <w:rPr>
          <w:rFonts w:ascii="Times New Roman" w:hAnsi="Times New Roman"/>
          <w:color w:val="000000"/>
          <w:sz w:val="20"/>
        </w:rPr>
        <w:t xml:space="preserve"> </w:t>
      </w:r>
      <w:r>
        <w:rPr>
          <w:rFonts w:ascii="Times New Roman" w:hAnsi="Times New Roman"/>
          <w:b/>
          <w:color w:val="000000"/>
          <w:sz w:val="20"/>
        </w:rPr>
        <w:t xml:space="preserve">AND </w:t>
      </w:r>
      <w:r>
        <w:rPr>
          <w:rFonts w:ascii="Times New Roman" w:hAnsi="Times New Roman"/>
          <w:b/>
          <w:color w:val="000000"/>
          <w:sz w:val="20"/>
          <w:u w:val="single"/>
        </w:rPr>
        <w:t>8.2</w:t>
      </w:r>
      <w:r>
        <w:rPr>
          <w:rFonts w:ascii="Times New Roman" w:hAnsi="Times New Roman"/>
          <w:b/>
          <w:color w:val="000000"/>
          <w:sz w:val="20"/>
        </w:rPr>
        <w:t xml:space="preserve">, NEITHER PARTY MAKES ANY REPRESENTATIONS OR WARRANTIES, EXPRESS OR IMPLIED, OF ANY KIND, IN PARTICULAR, EXCEPT AS PROVIDED IN </w:t>
      </w:r>
      <w:r>
        <w:rPr>
          <w:rFonts w:ascii="Times New Roman" w:hAnsi="Times New Roman"/>
          <w:b/>
          <w:color w:val="000000"/>
          <w:sz w:val="20"/>
          <w:u w:val="single"/>
        </w:rPr>
        <w:t>SECTIONS 8.1</w:t>
      </w:r>
      <w:r>
        <w:rPr>
          <w:rFonts w:ascii="Times New Roman" w:hAnsi="Times New Roman"/>
          <w:color w:val="000000"/>
          <w:sz w:val="20"/>
        </w:rPr>
        <w:t xml:space="preserve"> </w:t>
      </w:r>
      <w:r>
        <w:rPr>
          <w:rFonts w:ascii="Times New Roman" w:hAnsi="Times New Roman"/>
          <w:b/>
          <w:color w:val="000000"/>
          <w:sz w:val="20"/>
        </w:rPr>
        <w:t xml:space="preserve">AND </w:t>
      </w:r>
      <w:r>
        <w:rPr>
          <w:rFonts w:ascii="Times New Roman" w:hAnsi="Times New Roman"/>
          <w:b/>
          <w:color w:val="000000"/>
          <w:sz w:val="20"/>
          <w:u w:val="single"/>
        </w:rPr>
        <w:t>8.2</w:t>
      </w:r>
      <w:r>
        <w:rPr>
          <w:rFonts w:ascii="Times New Roman" w:hAnsi="Times New Roman"/>
          <w:b/>
          <w:color w:val="000000"/>
          <w:sz w:val="20"/>
        </w:rPr>
        <w:t>, TAKEDA DISCLAIMS ANY WARRANTY WITH RESPECT TO THE TAKEDA TECHNOLOGY, THE INVENTION(S) CLAIMED IN THE TAKEDA PATENTS OR WITH RESPECT TO THE TAKEDA PATENTS THEMSELVES, INCLUDING BUT NOT LIMITED TO, ANY REPRESENTATIONS OR WARRANTIES ABOUT (I) THE VALIDITY, SCOPE OR ENFORCEABILITY OF ANY OF THE TAKEDA PATENTS; (II) THE ACCURACY, SAFETY OR USEFULNESS FOR ANY PURPOSE OF ANY INFORMATION PROVIDED BY EITHER PARTY, WITH RESPECT TO THE INVENTIONS) CLAIMED IN THE TAKEDA PATENTS OR WITH RESPECT TO THE TAKEDA PATENTS THEMSELVES AND ANY PRODUCTS DEVELOPED FROM OR COVERED BY THEM; (III) WHETHER THE PRACTICE OF ANY CLAIM CONTAINED IN ANY OF THE TAKEDA PATENTS WILL OR MIGHT INFRINGE A PATENT OR OTHER INTELLECTUAL PROPERTY RIGHT OWNED OR LICENSED BY A THIRD PARTY; (IV) THE PATENTABILITY OF ANY INVENTION CLAIMED IN THE TAKEDA PATENTS; OR (V) THE ACCURACY, SAFETY, OR USEFULNESS FOR ANY PURPOSE OF THE INFORMATION CONTAINED IN THE TAKEDA PATENTS OR THE TAKEDA KNOW-HOW OR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 xml:space="preserve">PRODUCT OR PROCESS MADE OR CARRIED OUT IN ACCORDANCE WITH OR THROUGH THE USE OF THE TAKEDA PATENTS. IN ADDITION, EXCEPT AS PROVIDED IN </w:t>
      </w:r>
      <w:r>
        <w:rPr>
          <w:rFonts w:ascii="Times New Roman" w:hAnsi="Times New Roman"/>
          <w:b/>
          <w:color w:val="000000"/>
          <w:sz w:val="20"/>
          <w:u w:val="single"/>
        </w:rPr>
        <w:t>SECTIONS 8.1</w:t>
      </w:r>
      <w:r>
        <w:rPr>
          <w:rFonts w:ascii="Times New Roman" w:hAnsi="Times New Roman"/>
          <w:color w:val="000000"/>
          <w:sz w:val="20"/>
        </w:rPr>
        <w:t xml:space="preserve"> </w:t>
      </w:r>
      <w:r>
        <w:rPr>
          <w:rFonts w:ascii="Times New Roman" w:hAnsi="Times New Roman"/>
          <w:b/>
          <w:color w:val="000000"/>
          <w:sz w:val="20"/>
        </w:rPr>
        <w:t xml:space="preserve">AND </w:t>
      </w:r>
      <w:r>
        <w:rPr>
          <w:rFonts w:ascii="Times New Roman" w:hAnsi="Times New Roman"/>
          <w:b/>
          <w:color w:val="000000"/>
          <w:sz w:val="20"/>
          <w:u w:val="single"/>
        </w:rPr>
        <w:t>8.2</w:t>
      </w:r>
      <w:r>
        <w:rPr>
          <w:rFonts w:ascii="Times New Roman" w:hAnsi="Times New Roman"/>
          <w:b/>
          <w:color w:val="000000"/>
          <w:sz w:val="20"/>
        </w:rPr>
        <w:t>, TAKEDA SPECIFICALLY DISCLAIMS ANY IMPLIED WARRANTIES OF MERCHANTABILITY OR FITNESS FOR A PARTICULAR PURPOSE, NONINFRINGEMENT, AND THE ABSENCE OF LATENT OR OTHER DEFECTS, WHETHER OR NOT DISCOVERABLE.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9</w:t>
      </w:r>
      <w:r>
        <w:rPr>
          <w:rFonts w:ascii="Times New Roman" w:hAnsi="Times New Roman"/>
          <w:color w:val="000000"/>
          <w:sz w:val="20"/>
        </w:rPr>
        <w:br/>
      </w:r>
      <w:r>
        <w:rPr>
          <w:rFonts w:ascii="Times New Roman" w:hAnsi="Times New Roman"/>
          <w:b/>
          <w:color w:val="000000"/>
          <w:sz w:val="20"/>
        </w:rPr>
        <w:t>INDEMNIFICATION AND INSURANCE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9.1 Indemnification by Petra</w:t>
      </w:r>
      <w:r>
        <w:rPr>
          <w:rFonts w:ascii="Times New Roman" w:hAnsi="Times New Roman"/>
          <w:color w:val="000000"/>
          <w:sz w:val="20"/>
        </w:rPr>
        <w:t>. Petra shall indemnify, defend and hold Takeda and its Affiliates and each of their respective employees, officers, directors and agents (the “</w:t>
      </w:r>
      <w:r>
        <w:rPr>
          <w:rFonts w:ascii="Times New Roman" w:hAnsi="Times New Roman"/>
          <w:b/>
          <w:color w:val="000000"/>
          <w:sz w:val="20"/>
        </w:rPr>
        <w:t>Takeda Indemnitees</w:t>
      </w:r>
      <w:r>
        <w:rPr>
          <w:rFonts w:ascii="Times New Roman" w:hAnsi="Times New Roman"/>
          <w:color w:val="000000"/>
          <w:sz w:val="20"/>
        </w:rPr>
        <w:t xml:space="preserve">”) harmless from and against any and all liability, claims, damage, loss, cost or expense of any kind or nature (including reasonable attorneys’ fees) payable to a Third Party claimant based on, arising out of or otherwise relating to from any claims, suits, proceedings or causes of action brought by such Third Party to the extent arising from the activities of Petra, its subcontractors or Sublicensees under this Agreement (including product liability claims); provided, however, that Petra’s obligations pursuant to this </w:t>
      </w:r>
      <w:r>
        <w:rPr>
          <w:rFonts w:ascii="Times New Roman" w:hAnsi="Times New Roman"/>
          <w:color w:val="000000"/>
          <w:sz w:val="20"/>
          <w:u w:val="single"/>
        </w:rPr>
        <w:t>Section 9.1</w:t>
      </w:r>
      <w:r>
        <w:rPr>
          <w:rFonts w:ascii="Times New Roman" w:hAnsi="Times New Roman"/>
          <w:color w:val="000000"/>
          <w:sz w:val="20"/>
        </w:rPr>
        <w:t xml:space="preserve"> shall be reduced to the extent such claims or suits are determined with finality by a court of competent jurisdiction or a dispute resolution mechanism to be directly attributable to the negligence or willful misconduct of, or any breaches of this Agreement (including any representations and warranties set forth in Article 8) by, any of the Takeda Indemnitees.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9.2 Indemnification by Takeda</w:t>
      </w:r>
      <w:r>
        <w:rPr>
          <w:rFonts w:ascii="Times New Roman" w:hAnsi="Times New Roman"/>
          <w:color w:val="000000"/>
          <w:sz w:val="20"/>
        </w:rPr>
        <w:t>. Takeda shall indemnify, defend and hold Petra and its Affiliates and each of their respective employees, officers, directors and agents (the “</w:t>
      </w:r>
      <w:r>
        <w:rPr>
          <w:rFonts w:ascii="Times New Roman" w:hAnsi="Times New Roman"/>
          <w:b/>
          <w:color w:val="000000"/>
          <w:sz w:val="20"/>
        </w:rPr>
        <w:t>Petra Indemnitees</w:t>
      </w:r>
      <w:r>
        <w:rPr>
          <w:rFonts w:ascii="Times New Roman" w:hAnsi="Times New Roman"/>
          <w:color w:val="000000"/>
          <w:sz w:val="20"/>
        </w:rPr>
        <w:t xml:space="preserve">”) harmless from and against any and all liability, claims, damage, loss, cost or expense of any kind or nature (including reasonable attorneys’ fees) payable to a Third Party claimant based on, arising out of or otherwise relating to from any claims, suits, proceedings or causes of action brought by such Third Party to the extent arising from (a) the negligence or willful misconduct of any Takeda Indemnitee; (b) any breach of any provision of this Agreement by Takeda or any other Takeda Indemnitee (including any representations and warranties set forth in Article 8): or (c) the use of any Licensed Compound or the Product by Takeda or its Affiliates prior to the Effective Date: </w:t>
      </w:r>
      <w:r>
        <w:rPr>
          <w:rFonts w:ascii="Times New Roman" w:hAnsi="Times New Roman"/>
          <w:i/>
          <w:color w:val="000000"/>
          <w:sz w:val="20"/>
        </w:rPr>
        <w:t>provided, however</w:t>
      </w:r>
      <w:r>
        <w:rPr>
          <w:rFonts w:ascii="Times New Roman" w:hAnsi="Times New Roman"/>
          <w:color w:val="000000"/>
          <w:sz w:val="20"/>
        </w:rPr>
        <w:t xml:space="preserve">, that Takeda’s obligations pursuant to this </w:t>
      </w:r>
      <w:r>
        <w:rPr>
          <w:rFonts w:ascii="Times New Roman" w:hAnsi="Times New Roman"/>
          <w:color w:val="000000"/>
          <w:sz w:val="20"/>
          <w:u w:val="single"/>
        </w:rPr>
        <w:t>Section 9.2</w:t>
      </w:r>
      <w:r>
        <w:rPr>
          <w:rFonts w:ascii="Times New Roman" w:hAnsi="Times New Roman"/>
          <w:color w:val="000000"/>
          <w:sz w:val="20"/>
        </w:rPr>
        <w:t xml:space="preserve"> shall be reduced to the extent such claims or suits are determined with finality by a court of competent jurisdiction or a dispute resolution mechanism to be directly attributable to the negligence or willful misconduct of, or any breaches of this Agreement (including any representations and warranties set forth in Article 8) by any of the Petra Indemnitees.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9.3 Notification of Claims; Conditions to Indemnification Obligations</w:t>
      </w:r>
      <w:r>
        <w:rPr>
          <w:rFonts w:ascii="Times New Roman" w:hAnsi="Times New Roman"/>
          <w:color w:val="000000"/>
          <w:sz w:val="20"/>
        </w:rPr>
        <w:t>. As a condition to a Party (the “</w:t>
      </w:r>
      <w:r>
        <w:rPr>
          <w:rFonts w:ascii="Times New Roman" w:hAnsi="Times New Roman"/>
          <w:b/>
          <w:color w:val="000000"/>
          <w:sz w:val="20"/>
        </w:rPr>
        <w:t>Indemnified Party</w:t>
      </w:r>
      <w:r>
        <w:rPr>
          <w:rFonts w:ascii="Times New Roman" w:hAnsi="Times New Roman"/>
          <w:color w:val="000000"/>
          <w:sz w:val="20"/>
        </w:rPr>
        <w:t>”) having the right to receive indemnification from the Party from whom the indemnified Party is entitled to receive indemnification under this Article 9 (the “</w:t>
      </w:r>
      <w:r>
        <w:rPr>
          <w:rFonts w:ascii="Times New Roman" w:hAnsi="Times New Roman"/>
          <w:b/>
          <w:color w:val="000000"/>
          <w:sz w:val="20"/>
        </w:rPr>
        <w:t>Indemnifying Party</w:t>
      </w:r>
      <w:r>
        <w:rPr>
          <w:rFonts w:ascii="Times New Roman" w:hAnsi="Times New Roman"/>
          <w:color w:val="000000"/>
          <w:sz w:val="20"/>
        </w:rPr>
        <w:t>”), such Indemnified Party shall: (a) promptly notify the Indemnifying Party as soon as it 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w:t>
      </w:r>
      <w:r>
        <w:rPr>
          <w:rFonts w:ascii="Times New Roman" w:hAnsi="Times New Roman"/>
          <w:i/>
          <w:color w:val="000000"/>
          <w:sz w:val="20"/>
        </w:rPr>
        <w:t>provided, however</w:t>
      </w:r>
      <w:r>
        <w:rPr>
          <w:rFonts w:ascii="Times New Roman" w:hAnsi="Times New Roman"/>
          <w:color w:val="000000"/>
          <w:sz w:val="20"/>
        </w:rPr>
        <w:t>, that, without limiting the foregoing, Takeda may engage its own defense counsel at its own expense). In no event, however, may the Indemnifying Party (a) compromise or settle any claim or suit in a manner which admits fault or negligence on the part of the Indemnified Party or, as applicable, any Takeda Indemnitee or Petra Indemnitee (each, an “</w:t>
      </w:r>
      <w:r>
        <w:rPr>
          <w:rFonts w:ascii="Times New Roman" w:hAnsi="Times New Roman"/>
          <w:b/>
          <w:color w:val="000000"/>
          <w:sz w:val="20"/>
        </w:rPr>
        <w:t>Indemnitee</w:t>
      </w:r>
      <w:r>
        <w:rPr>
          <w:rFonts w:ascii="Times New Roman" w:hAnsi="Times New Roman"/>
          <w:color w:val="000000"/>
          <w:sz w:val="20"/>
        </w:rPr>
        <w:t xml:space="preserve">”), (b) require any omission or impose any obligation on the part of the Indemnified Party or applicable Indemnitee, or (c) otherwise have an adverse effect on the rights or interest of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the Indemnified Party or applicable Indemnitee, in each case without the prior written consent of the Indemnified Party, which consent shall not be unreasonably withheld, delayed or conditioned. Each Party shall reasonably cooperate with the other Party and its counsel in the course of the defense of any such suit, claim or demand, such cooperation to include using reasonable efforts to provide or make available documents, information and witnesses.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9.4 Insurance</w:t>
      </w:r>
      <w:r>
        <w:rPr>
          <w:rFonts w:ascii="Times New Roman" w:hAnsi="Times New Roman"/>
          <w:color w:val="000000"/>
          <w:sz w:val="20"/>
        </w:rPr>
        <w:t>. During the Term, Petra shall obtain and maintain, at its sole cost and expense, Third Party insurance in types and amounts that are reasonable and customary in the United States pharmaceutical and biotechnology industry for companies engaged in comparable activities and that are sufficient to cover any indemnification claim by Takeda or the Takeda Indemnitees hereunder. It is understood and agreed that this insurance shall not be construed to limit Petra’s liability with respect to its indemnification obligations hereunder or otherwise. Petra will provide to Takeda upon request a certificate evidencing such insurance. The foregoing coverage shall continue during the term of this Agreement and for a period of [***]. Without limiting the generality of the foregoing, during any period in which Petra conducts clinical trials, and for a period of [***], Petra shall have a clinical trial liability policy covering product liability claims with at least [***]. Petra shall also maintain general liability insurance with at least [***] and, any time a Product is being Commercialized, a Commercially Reasonable amount of product liability insurance. In all cases, Petra shall increase the amounts of insurance as necessary to provide coverage for its clinical trials Development and Commercialization as appropriate to be consistent with then-current industry standards.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9.5 Waiver</w:t>
      </w:r>
      <w:r>
        <w:rPr>
          <w:rFonts w:ascii="Times New Roman" w:hAnsi="Times New Roman"/>
          <w:color w:val="000000"/>
          <w:sz w:val="20"/>
        </w:rPr>
        <w:t>. NOTWITHSTANDING ANYTHING IN THIS AGREEMENT TO THE CONTRARY, EXCEPT TAKEDA SHALL NOT BE RESPONSIBLE OR HAVE LIABILITY FOR, ANY INJURY, LOSS OR DAMAGE OF ANY KIND SUSTAINED BY PETRA OR A THIRD PARTY, INCLUDING BUT NOT LIMITED TO DIRECT, INDIRECT, SPECIAL, PUNITIVE, INCIDENTAL, OR CONSEQUENTIAL DAMAGES OR LOST PROFITS OR LOST REVENUES REGARDLESS OF THE LEGAL THEORY AND REGARDLESS OF WHETHER TAKEDA WAS INFORMED OF THE POSSIBILITY OF SUCH DAMAGES.</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10</w:t>
      </w:r>
      <w:r>
        <w:rPr>
          <w:rFonts w:ascii="Times New Roman" w:hAnsi="Times New Roman"/>
          <w:color w:val="000000"/>
          <w:sz w:val="20"/>
        </w:rPr>
        <w:br/>
      </w:r>
      <w:r>
        <w:rPr>
          <w:rFonts w:ascii="Times New Roman" w:hAnsi="Times New Roman"/>
          <w:b/>
          <w:color w:val="000000"/>
          <w:sz w:val="20"/>
        </w:rPr>
        <w:t>TERM AND TERMINATION</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10.1 Term and Expiration</w:t>
      </w:r>
      <w:r>
        <w:rPr>
          <w:rFonts w:ascii="Times New Roman" w:hAnsi="Times New Roman"/>
          <w:color w:val="000000"/>
          <w:sz w:val="20"/>
        </w:rPr>
        <w:t>. The term of this Agreement (the “</w:t>
      </w:r>
      <w:r>
        <w:rPr>
          <w:rFonts w:ascii="Times New Roman" w:hAnsi="Times New Roman"/>
          <w:b/>
          <w:color w:val="000000"/>
          <w:sz w:val="20"/>
        </w:rPr>
        <w:t>Term</w:t>
      </w:r>
      <w:r>
        <w:rPr>
          <w:rFonts w:ascii="Times New Roman" w:hAnsi="Times New Roman"/>
          <w:color w:val="000000"/>
          <w:sz w:val="20"/>
        </w:rPr>
        <w:t xml:space="preserve">”) shall commence on the Effective Date and, unless earlier terminated as provided in this Article 10, shall continue in full force and effect, on a country-by-country and Product-by-Product basis until the date on which the Royalty Term in such country with respect to such Product expires, at which time this Agreement shall expire with respect to such Product in such country and the terms of </w:t>
      </w:r>
      <w:r>
        <w:rPr>
          <w:rFonts w:ascii="Times New Roman" w:hAnsi="Times New Roman"/>
          <w:color w:val="000000"/>
          <w:sz w:val="20"/>
          <w:u w:val="single"/>
        </w:rPr>
        <w:t>Section 10.3(b)(i)</w:t>
      </w:r>
      <w:r>
        <w:rPr>
          <w:rFonts w:ascii="Times New Roman" w:hAnsi="Times New Roman"/>
          <w:color w:val="000000"/>
          <w:sz w:val="20"/>
        </w:rPr>
        <w:t xml:space="preserve"> shall apply. This Agreement shall expire in its entirety upon the expiration of the last-to-expire Royalty Term with respect all Products, and the terms of </w:t>
      </w:r>
      <w:r>
        <w:rPr>
          <w:rFonts w:ascii="Times New Roman" w:hAnsi="Times New Roman"/>
          <w:color w:val="000000"/>
          <w:sz w:val="20"/>
          <w:u w:val="single"/>
        </w:rPr>
        <w:t>Section 10.3</w:t>
      </w:r>
      <w:r>
        <w:rPr>
          <w:rFonts w:ascii="Times New Roman" w:hAnsi="Times New Roman"/>
          <w:color w:val="000000"/>
          <w:sz w:val="20"/>
        </w:rPr>
        <w:t xml:space="preserve"> shall apply.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10.2 Termination</w:t>
      </w:r>
      <w:r>
        <w:rPr>
          <w:rFonts w:ascii="Times New Roman" w:hAnsi="Times New Roman"/>
          <w:color w:val="000000"/>
          <w:sz w:val="20"/>
        </w:rPr>
        <w: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Material Breach</w:t>
      </w:r>
      <w:r>
        <w:rPr>
          <w:rFonts w:ascii="Times New Roman" w:hAnsi="Times New Roman"/>
          <w:color w:val="000000"/>
          <w:sz w:val="20"/>
        </w:rPr>
        <w:t>.</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 xml:space="preserve">(i) If either Party breaches any of its material obligations under this Agreement (including, [***]), the other Party may give to the breaching Party a written notice specifying the nature of the default and describing it in reasonable detail, requiring it to cure such breach, and stating its intention to terminate this Agreement if such breach is not cured within [***]. If such breach is not cured within [***], the non-breaching Party shall be entitled to terminate this Agreement immediately by written notice to the breaching Party. For clarity, each Party’s material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obligations may apply to the performance of either: (i) this Agreement in its entirety, in which case this provision shall apply to the entire Agreement; or (ii) a specific Product(s) or country(ies), in which case this provision shall apply only to such affected Product(s) or country(ies).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(ii) Any dispute regarding an alleged breach of this Agreement or willful misconduct in performance of obligations under this Agreement shall be resolved in accordance with Article 11 hereof. Notwithstanding anything to the contrary contained in this </w:t>
      </w:r>
      <w:r>
        <w:rPr>
          <w:rFonts w:ascii="Times New Roman" w:hAnsi="Times New Roman"/>
          <w:color w:val="000000"/>
          <w:sz w:val="20"/>
          <w:u w:val="single"/>
        </w:rPr>
        <w:t>Section 10.2</w:t>
      </w:r>
      <w:r>
        <w:rPr>
          <w:rFonts w:ascii="Times New Roman" w:hAnsi="Times New Roman"/>
          <w:color w:val="000000"/>
          <w:sz w:val="20"/>
        </w:rPr>
        <w:t xml:space="preserve"> or elsewhere in the Agreement, the applicable cure period for any alleged breach or willful misconduct that is in dispute shall be tolled from the date that the alleged breaching Party notifies the other Party that it intends to dispute the allegation through the resolution of such dispute pursuant to Article 11 and it is understood and acknowledged that, during the pendency of a dispute pursuant to Article 11, all of the terms and conditions of this Agreement shall remain in effect, and the Parties shall continue to perform all of their respective obligations under this Agreement.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rPr>
        <w:t>Bankruptcy</w:t>
      </w:r>
      <w:r>
        <w:rPr>
          <w:rFonts w:ascii="Times New Roman" w:hAnsi="Times New Roman"/>
          <w:color w:val="000000"/>
          <w:sz w:val="20"/>
        </w:rPr>
        <w:t>. To the extent permitted under applicable law, either Party may terminate this Agreement in its entirety upon providing written notice to the other Party in the event that such other Party becomes insolvent, files or has filed against it a petition under any bankruptcy law, or makes an assignment of all or substantially all of its assets for the benefit of its creditors.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10.3 Effects of Termination</w:t>
      </w:r>
      <w:r>
        <w:rPr>
          <w:rFonts w:ascii="Times New Roman" w:hAnsi="Times New Roman"/>
          <w:color w:val="000000"/>
          <w:sz w:val="20"/>
        </w:rPr>
        <w: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Survival</w:t>
      </w:r>
      <w:r>
        <w:rPr>
          <w:rFonts w:ascii="Times New Roman" w:hAnsi="Times New Roman"/>
          <w:color w:val="000000"/>
          <w:sz w:val="20"/>
        </w:rPr>
        <w: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(i) Notwithstanding the expiration or termination of this Agreement pursuant to </w:t>
      </w:r>
      <w:r>
        <w:rPr>
          <w:rFonts w:ascii="Times New Roman" w:hAnsi="Times New Roman"/>
          <w:color w:val="000000"/>
          <w:sz w:val="20"/>
          <w:u w:val="single"/>
        </w:rPr>
        <w:t>Section 10.1</w:t>
      </w:r>
      <w:r>
        <w:rPr>
          <w:rFonts w:ascii="Times New Roman" w:hAnsi="Times New Roman"/>
          <w:color w:val="000000"/>
          <w:sz w:val="20"/>
        </w:rPr>
        <w:t xml:space="preserve"> or </w:t>
      </w:r>
      <w:r>
        <w:rPr>
          <w:rFonts w:ascii="Times New Roman" w:hAnsi="Times New Roman"/>
          <w:color w:val="000000"/>
          <w:sz w:val="20"/>
          <w:u w:val="single"/>
        </w:rPr>
        <w:t>Section 10.2</w:t>
      </w:r>
      <w:r>
        <w:rPr>
          <w:rFonts w:ascii="Times New Roman" w:hAnsi="Times New Roman"/>
          <w:color w:val="000000"/>
          <w:sz w:val="20"/>
        </w:rPr>
        <w:t xml:space="preserve">, the following provisions shall survive: </w:t>
      </w:r>
      <w:r>
        <w:rPr>
          <w:rFonts w:ascii="Times New Roman" w:hAnsi="Times New Roman"/>
          <w:color w:val="000000"/>
          <w:sz w:val="20"/>
          <w:u w:val="single"/>
        </w:rPr>
        <w:t>1</w:t>
      </w:r>
      <w:r>
        <w:rPr>
          <w:rFonts w:ascii="Times New Roman" w:hAnsi="Times New Roman"/>
          <w:color w:val="000000"/>
          <w:sz w:val="20"/>
        </w:rPr>
        <w:t xml:space="preserve">, </w:t>
      </w:r>
      <w:r>
        <w:rPr>
          <w:rFonts w:ascii="Times New Roman" w:hAnsi="Times New Roman"/>
          <w:color w:val="000000"/>
          <w:sz w:val="20"/>
          <w:u w:val="single"/>
        </w:rPr>
        <w:t>5.9</w:t>
      </w:r>
      <w:r>
        <w:rPr>
          <w:rFonts w:ascii="Times New Roman" w:hAnsi="Times New Roman"/>
          <w:color w:val="000000"/>
          <w:sz w:val="20"/>
        </w:rPr>
        <w:t xml:space="preserve"> (last sentence only), </w:t>
      </w:r>
      <w:r>
        <w:rPr>
          <w:rFonts w:ascii="Times New Roman" w:hAnsi="Times New Roman"/>
          <w:color w:val="000000"/>
          <w:sz w:val="20"/>
          <w:u w:val="single"/>
        </w:rPr>
        <w:t>6.3(d)</w:t>
      </w:r>
      <w:r>
        <w:rPr>
          <w:rFonts w:ascii="Times New Roman" w:hAnsi="Times New Roman"/>
          <w:color w:val="000000"/>
          <w:sz w:val="20"/>
        </w:rPr>
        <w:t xml:space="preserve">, 7.9 (other than </w:t>
      </w:r>
      <w:r>
        <w:rPr>
          <w:rFonts w:ascii="Times New Roman" w:hAnsi="Times New Roman"/>
          <w:color w:val="000000"/>
          <w:sz w:val="20"/>
          <w:u w:val="single"/>
        </w:rPr>
        <w:t>Section 9.4</w:t>
      </w:r>
      <w:r>
        <w:rPr>
          <w:rFonts w:ascii="Times New Roman" w:hAnsi="Times New Roman"/>
          <w:color w:val="000000"/>
          <w:sz w:val="20"/>
        </w:rPr>
        <w:t xml:space="preserve">), </w:t>
      </w:r>
      <w:r>
        <w:rPr>
          <w:rFonts w:ascii="Times New Roman" w:hAnsi="Times New Roman"/>
          <w:color w:val="000000"/>
          <w:sz w:val="20"/>
          <w:u w:val="single"/>
        </w:rPr>
        <w:t>10</w:t>
      </w:r>
      <w:r>
        <w:rPr>
          <w:rFonts w:ascii="Times New Roman" w:hAnsi="Times New Roman"/>
          <w:color w:val="000000"/>
          <w:sz w:val="20"/>
        </w:rPr>
        <w:t xml:space="preserve">, </w:t>
      </w:r>
      <w:r>
        <w:rPr>
          <w:rFonts w:ascii="Times New Roman" w:hAnsi="Times New Roman"/>
          <w:color w:val="000000"/>
          <w:sz w:val="20"/>
          <w:u w:val="single"/>
        </w:rPr>
        <w:t>11</w:t>
      </w:r>
      <w:r>
        <w:rPr>
          <w:rFonts w:ascii="Times New Roman" w:hAnsi="Times New Roman"/>
          <w:color w:val="000000"/>
          <w:sz w:val="20"/>
        </w:rPr>
        <w:t xml:space="preserve"> and </w:t>
      </w:r>
      <w:r>
        <w:rPr>
          <w:rFonts w:ascii="Times New Roman" w:hAnsi="Times New Roman"/>
          <w:color w:val="000000"/>
          <w:sz w:val="20"/>
          <w:u w:val="single"/>
        </w:rPr>
        <w:t>12</w:t>
      </w:r>
      <w:r>
        <w:rPr>
          <w:rFonts w:ascii="Times New Roman" w:hAnsi="Times New Roman"/>
          <w:color w:val="000000"/>
          <w:sz w:val="20"/>
        </w:rPr>
        <w:t xml:space="preserve">. In addition. </w:t>
      </w:r>
      <w:r>
        <w:rPr>
          <w:rFonts w:ascii="Times New Roman" w:hAnsi="Times New Roman"/>
          <w:color w:val="000000"/>
          <w:sz w:val="20"/>
          <w:u w:val="single"/>
        </w:rPr>
        <w:t>Section 6.4</w:t>
      </w:r>
      <w:r>
        <w:rPr>
          <w:rFonts w:ascii="Times New Roman" w:hAnsi="Times New Roman"/>
          <w:color w:val="000000"/>
          <w:sz w:val="20"/>
        </w:rPr>
        <w:t xml:space="preserve"> shall survive any expiration of the Agreement with respect to a Product in a particular country following the expiration of the Royalty Term with respect to such Product in such country, but only for so long as such Product continues to be Commercialized by or on behalf of Petra or any of its Sublicensees.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(ii) Expiration or termination of this Agreement shall not relieve the Parties of any obligation or liability that accrued hereunder prior to the effective date of such expiration or termination. In addition, except for the termination events addressed in </w:t>
      </w:r>
      <w:r>
        <w:rPr>
          <w:rFonts w:ascii="Times New Roman" w:hAnsi="Times New Roman"/>
          <w:color w:val="000000"/>
          <w:sz w:val="20"/>
          <w:u w:val="single"/>
        </w:rPr>
        <w:t>Section 10.2(b)</w:t>
      </w:r>
      <w:r>
        <w:rPr>
          <w:rFonts w:ascii="Times New Roman" w:hAnsi="Times New Roman"/>
          <w:color w:val="000000"/>
          <w:sz w:val="20"/>
        </w:rPr>
        <w:t>,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(iii) All of the effects of termination are in addition to the other rights and remedies that may be available to either of the Parties under this Agreement and shall not be construed to limit any such rights or remedies. In the event this Agreement is not terminated in its entirety, but rather is terminated on a Product-by-Product and country-by-country basis with respect to one or more Products (the “</w:t>
      </w:r>
      <w:r>
        <w:rPr>
          <w:rFonts w:ascii="Times New Roman" w:hAnsi="Times New Roman"/>
          <w:b/>
          <w:color w:val="000000"/>
          <w:sz w:val="20"/>
        </w:rPr>
        <w:t>Terminated Product</w:t>
      </w:r>
      <w:r>
        <w:rPr>
          <w:rFonts w:ascii="Times New Roman" w:hAnsi="Times New Roman"/>
          <w:color w:val="000000"/>
          <w:sz w:val="20"/>
        </w:rPr>
        <w:t>”) in a particular country (the “</w:t>
      </w:r>
      <w:r>
        <w:rPr>
          <w:rFonts w:ascii="Times New Roman" w:hAnsi="Times New Roman"/>
          <w:b/>
          <w:color w:val="000000"/>
          <w:sz w:val="20"/>
        </w:rPr>
        <w:t>Terminated Country</w:t>
      </w:r>
      <w:r>
        <w:rPr>
          <w:rFonts w:ascii="Times New Roman" w:hAnsi="Times New Roman"/>
          <w:color w:val="000000"/>
          <w:sz w:val="20"/>
        </w:rPr>
        <w:t xml:space="preserve">”), then, notwithstanding anything to the contrary contained in </w:t>
      </w:r>
      <w:r>
        <w:rPr>
          <w:rFonts w:ascii="Times New Roman" w:hAnsi="Times New Roman"/>
          <w:color w:val="000000"/>
          <w:sz w:val="20"/>
          <w:u w:val="single"/>
        </w:rPr>
        <w:t>Sections 10.3(a)(i)</w:t>
      </w:r>
      <w:r>
        <w:rPr>
          <w:rFonts w:ascii="Times New Roman" w:hAnsi="Times New Roman"/>
          <w:color w:val="000000"/>
          <w:sz w:val="20"/>
        </w:rPr>
        <w:t xml:space="preserve"> or </w:t>
      </w:r>
      <w:r>
        <w:rPr>
          <w:rFonts w:ascii="Times New Roman" w:hAnsi="Times New Roman"/>
          <w:color w:val="000000"/>
          <w:sz w:val="20"/>
          <w:u w:val="single"/>
        </w:rPr>
        <w:t>10.3(a)(ii)</w:t>
      </w:r>
      <w:r>
        <w:rPr>
          <w:rFonts w:ascii="Times New Roman" w:hAnsi="Times New Roman"/>
          <w:color w:val="000000"/>
          <w:sz w:val="20"/>
        </w:rPr>
        <w:t xml:space="preserve">, the consequences of termination described under this </w:t>
      </w:r>
      <w:r>
        <w:rPr>
          <w:rFonts w:ascii="Times New Roman" w:hAnsi="Times New Roman"/>
          <w:color w:val="000000"/>
          <w:sz w:val="20"/>
          <w:u w:val="single"/>
        </w:rPr>
        <w:t>Section 10.3</w:t>
      </w:r>
      <w:r>
        <w:rPr>
          <w:rFonts w:ascii="Times New Roman" w:hAnsi="Times New Roman"/>
          <w:color w:val="000000"/>
          <w:sz w:val="20"/>
        </w:rPr>
        <w:t xml:space="preserve"> shall only apply to the Terminated Product in the Terminated Country, and this Agreement shall remain in full force and effect in accordance with its terms with respect to all Products other than the Terminated Products, and in all countries of the Territory other than the Terminated Countries. For clarity, a Terminated Product may be a Licensed Compound or Product that was not approved by the Company to be further studied.</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Licenses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(i) As of the effective date of expiration (but not an early termination) of the Royalty Term with respect to a given Product and country, the licenses from Takeda to Petra under </w:t>
      </w:r>
      <w:r>
        <w:rPr>
          <w:rFonts w:ascii="Times New Roman" w:hAnsi="Times New Roman"/>
          <w:color w:val="000000"/>
          <w:sz w:val="20"/>
          <w:u w:val="single"/>
        </w:rPr>
        <w:t>Section 2.1</w:t>
      </w:r>
      <w:r>
        <w:rPr>
          <w:rFonts w:ascii="Times New Roman" w:hAnsi="Times New Roman"/>
          <w:color w:val="000000"/>
          <w:sz w:val="20"/>
        </w:rPr>
        <w:t xml:space="preserve"> shall convert to fully paid, royalty-free, irrevocable, and perpetual licenses. For clarity, all of Petra’s rights under this Agreement which are necessary for Petra’s exercise of the foregoing license will remain in effect following any such expiration of a Royalty Term.</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(ii) Upon termination of this Agreement by Petra or Takeda pursuant to </w:t>
      </w:r>
      <w:r>
        <w:rPr>
          <w:rFonts w:ascii="Times New Roman" w:hAnsi="Times New Roman"/>
          <w:color w:val="000000"/>
          <w:sz w:val="20"/>
          <w:u w:val="single"/>
        </w:rPr>
        <w:t>Section 10.2(a)</w:t>
      </w:r>
      <w:r>
        <w:rPr>
          <w:rFonts w:ascii="Times New Roman" w:hAnsi="Times New Roman"/>
          <w:color w:val="000000"/>
          <w:sz w:val="20"/>
        </w:rPr>
        <w:t>, the following terms and conditions shall apply only with respect to such Product(s) and country(ies) as are the subject of such termination:</w:t>
      </w:r>
    </w:p>
    <w:p>
      <w:pPr>
        <w:pStyle w:val="TextBody"/>
        <w:bidi w:val="0"/>
        <w:spacing w:before="0" w:after="240"/>
        <w:ind w:left="2160" w:right="0" w:hanging="0"/>
        <w:jc w:val="left"/>
        <w:rPr>
          <w:rFonts w:ascii="Times New Roman" w:hAnsi="Times New Roman"/>
          <w:sz w:val="20"/>
        </w:rPr>
      </w:pPr>
      <w:r>
        <w:rPr>
          <w:rFonts w:ascii="Times New Roman" w:hAnsi="Times New Roman"/>
          <w:color w:val="000000"/>
          <w:sz w:val="20"/>
        </w:rPr>
        <w:t xml:space="preserve">(1) all licenses granted to Petra under </w:t>
      </w:r>
      <w:r>
        <w:rPr>
          <w:rFonts w:ascii="Times New Roman" w:hAnsi="Times New Roman"/>
          <w:color w:val="000000"/>
          <w:sz w:val="20"/>
          <w:u w:val="single"/>
        </w:rPr>
        <w:t>Section 2.1</w:t>
      </w:r>
      <w:r>
        <w:rPr>
          <w:rFonts w:ascii="Times New Roman" w:hAnsi="Times New Roman"/>
          <w:color w:val="000000"/>
          <w:sz w:val="20"/>
        </w:rPr>
        <w:t xml:space="preserve"> shall terminate (except to the extent reasonably necessary to provide the transition described herein);</w:t>
      </w:r>
    </w:p>
    <w:p>
      <w:pPr>
        <w:pStyle w:val="TextBody"/>
        <w:bidi w:val="0"/>
        <w:spacing w:before="0" w:after="240"/>
        <w:ind w:left="2160" w:right="0" w:hanging="0"/>
        <w:jc w:val="left"/>
        <w:rPr>
          <w:rFonts w:ascii="Times New Roman" w:hAnsi="Times New Roman"/>
          <w:color w:val="000000"/>
          <w:sz w:val="20"/>
        </w:rPr>
      </w:pPr>
      <w:r>
        <w:rPr>
          <w:rFonts w:ascii="Times New Roman" w:hAnsi="Times New Roman"/>
          <w:color w:val="000000"/>
          <w:sz w:val="20"/>
        </w:rPr>
        <w:t>(2) Petra and its Sublicensees shall be entitled, during the [***] period following such termination, to sell any commercial inventory of such Product(s) which remains on hand as of the date of the termination, so long as Petra makes all Royalty Payments in accordance with the terms and conditions set forth in this Agreement. At the conclusion of such [***] period, any commercial inventory remaining shall be offered for sale to Takeda at a price [***], as applicable (provided that Takeda shall have no obligation to purchase such inventory), and any quantities of Licensed Compound(s) that remain in Petra’s possession shall be returned to Takeda [***]; and</w:t>
      </w:r>
    </w:p>
    <w:p>
      <w:pPr>
        <w:pStyle w:val="TextBody"/>
        <w:bidi w:val="0"/>
        <w:spacing w:before="0" w:after="240"/>
        <w:ind w:left="2160" w:right="0" w:hanging="0"/>
        <w:jc w:val="left"/>
        <w:rPr>
          <w:rFonts w:ascii="Times New Roman" w:hAnsi="Times New Roman"/>
          <w:color w:val="000000"/>
          <w:sz w:val="20"/>
        </w:rPr>
      </w:pPr>
      <w:r>
        <w:rPr>
          <w:rFonts w:ascii="Times New Roman" w:hAnsi="Times New Roman"/>
          <w:color w:val="000000"/>
          <w:sz w:val="20"/>
        </w:rPr>
        <w:t>(3) Each Party shall return or destroy, at the other Party’s election, all Confidential Information of the other Party.</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(iii) Upon any termination of this Agreement by Petra pursuant to </w:t>
      </w:r>
      <w:r>
        <w:rPr>
          <w:rFonts w:ascii="Times New Roman" w:hAnsi="Times New Roman"/>
          <w:color w:val="000000"/>
          <w:sz w:val="20"/>
          <w:u w:val="single"/>
        </w:rPr>
        <w:t>Section 10.2(a)</w:t>
      </w:r>
      <w:r>
        <w:rPr>
          <w:rFonts w:ascii="Times New Roman" w:hAnsi="Times New Roman"/>
          <w:color w:val="000000"/>
          <w:sz w:val="20"/>
        </w:rPr>
        <w:t xml:space="preserve"> (material breach by Takeda), Takeda shall offer each Sublicensee granted a sublicense that is in effect on the effective date of termination of Licensee’s license rights under this Agreement the right to enter into a license agreement directly with Takeda on substantially the same terms and conditions under which such rights and licenses were granted to such; </w:t>
      </w:r>
      <w:r>
        <w:rPr>
          <w:rFonts w:ascii="Times New Roman" w:hAnsi="Times New Roman"/>
          <w:i/>
          <w:color w:val="000000"/>
          <w:sz w:val="20"/>
        </w:rPr>
        <w:t>provided, however</w:t>
      </w:r>
      <w:r>
        <w:rPr>
          <w:rFonts w:ascii="Times New Roman" w:hAnsi="Times New Roman"/>
          <w:color w:val="000000"/>
          <w:sz w:val="20"/>
        </w:rPr>
        <w:t>, that (a) such Sublicensee is not then in material breach of any of its material obligations under its sublicense agreement; (b) such Sublicensee agrees to comply with all the terms of this Agreement to the extent applicable to the rights sublicensed to it by Licensee or its Affiliate as though it were Petra; and (c) Takeda shall have no obligations under such sublicense agreement beyond the obligations expressly set forth in this Agreement.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(iv) Immediately following Petra’s notification of termination to Takeda pursuant to </w:t>
      </w:r>
      <w:r>
        <w:rPr>
          <w:rFonts w:ascii="Times New Roman" w:hAnsi="Times New Roman"/>
          <w:color w:val="000000"/>
          <w:sz w:val="20"/>
          <w:u w:val="single"/>
        </w:rPr>
        <w:t>Section 10.2(a)</w:t>
      </w:r>
      <w:r>
        <w:rPr>
          <w:rFonts w:ascii="Times New Roman" w:hAnsi="Times New Roman"/>
          <w:color w:val="000000"/>
          <w:sz w:val="20"/>
        </w:rPr>
        <w:t xml:space="preserve">, (unless such termination by Petra for Takeda’s breach is the subject of a good faith dispute), the diligence obligations in </w:t>
      </w:r>
      <w:r>
        <w:rPr>
          <w:rFonts w:ascii="Times New Roman" w:hAnsi="Times New Roman"/>
          <w:color w:val="000000"/>
          <w:sz w:val="20"/>
          <w:u w:val="single"/>
        </w:rPr>
        <w:t>Section 3.4</w:t>
      </w:r>
      <w:r>
        <w:rPr>
          <w:rFonts w:ascii="Times New Roman" w:hAnsi="Times New Roman"/>
          <w:color w:val="000000"/>
          <w:sz w:val="20"/>
        </w:rPr>
        <w:t xml:space="preserve"> shall no longer apply and Petra shall have the right to wind-down all then on-going Development and/or Commercialization activities.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(v) In the event that Petra abandons Development and Commercialization of all Licensed Compounds and all Products containing any Licensed Compounds and Takeda elects to take back such Development and Commercialization in accordance with </w:t>
      </w:r>
      <w:r>
        <w:rPr>
          <w:rFonts w:ascii="Times New Roman" w:hAnsi="Times New Roman"/>
          <w:color w:val="000000"/>
          <w:sz w:val="20"/>
          <w:u w:val="single"/>
        </w:rPr>
        <w:t>Section 3.8</w:t>
      </w:r>
      <w:r>
        <w:rPr>
          <w:rFonts w:ascii="Times New Roman" w:hAnsi="Times New Roman"/>
          <w:color w:val="000000"/>
          <w:sz w:val="20"/>
        </w:rPr>
        <w:t xml:space="preserve">, the Parties will negotiate in good faith the terms of (A) an exclusive, worldwide, royalty-bearing, sublicensable license under any Know-How or Patent Rights owned or Controlled by Petra or its Affiliates that is related to any Product(s) and/or (B) a non-exclusive, worldwide, royalty-bearing, sublicensable license under any Know-How or Patent Rights owned or Controlled by Petra or its Affiliates that is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necessary or useful for the Development, Commercialization or other Exploitation of the Products (such intellectual property described in (A) and (B) is the “</w:t>
      </w:r>
      <w:r>
        <w:rPr>
          <w:rFonts w:ascii="Times New Roman" w:hAnsi="Times New Roman"/>
          <w:b/>
          <w:color w:val="000000"/>
          <w:sz w:val="20"/>
        </w:rPr>
        <w:t>Petra Technology</w:t>
      </w:r>
      <w:r>
        <w:rPr>
          <w:rFonts w:ascii="Times New Roman" w:hAnsi="Times New Roman"/>
          <w:color w:val="000000"/>
          <w:sz w:val="20"/>
        </w:rPr>
        <w:t>”), in each case for the limited purpose of Developing, Commercializing and otherwise Exploiting Products. In each case, the terms of any such license agreement will include commercially reasonable financial consideration payable to Petra (including potential milestones and royalty payments) as consideration for such license(s), which will take into account, among other things, [***]. For the avoidance of doubt, Petra’s obligation pursuant to this subsection (v) is limited to good faith negotiation of a potential license, and does not create an obligation to actually so license such Petra Technology to Takeda.</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10.4 Effects of Bankruptcy or Insolvency</w:t>
      </w:r>
      <w:r>
        <w:rPr>
          <w:rFonts w:ascii="Times New Roman" w:hAnsi="Times New Roman"/>
          <w:color w:val="000000"/>
          <w:sz w:val="20"/>
        </w:rPr>
        <w: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Bankruptcy Code</w:t>
      </w:r>
      <w:r>
        <w:rPr>
          <w:rFonts w:ascii="Times New Roman" w:hAnsi="Times New Roman"/>
          <w:color w:val="000000"/>
          <w:sz w:val="20"/>
        </w:rPr>
        <w:t>. All rights and licenses granted under or pursuant to this Agreement by Takeda are, and shall otherwise be deemed to be, for purposes of Section 365(n) of the US Bankruptcy Code, if applicable, licenses of rights to “intellectual property” as defined under Section 101 of the US Bankruptcy Code.</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Continuing Rights</w:t>
      </w:r>
      <w:r>
        <w:rPr>
          <w:rFonts w:ascii="Times New Roman" w:hAnsi="Times New Roman"/>
          <w:color w:val="000000"/>
          <w:sz w:val="20"/>
        </w:rPr>
        <w:t>. The Parties agree that Petra, as licensee of such rights under this Agreement, shall retain and may fully exercise all of its rights and elections under the US Bankruptcy Code. The Parties further agree that, in the event of any Takeda Bankruptcy Event, Petra shall be entitled to a complete duplicate of (or complete access to, as appropriate) any Takeda Know-How and all embodiments thereof, which, if not already in Petra’s possession, shall be promptly delivered to it (i) following any such commencement of a bankruptcy proceeding upon Petra’s written request therefor, unless Takeda elects to continue to perform all of its obligations under this Agreement or (ii) if not delivered under clause (i), following the rejection of this Agreement by Takeda upon written request therefor by Petra.</w:t>
      </w:r>
    </w:p>
    <w:p>
      <w:pPr>
        <w:pStyle w:val="TextBody"/>
        <w:bidi w:val="0"/>
        <w:spacing w:before="480" w:after="240"/>
        <w:jc w:val="center"/>
        <w:rPr>
          <w:rFonts w:ascii="Times New Roman" w:hAnsi="Times New Roman"/>
          <w:sz w:val="20"/>
        </w:rPr>
      </w:pPr>
      <w:r>
        <w:rPr>
          <w:rFonts w:ascii="Times New Roman" w:hAnsi="Times New Roman"/>
          <w:b/>
          <w:caps/>
          <w:color w:val="000000"/>
          <w:sz w:val="20"/>
        </w:rPr>
        <w:t>Article 11</w:t>
      </w:r>
      <w:r>
        <w:rPr>
          <w:rFonts w:ascii="Times New Roman" w:hAnsi="Times New Roman"/>
          <w:color w:val="000000"/>
          <w:sz w:val="20"/>
        </w:rPr>
        <w:br/>
      </w:r>
      <w:r>
        <w:rPr>
          <w:rFonts w:ascii="Times New Roman" w:hAnsi="Times New Roman"/>
          <w:b/>
          <w:color w:val="000000"/>
          <w:sz w:val="20"/>
        </w:rPr>
        <w:t>DISPUTE RESOLUTION</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11.1 Disputes</w:t>
      </w:r>
      <w:r>
        <w:rPr>
          <w:rFonts w:ascii="Times New Roman" w:hAnsi="Times New Roman"/>
          <w:color w:val="000000"/>
          <w:sz w:val="20"/>
        </w:rPr>
        <w:t>. The Parties agree that the procedures set forth in this Article 11 shall be the exclusive mechanism for resolving any dispute, controversy, or claim between the Parties that may arise from time to time pursuant to this Agreement relating to either Party’s rights or obligations hereunder (each, a “</w:t>
      </w:r>
      <w:r>
        <w:rPr>
          <w:rFonts w:ascii="Times New Roman" w:hAnsi="Times New Roman"/>
          <w:color w:val="000000"/>
          <w:sz w:val="20"/>
          <w:u w:val="single"/>
        </w:rPr>
        <w:t>Dispute</w:t>
      </w:r>
      <w:r>
        <w:rPr>
          <w:rFonts w:ascii="Times New Roman" w:hAnsi="Times New Roman"/>
          <w:color w:val="000000"/>
          <w:sz w:val="20"/>
        </w:rPr>
        <w:t>”, and collectively, the “</w:t>
      </w:r>
      <w:r>
        <w:rPr>
          <w:rFonts w:ascii="Times New Roman" w:hAnsi="Times New Roman"/>
          <w:color w:val="000000"/>
          <w:sz w:val="20"/>
          <w:u w:val="single"/>
        </w:rPr>
        <w:t>Disputes</w:t>
      </w:r>
      <w:r>
        <w:rPr>
          <w:rFonts w:ascii="Times New Roman" w:hAnsi="Times New Roman"/>
          <w:color w:val="000000"/>
          <w:sz w:val="20"/>
        </w:rPr>
        <w:t>”) that is not resolved through good faith negotiation between the Parties. For clarity, a Dispute hereunder does not include any disputes relating to matters for which Petra has sole decision-making authority and/or discretion under this Agreement (each, a “</w:t>
      </w:r>
      <w:r>
        <w:rPr>
          <w:rFonts w:ascii="Times New Roman" w:hAnsi="Times New Roman"/>
          <w:b/>
          <w:color w:val="000000"/>
          <w:sz w:val="20"/>
        </w:rPr>
        <w:t>Non-Escalatable Dispute</w:t>
      </w:r>
      <w:r>
        <w:rPr>
          <w:rFonts w:ascii="Times New Roman" w:hAnsi="Times New Roman"/>
          <w:color w:val="000000"/>
          <w:sz w:val="20"/>
        </w:rPr>
        <w:t xml:space="preserve">”), and such matter shall be determined by Petra and shall not be part of the dispute resolution procedure set forth in this Article 11. In the event that the Parties are unable to resolve any Dispute through diligent review and deliberation within [***], then either Party shall have the right to escalate such matter to the management of the Parties as set forth in </w:t>
      </w:r>
      <w:r>
        <w:rPr>
          <w:rFonts w:ascii="Times New Roman" w:hAnsi="Times New Roman"/>
          <w:color w:val="000000"/>
          <w:sz w:val="20"/>
          <w:u w:val="single"/>
        </w:rPr>
        <w:t>Section 11.2</w:t>
      </w:r>
      <w:r>
        <w:rPr>
          <w:rFonts w:ascii="Times New Roman" w:hAnsi="Times New Roman"/>
          <w:color w:val="000000"/>
          <w:sz w:val="20"/>
        </w:rPr>
        <w: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11.2 Escalation to Management</w:t>
      </w:r>
      <w:r>
        <w:rPr>
          <w:rFonts w:ascii="Times New Roman" w:hAnsi="Times New Roman"/>
          <w:color w:val="000000"/>
          <w:sz w:val="20"/>
        </w:rPr>
        <w:t xml:space="preserve">. Either Party may, by written notice to the other Party, request that a Dispute that remains unresolved for a period of [***] as set forth in </w:t>
      </w:r>
      <w:r>
        <w:rPr>
          <w:rFonts w:ascii="Times New Roman" w:hAnsi="Times New Roman"/>
          <w:color w:val="000000"/>
          <w:sz w:val="20"/>
          <w:u w:val="single"/>
        </w:rPr>
        <w:t>Section 11.1</w:t>
      </w:r>
      <w:r>
        <w:rPr>
          <w:rFonts w:ascii="Times New Roman" w:hAnsi="Times New Roman"/>
          <w:color w:val="000000"/>
          <w:sz w:val="20"/>
        </w:rPr>
        <w:t xml:space="preserve"> arising between the Parties in connection with this Agreement, or a Dispute relating to alleged material breach, be resolved by the management of each Party (which, in the case of Takeda shall mean its [***], and in the case of Petra shall means its [***]), within [***]. If management does not resolve such Dispute within [***], then, at any time after such [***], either Party may proceed to arbitration in accordance with </w:t>
      </w:r>
      <w:r>
        <w:rPr>
          <w:rFonts w:ascii="Times New Roman" w:hAnsi="Times New Roman"/>
          <w:color w:val="000000"/>
          <w:sz w:val="20"/>
          <w:u w:val="single"/>
        </w:rPr>
        <w:t>Section 11.3</w:t>
      </w:r>
      <w:r>
        <w:rPr>
          <w:rFonts w:ascii="Times New Roman" w:hAnsi="Times New Roman"/>
          <w:color w:val="000000"/>
          <w:sz w:val="20"/>
        </w:rPr>
        <w:t xml:space="preserve"> with respect to such Dispute.</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11.3 Arbitration</w:t>
      </w:r>
      <w:r>
        <w:rPr>
          <w:rFonts w:ascii="Times New Roman" w:hAnsi="Times New Roman"/>
          <w:color w:val="000000"/>
          <w:sz w:val="20"/>
        </w:rPr>
        <w:t xml:space="preserve">. Any Dispute not resolved pursuant to </w:t>
      </w:r>
      <w:r>
        <w:rPr>
          <w:rFonts w:ascii="Times New Roman" w:hAnsi="Times New Roman"/>
          <w:color w:val="000000"/>
          <w:sz w:val="20"/>
          <w:u w:val="single"/>
        </w:rPr>
        <w:t>Section 11.2</w:t>
      </w:r>
      <w:r>
        <w:rPr>
          <w:rFonts w:ascii="Times New Roman" w:hAnsi="Times New Roman"/>
          <w:color w:val="000000"/>
          <w:sz w:val="20"/>
        </w:rPr>
        <w:t xml:space="preserve"> and excluding any Dispute, controversy or claim concerning the validity, enforceability, infringement or misappropriation of any intellectual property, shall be finally settled by binding arbitration conducted in the English language in [***] under the commercial arbitration rules of the American Arbitration Association, which shall administer the arbitration and act as appointing authority. The arbitration will be conducted by a panel of [***] arbitrators. Each Party will [***]. Disputes about arbitration procedure shall be resolved by the arbitrators. The arbitrators shall not be current or former employees or directors, or current stockholders, of either Party or any of their respective Affiliates or Sublicensees and each arbitrator shall have at least [***]. The arbitrators shall be authorized to grant interim relief, including to prevent the destruction of goods or documents involved in the Dispute, protect trade secrets and provide for security for a prospective monetary award. Within [***], the arbitrators shall conduct the preliminary conference. In addressing any of the subjects within the scope of the preliminary conference, the arbitrators shall take into account both the desirability of making discovery efficient and cost-effective and the needs of the Parties for an understanding of any legitimate issue raised in the arbitration. In addition, each Party shall have the right to take up to [***] of deposition testimony, including expert deposition testimony. The hearing shall commence within [***]. The arbitrators shall, in their discretion, allow each Party to submit concise written statements of position and shall permit the submission of rebuttal statements, subject to reasonable limitations on the length of such statements to be established by the arbitrators. The hearing shall be no longer than [***]. The arbitrators shall also permit the submission of expert reports. The arbitrators shall render their decision and award within [***], and the decision and award shall include a written statement describing the essential findings and conclusions on which the decision and award are based, including the calculation of any damages awarded. The arbitrators will, in rendering their decision, apply the substantive law of the Commonwealth of Massachusetts, without reference to its conflict of laws principles. The decision and award rendered by the arbitrators shall be final, binding and non-appealable, and judgment may be entered upon it in any court of competent jurisdiction. [***]. The parties acknowledge and agree that this Agreement and any award rendered pursuant hereto shall be governed by the UN Convention on the Recognition and Enforcement of Foreign Arbitral Awards.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11.4 Injunctive Relief</w:t>
      </w:r>
      <w:r>
        <w:rPr>
          <w:rFonts w:ascii="Times New Roman" w:hAnsi="Times New Roman"/>
          <w:color w:val="000000"/>
          <w:sz w:val="20"/>
        </w:rPr>
        <w:t>. No provision herein shall be construed as precluding a Party from bringing an action for injunctive relief or other equitable relief in a court of competent jurisdiction prior to the initiation or completion of the above procedure.</w:t>
      </w:r>
    </w:p>
    <w:p>
      <w:pPr>
        <w:pStyle w:val="TextBody"/>
        <w:bidi w:val="0"/>
        <w:spacing w:before="0" w:after="240"/>
        <w:jc w:val="center"/>
        <w:rPr>
          <w:rFonts w:ascii="Times New Roman" w:hAnsi="Times New Roman"/>
          <w:sz w:val="20"/>
        </w:rPr>
      </w:pPr>
      <w:r>
        <w:rPr>
          <w:rFonts w:ascii="Times New Roman" w:hAnsi="Times New Roman"/>
          <w:b/>
          <w:caps/>
          <w:color w:val="000000"/>
          <w:sz w:val="20"/>
        </w:rPr>
        <w:t>Article 12</w:t>
      </w:r>
      <w:r>
        <w:rPr>
          <w:rFonts w:ascii="Times New Roman" w:hAnsi="Times New Roman"/>
          <w:color w:val="000000"/>
          <w:sz w:val="20"/>
        </w:rPr>
        <w:br/>
      </w:r>
      <w:r>
        <w:rPr>
          <w:rFonts w:ascii="Times New Roman" w:hAnsi="Times New Roman"/>
          <w:b/>
          <w:color w:val="000000"/>
          <w:sz w:val="20"/>
        </w:rPr>
        <w:t>MISCELLANEOUS PROVISIONS</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12.1 Relationship of the Parties</w:t>
      </w:r>
      <w:r>
        <w:rPr>
          <w:rFonts w:ascii="Times New Roman" w:hAnsi="Times New Roman"/>
          <w:color w:val="000000"/>
          <w:sz w:val="20"/>
        </w:rPr>
        <w:t>. The Parties agree that they are and will be acting solely as independent contractors and nothing in this Agreement is intended or shall be deemed, for financial, tax, legal or other purposes, to constitute a partnership, agency, joint venture or employer-employee relationship between the Parties. Neither Party shall have any right, power or authority, nor shall they represent themselves as having any authority to assume, create or incur any expense, liability or obligation, express or implied, on behalf of the other Party, or otherwise act as an agent of the other Party for any purpose.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12.2 Assignment</w:t>
      </w:r>
      <w:r>
        <w:rPr>
          <w:rFonts w:ascii="Times New Roman" w:hAnsi="Times New Roman"/>
          <w:color w:val="000000"/>
          <w:sz w:val="20"/>
        </w:rPr>
        <w: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Assignment by Petra</w:t>
      </w:r>
      <w:r>
        <w:rPr>
          <w:rFonts w:ascii="Times New Roman" w:hAnsi="Times New Roman"/>
          <w:color w:val="000000"/>
          <w:sz w:val="20"/>
        </w:rPr>
        <w:t xml:space="preserve">. Petra may assign this Agreement to any Affiliate or to any Third Party that acquires all or substantially all of the assets or business of Petra or to which this Agreement relates, whether by merger, sale of stock, sale of assets or other similar transaction, without the consent of Takeda. Petra shall give written notice to Takeda promptly following any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such assignment. Except as expressly provided herein, neither this Agreement nor any interest hereunder shall be assignable or transferable by Petra, whether voluntarily or by operation of law, without the prior written consent of Takeda (such consent not to be unreasonably withheld or delayed).</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Assignment by Takeda</w:t>
      </w:r>
      <w:r>
        <w:rPr>
          <w:rFonts w:ascii="Times New Roman" w:hAnsi="Times New Roman"/>
          <w:color w:val="000000"/>
          <w:sz w:val="20"/>
        </w:rPr>
        <w:t>. Takeda may assign this Agreement to any Affiliate or to any Third Party that acquires all or substantially all of the assets or business of Takeda, whether by merger, sale of stock, sale of assets or other similar transaction, without the consent of Petra. Takeda shall give written notice to Petra promptly following any such assignment.</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rPr>
        <w:t>Continuing Obligations</w:t>
      </w:r>
      <w:r>
        <w:rPr>
          <w:rFonts w:ascii="Times New Roman" w:hAnsi="Times New Roman"/>
          <w:color w:val="000000"/>
          <w:sz w:val="20"/>
        </w:rPr>
        <w:t>. No assignment under this Section 12.2 shall relieve the assigning Party of any of its responsibilities or obligations hereunder and, as a condition of such assignment, the assignee shall agree in writing to be bound by all obligations of the assigning Party hereunder. This Agreement shall be binding upon the successors and permitted assigns of the Parties.</w:t>
      </w:r>
    </w:p>
    <w:p>
      <w:pPr>
        <w:pStyle w:val="TextBody"/>
        <w:bidi w:val="0"/>
        <w:spacing w:before="0" w:after="240"/>
        <w:ind w:left="720" w:right="0" w:hanging="0"/>
        <w:jc w:val="left"/>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color w:val="000000"/>
          <w:sz w:val="20"/>
        </w:rPr>
        <w:t>Void Assignments</w:t>
      </w:r>
      <w:r>
        <w:rPr>
          <w:rFonts w:ascii="Times New Roman" w:hAnsi="Times New Roman"/>
          <w:color w:val="000000"/>
          <w:sz w:val="20"/>
        </w:rPr>
        <w:t>. Any assignment not in accordance with this Section 12.2 shall be void.</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12.3 Accounting Procedures</w:t>
      </w:r>
      <w:r>
        <w:rPr>
          <w:rFonts w:ascii="Times New Roman" w:hAnsi="Times New Roman"/>
          <w:color w:val="000000"/>
          <w:sz w:val="20"/>
        </w:rPr>
        <w:t>. Each Party shall calculate all amounts, and perform other accounting procedures required, under this Agreement and applicable to it in accordance with US GAAP or IFRS, as applicable. All terms of an accounting or financial nature in this Agreement shall be construed in accordance with the foregoing accounting standard.</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12.4 Force Majeure</w:t>
      </w:r>
      <w:r>
        <w:rPr>
          <w:rFonts w:ascii="Times New Roman" w:hAnsi="Times New Roman"/>
          <w:color w:val="000000"/>
          <w:sz w:val="20"/>
        </w:rPr>
        <w:t>. Neither Party shall be liable to the other Party or be deemed to have breached or defaulted under this Agreement for failure or delay in the performance of any of its obligations under this Agreement for the time and to the extent such failure or delay is caused by or results from acts of God, earthquake, riot, civil commotion, terrorism, war, strikes or other labor disputes, fire, flood, failure or delay of transportation, omissions or delays in acting by a governmental authority, acts of a government or an agency thereof or judicial orders or decrees or restrictions or any other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will use Commercially Reasonable Efforts to overcome the difficulties created thereby and to resume performance of its obligations hereunder as soon as practicable.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12.5 No Trademark Rights</w:t>
      </w:r>
      <w:r>
        <w:rPr>
          <w:rFonts w:ascii="Times New Roman" w:hAnsi="Times New Roman"/>
          <w:color w:val="000000"/>
          <w:sz w:val="20"/>
        </w:rPr>
        <w:t>. No right, express of implied, is granted by this Agreement to a Party to use in any manner the name or any other trade name or trademark of the other Party in connection with the performance of this Agreement or otherwise. Each Party agrees not to use the name, trademark, logo, symbol or other image of the other Party or its Affiliates in any commercial activity, marketing, advertising, or sales brochures without the prior written consent of the other Party, which consent may be granted or withheld at the other Party’s sole discretion.</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12.6 Entire Agreement of the Parties; Amendments</w:t>
      </w:r>
      <w:r>
        <w:rPr>
          <w:rFonts w:ascii="Times New Roman" w:hAnsi="Times New Roman"/>
          <w:color w:val="000000"/>
          <w:sz w:val="20"/>
        </w:rPr>
        <w:t>. This Agreement and the Schedules hereto constitute and contain the entire understanding and agreement of the Parties respecting the subject matter hereof and cancel and supersede any and all prior negotiations, correspondence, understandings and agreements between the Parties, whether oral or written, regarding such subject matter. Except as specified herein, no waiver, modification or amendment of any provision of this Agreement shall be valid or effective unless made in a writing referencing this Agreement and signed by a duly authorized officer of each Party.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12.7 Captions</w:t>
      </w:r>
      <w:r>
        <w:rPr>
          <w:rFonts w:ascii="Times New Roman" w:hAnsi="Times New Roman"/>
          <w:color w:val="000000"/>
          <w:sz w:val="20"/>
        </w:rPr>
        <w:t>. The captions to this Agreement are for convenience only, and are to be of no force or effect in construing or interpreting any of the provisions of this Agreement.</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12.8 Governing Law</w:t>
      </w:r>
      <w:r>
        <w:rPr>
          <w:rFonts w:ascii="Times New Roman" w:hAnsi="Times New Roman"/>
          <w:color w:val="000000"/>
          <w:sz w:val="20"/>
        </w:rPr>
        <w:t>. This Agreement shall be governed by and interpreted in accordance with the laws of the Commonwealth of Massachusetts, excluding application of any conflict of laws principles that would require application of the Law of a jurisdiction outside of the Commonwealth of Massachusetts. In the event of any conflict between US and foreign laws, regulations and rules, US laws, regulations and rules shall govern. The United Nations Convention on Contracts for the International Sale of Goods shall not apply to this Agreement.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12.9 Notices and Deliveries</w:t>
      </w:r>
      <w:r>
        <w:rPr>
          <w:rFonts w:ascii="Times New Roman" w:hAnsi="Times New Roman"/>
          <w:color w:val="000000"/>
          <w:sz w:val="20"/>
        </w:rPr>
        <w:t>. Any notice, request, approval or consent required or permitted to be given under this Agreement shall be in writing and shall be deemed to have been sufficiently given if delivered in person or by express courier service (signature required) to the Party to which it is directed at its address shown below or such other address as such Party shall have last given by notice to the other Purty.</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If to Petra, addressed to:</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Name: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Street: [***]</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City/State/Zip: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Country: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Attn: [***]</w:t>
      </w:r>
    </w:p>
    <w:p>
      <w:pPr>
        <w:pStyle w:val="TextBody"/>
        <w:bidi w:val="0"/>
        <w:spacing w:before="0" w:after="200"/>
        <w:ind w:left="0" w:right="0" w:firstLine="720"/>
        <w:jc w:val="left"/>
        <w:rPr>
          <w:rFonts w:ascii="Times New Roman" w:hAnsi="Times New Roman"/>
          <w:color w:val="000000"/>
          <w:sz w:val="20"/>
        </w:rPr>
      </w:pPr>
      <w:r>
        <w:rPr>
          <w:rFonts w:ascii="Times New Roman" w:hAnsi="Times New Roman"/>
          <w:color w:val="000000"/>
          <w:sz w:val="20"/>
        </w:rPr>
        <w:t>If to Takeda, addressed to:</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Name: Takeda Pharmaceutical Company Limited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Street: 40 Landsdowne Street</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City/State/Zip: Cambridge, MA 02139</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Country: U.S.A.</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Attn: [***]</w:t>
      </w:r>
    </w:p>
    <w:p>
      <w:pPr>
        <w:pStyle w:val="TextBody"/>
        <w:pBdr/>
        <w:bidi w:val="0"/>
        <w:spacing w:before="360" w:after="240"/>
        <w:ind w:left="0" w:right="0" w:hanging="720"/>
        <w:jc w:val="left"/>
        <w:rPr>
          <w:rFonts w:ascii="Times New Roman" w:hAnsi="Times New Roman"/>
          <w:sz w:val="20"/>
        </w:rPr>
      </w:pPr>
      <w:r>
        <w:rPr>
          <w:rFonts w:ascii="Times New Roman" w:hAnsi="Times New Roman"/>
          <w:b/>
          <w:color w:val="000000"/>
          <w:sz w:val="20"/>
        </w:rPr>
        <w:t>12.10 Language</w:t>
      </w:r>
      <w:r>
        <w:rPr>
          <w:rFonts w:ascii="Times New Roman" w:hAnsi="Times New Roman"/>
          <w:color w:val="000000"/>
          <w:sz w:val="20"/>
        </w:rPr>
        <w:t>. The official language of this Agreement and between the Parties for all correspondence shall be the English language.</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12.11 Waiver</w:t>
      </w:r>
      <w:r>
        <w:rPr>
          <w:rFonts w:ascii="Times New Roman" w:hAnsi="Times New Roman"/>
          <w:color w:val="000000"/>
          <w:sz w:val="20"/>
        </w:rPr>
        <w:t>. A waiver by either Party of any of the terms and conditions of this Agreement in any instance shall not be deemed 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12.12 Severability</w:t>
      </w:r>
      <w:r>
        <w:rPr>
          <w:rFonts w:ascii="Times New Roman" w:hAnsi="Times New Roman"/>
          <w:color w:val="000000"/>
          <w:sz w:val="20"/>
        </w:rPr>
        <w:t>. When possible, each provision of this Agreement will be interpreted in such manner as to be effective and valid under Law, but if 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12.13 No Implied License</w:t>
      </w:r>
      <w:r>
        <w:rPr>
          <w:rFonts w:ascii="Times New Roman" w:hAnsi="Times New Roman"/>
          <w:color w:val="000000"/>
          <w:sz w:val="20"/>
        </w:rPr>
        <w:t>. No right or license is granted to either Party hereunder by implication, estoppel, or otherwise to any know-how, patent or other intellectual property right owned or Controlled by the other Party or its Affiliates, except as expressly set forth in this Agreement.</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12.14 Interpretation</w:t>
      </w:r>
      <w:r>
        <w:rPr>
          <w:rFonts w:ascii="Times New Roman" w:hAnsi="Times New Roman"/>
          <w:color w:val="000000"/>
          <w:sz w:val="20"/>
        </w:rPr>
        <w:t xml:space="preserve">. The words “include,” “includes” and “including” shall be deemed to be followed by the phrase “without limitation.” All references herein to ARTICLES, Sections, and Schedules shall be deemed references to ARTICLES and Sections of, and Schedules to, this Agreement unless the context shall otherwise require. Except where the context otherwise requires, wherever used, the singular shall include the plural, the plural the singular, the use of any gender shall be applicable to all genders and the word “or” is used in the inclusive sense (and/or). Whenever this Agreement refers to a number of days, unless otherwise specified, such number refers to calendar days.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 Unless the context otherwise requires, countries shall include territories. For clarity, any references in this Agreement to an amount paid by Petra as being “non-refundable” or “non-creditable” shall not be construed to limit Petra’s right to seek to recover or actually recover any amount of damages arising from any uncured breach of this Agreement by Takeda, subject only to the limitations and exclusions in </w:t>
      </w:r>
      <w:r>
        <w:rPr>
          <w:rFonts w:ascii="Times New Roman" w:hAnsi="Times New Roman"/>
          <w:color w:val="000000"/>
          <w:sz w:val="20"/>
          <w:u w:val="single"/>
        </w:rPr>
        <w:t>Section 9.5</w:t>
      </w:r>
      <w:r>
        <w:rPr>
          <w:rFonts w:ascii="Times New Roman" w:hAnsi="Times New Roman"/>
          <w:color w:val="000000"/>
          <w:sz w:val="20"/>
        </w:rPr>
        <w:t>.</w:t>
      </w:r>
    </w:p>
    <w:p>
      <w:pPr>
        <w:pStyle w:val="TextBody"/>
        <w:pBdr/>
        <w:bidi w:val="0"/>
        <w:spacing w:before="0" w:after="240"/>
        <w:ind w:left="0" w:right="0" w:hanging="720"/>
        <w:jc w:val="left"/>
        <w:rPr>
          <w:rFonts w:ascii="Times New Roman" w:hAnsi="Times New Roman"/>
          <w:sz w:val="20"/>
        </w:rPr>
      </w:pPr>
      <w:r>
        <w:rPr>
          <w:rFonts w:ascii="Times New Roman" w:hAnsi="Times New Roman"/>
          <w:b/>
          <w:color w:val="000000"/>
          <w:sz w:val="20"/>
        </w:rPr>
        <w:t>12.15 Counterparts</w:t>
      </w:r>
      <w:r>
        <w:rPr>
          <w:rFonts w:ascii="Times New Roman" w:hAnsi="Times New Roman"/>
          <w:color w:val="000000"/>
          <w:sz w:val="20"/>
        </w:rPr>
        <w:t>. This Agreement may be executed in counterparts, each of which will be deemed an original, and all of which together will be deemed to be one and the same instrument. Transmission by fax or by electronic mail (in PDF form) or by any other electronic means intended to preserve the original appearance of the document, of an executed counterpart of this Agreement shall be deemed to constitute due and sufficient delivery of such counterpart and have the same effect as physical delivery of the paper document bearing the original signature.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720"/>
        <w:ind w:left="0" w:right="0" w:firstLine="720"/>
        <w:jc w:val="left"/>
        <w:rPr>
          <w:rFonts w:ascii="Times New Roman" w:hAnsi="Times New Roman"/>
          <w:color w:val="000000"/>
          <w:sz w:val="20"/>
        </w:rPr>
      </w:pPr>
      <w:r>
        <w:rPr>
          <w:rFonts w:ascii="Times New Roman" w:hAnsi="Times New Roman"/>
          <w:color w:val="000000"/>
          <w:sz w:val="20"/>
        </w:rPr>
        <w:t>IN WITNESS WHEREOF, duly authorized representatives of the parties have executed this Agreement as of the date first above written.</w:t>
      </w:r>
    </w:p>
    <w:tbl>
      <w:tblPr>
        <w:tblW w:w="8027" w:type="dxa"/>
        <w:jc w:val="left"/>
        <w:tblInd w:w="0" w:type="dxa"/>
        <w:tblLayout w:type="fixed"/>
        <w:tblCellMar>
          <w:top w:w="28" w:type="dxa"/>
          <w:left w:w="28" w:type="dxa"/>
          <w:bottom w:w="28" w:type="dxa"/>
          <w:right w:w="28" w:type="dxa"/>
        </w:tblCellMar>
      </w:tblPr>
      <w:tblGrid>
        <w:gridCol w:w="4816"/>
        <w:gridCol w:w="3211"/>
      </w:tblGrid>
      <w:tr>
        <w:trPr/>
        <w:tc>
          <w:tcPr>
            <w:tcW w:w="481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TAKEDA PHARMACEUTICAL COMPANY LIMITED</w:t>
            </w:r>
          </w:p>
        </w:tc>
        <w:tc>
          <w:tcPr>
            <w:tcW w:w="32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PETRA PHARMA CORPORATION</w:t>
            </w:r>
          </w:p>
        </w:tc>
      </w:tr>
      <w:tr>
        <w:trPr/>
        <w:tc>
          <w:tcPr>
            <w:tcW w:w="4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Signature:</w:t>
            </w:r>
            <w:r>
              <w:rPr>
                <w:rFonts w:ascii="Times New Roman" w:hAnsi="Times New Roman"/>
                <w:color w:val="000000"/>
                <w:sz w:val="20"/>
                <w:u w:val="single"/>
              </w:rPr>
              <w:t>   </w:t>
            </w:r>
            <w:r>
              <w:rPr>
                <w:rFonts w:ascii="Times New Roman" w:hAnsi="Times New Roman"/>
                <w:i/>
                <w:color w:val="000000"/>
                <w:sz w:val="20"/>
                <w:u w:val="single"/>
              </w:rPr>
              <w:t>/s/ Fumihiko Sato</w:t>
            </w:r>
          </w:p>
        </w:tc>
        <w:tc>
          <w:tcPr>
            <w:tcW w:w="32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Signature:</w:t>
            </w:r>
            <w:r>
              <w:rPr>
                <w:rFonts w:ascii="Times New Roman" w:hAnsi="Times New Roman"/>
                <w:color w:val="000000"/>
                <w:sz w:val="20"/>
                <w:u w:val="single"/>
              </w:rPr>
              <w:t>   </w:t>
            </w:r>
            <w:r>
              <w:rPr>
                <w:rFonts w:ascii="Times New Roman" w:hAnsi="Times New Roman"/>
                <w:i/>
                <w:color w:val="000000"/>
                <w:sz w:val="20"/>
                <w:u w:val="single"/>
              </w:rPr>
              <w:t>/s/ David Remus</w:t>
            </w:r>
          </w:p>
        </w:tc>
      </w:tr>
      <w:tr>
        <w:trPr/>
        <w:tc>
          <w:tcPr>
            <w:tcW w:w="4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Printed Name:</w:t>
            </w:r>
            <w:r>
              <w:rPr>
                <w:rFonts w:ascii="Times New Roman" w:hAnsi="Times New Roman"/>
                <w:color w:val="000000"/>
                <w:sz w:val="20"/>
                <w:u w:val="single"/>
              </w:rPr>
              <w:t>   Fumihiko Sato</w:t>
            </w:r>
          </w:p>
        </w:tc>
        <w:tc>
          <w:tcPr>
            <w:tcW w:w="32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Printed Name:</w:t>
            </w:r>
            <w:r>
              <w:rPr>
                <w:rFonts w:ascii="Times New Roman" w:hAnsi="Times New Roman"/>
                <w:color w:val="000000"/>
                <w:sz w:val="20"/>
                <w:u w:val="single"/>
              </w:rPr>
              <w:t>   David Remus</w:t>
            </w:r>
          </w:p>
        </w:tc>
      </w:tr>
      <w:tr>
        <w:trPr/>
        <w:tc>
          <w:tcPr>
            <w:tcW w:w="4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Title:</w:t>
            </w:r>
            <w:r>
              <w:rPr>
                <w:rFonts w:ascii="Times New Roman" w:hAnsi="Times New Roman"/>
                <w:color w:val="000000"/>
                <w:sz w:val="20"/>
                <w:u w:val="single"/>
              </w:rPr>
              <w:t>   Head of Portfolio Strategic Relations</w:t>
            </w:r>
          </w:p>
        </w:tc>
        <w:tc>
          <w:tcPr>
            <w:tcW w:w="32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color w:val="000000"/>
                <w:sz w:val="20"/>
              </w:rPr>
              <w:t>Title:</w:t>
            </w:r>
            <w:r>
              <w:rPr>
                <w:rFonts w:ascii="Times New Roman" w:hAnsi="Times New Roman"/>
                <w:color w:val="000000"/>
                <w:sz w:val="20"/>
                <w:u w:val="single"/>
              </w:rPr>
              <w:t> CFO</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Excluded Indications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24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Takeda Know-How</w:t>
      </w:r>
    </w:p>
    <w:p>
      <w:pPr>
        <w:pStyle w:val="TextBody"/>
        <w:bidi w:val="0"/>
        <w:spacing w:before="0" w:after="240"/>
        <w:jc w:val="left"/>
        <w:rPr>
          <w:rFonts w:ascii="Times New Roman" w:hAnsi="Times New Roman"/>
          <w:sz w:val="20"/>
        </w:rPr>
      </w:pPr>
      <w:r>
        <w:rPr>
          <w:rFonts w:ascii="Times New Roman" w:hAnsi="Times New Roman"/>
          <w:color w:val="000000"/>
          <w:sz w:val="20"/>
          <w:u w:val="single"/>
        </w:rPr>
        <w:t>[</w:t>
      </w:r>
      <w:r>
        <w:rPr>
          <w:rFonts w:ascii="Times New Roman" w:hAnsi="Times New Roman"/>
          <w:color w:val="000000"/>
          <w:sz w:val="20"/>
        </w:rPr>
        <w:t>***]</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C</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Takeda Patents</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D</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Transfer of Licensed Compounds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10.20</w:t>
      </w:r>
    </w:p>
    <w:p>
      <w:pPr>
        <w:pStyle w:val="TextBody"/>
        <w:bidi w:val="0"/>
        <w:spacing w:before="0" w:after="240"/>
        <w:ind w:left="0" w:right="0" w:firstLine="72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Exhibit E</w:t>
      </w:r>
    </w:p>
    <w:p>
      <w:pPr>
        <w:pStyle w:val="TextBody"/>
        <w:bidi w:val="0"/>
        <w:spacing w:before="0" w:after="240"/>
        <w:jc w:val="center"/>
        <w:rPr>
          <w:rFonts w:ascii="Times New Roman" w:hAnsi="Times New Roman"/>
          <w:sz w:val="20"/>
        </w:rPr>
      </w:pPr>
      <w:r>
        <w:rPr>
          <w:rFonts w:ascii="Times New Roman" w:hAnsi="Times New Roman"/>
          <w:b/>
          <w:color w:val="000000"/>
          <w:sz w:val="20"/>
          <w:u w:val="single"/>
        </w:rPr>
        <w:t>Form of Convertible Promissory Note</w:t>
        <w:br/>
      </w:r>
      <w:r>
        <w:rPr>
          <w:rFonts w:ascii="Times New Roman" w:hAnsi="Times New Roman"/>
          <w:b/>
          <w:color w:val="000000"/>
          <w:sz w:val="20"/>
        </w:rPr>
        <w:t>(attached)</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w:t>
      </w:r>
    </w:p>
    <w:p>
      <w:pPr>
        <w:pStyle w:val="TextBody"/>
        <w:bidi w:val="0"/>
        <w:spacing w:before="0" w:after="240"/>
        <w:ind w:left="0" w:right="0" w:firstLine="7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51" w:name="snse-ex10_21.htm"/>
      <w:bookmarkStart w:id="52" w:name="kssnseex10_21"/>
      <w:bookmarkEnd w:id="51"/>
      <w:bookmarkEnd w:id="52"/>
      <w:r>
        <w:rPr>
          <w:rFonts w:ascii="Times New Roman" w:hAnsi="Times New Roman"/>
          <w:color w:val="000000"/>
          <w:sz w:val="20"/>
        </w:rPr>
        <w:t>Exhibit 10.21</w:t>
      </w:r>
      <w:r>
        <w:br w:type="page"/>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CERTAIN INFORMATION HAS BEEN EXCLUDED FROM THIS AGREEMENT (INDICATED BY “[***]”) BECAUSE SUCH INFORMATION IS BOTH (A) NOT MATERIAL AND (B) THE TYPE THAT THE REGISTRANT CUSTOMARILY AND ACTUALLY TREATS AS PRIVATE OR CONFIDENTIAL.</w:t>
      </w:r>
    </w:p>
    <w:p>
      <w:pPr>
        <w:pStyle w:val="TextBody"/>
        <w:bidi w:val="0"/>
        <w:spacing w:before="0" w:after="720"/>
        <w:jc w:val="center"/>
        <w:rPr/>
      </w:pPr>
      <w:r>
        <w:rPr/>
        <w:t> </w:t>
      </w:r>
    </w:p>
    <w:p>
      <w:pPr>
        <w:pStyle w:val="TextBody"/>
        <w:bidi w:val="0"/>
        <w:spacing w:before="0" w:after="720"/>
        <w:jc w:val="center"/>
        <w:rPr/>
      </w:pPr>
      <w:r>
        <w:rPr/>
        <w:t> </w:t>
      </w:r>
    </w:p>
    <w:p>
      <w:pPr>
        <w:pStyle w:val="TextBody"/>
        <w:bidi w:val="0"/>
        <w:spacing w:before="0" w:after="720"/>
        <w:jc w:val="center"/>
        <w:rPr>
          <w:rFonts w:ascii="Times New Roman" w:hAnsi="Times New Roman"/>
          <w:b/>
          <w:caps/>
          <w:color w:val="000000"/>
          <w:sz w:val="22"/>
        </w:rPr>
      </w:pPr>
      <w:r>
        <w:rPr>
          <w:rFonts w:ascii="Times New Roman" w:hAnsi="Times New Roman"/>
          <w:b/>
          <w:caps/>
          <w:color w:val="000000"/>
          <w:sz w:val="22"/>
        </w:rPr>
        <w:t>AMENDED AND RESTATED</w:t>
        <w:br/>
        <w:t>TAK 228</w:t>
        <w:br/>
        <w:t>ASSET PURCHASE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between</w:t>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Millennium Pharmaceuticals, Inc.</w:t>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0" w:after="720"/>
        <w:jc w:val="center"/>
        <w:rPr>
          <w:rFonts w:ascii="Times New Roman" w:hAnsi="Times New Roman"/>
          <w:b/>
          <w:color w:val="000000"/>
          <w:sz w:val="22"/>
        </w:rPr>
      </w:pPr>
      <w:r>
        <w:rPr>
          <w:rFonts w:ascii="Times New Roman" w:hAnsi="Times New Roman"/>
          <w:b/>
          <w:color w:val="000000"/>
          <w:sz w:val="22"/>
        </w:rPr>
        <w:t>Calithera Biosciences, Inc.</w:t>
      </w:r>
    </w:p>
    <w:p>
      <w:pPr>
        <w:pStyle w:val="TextBody"/>
        <w:bidi w:val="0"/>
        <w:spacing w:before="0" w:after="720"/>
        <w:jc w:val="center"/>
        <w:rPr>
          <w:rFonts w:ascii="Times New Roman" w:hAnsi="Times New Roman"/>
          <w:b/>
          <w:color w:val="000000"/>
          <w:sz w:val="22"/>
        </w:rPr>
      </w:pPr>
      <w:r>
        <w:rPr>
          <w:rFonts w:ascii="Times New Roman" w:hAnsi="Times New Roman"/>
          <w:b/>
          <w:color w:val="000000"/>
          <w:sz w:val="22"/>
        </w:rPr>
        <w:t>Dated as of May 15, 2023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74"/>
        <w:gridCol w:w="1831"/>
      </w:tblGrid>
      <w:tr>
        <w:trPr/>
        <w:tc>
          <w:tcPr>
            <w:tcW w:w="837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0" w:right="0" w:hanging="1440"/>
              <w:jc w:val="left"/>
              <w:rPr>
                <w:rFonts w:ascii="Times New Roman" w:hAnsi="Times New Roman"/>
                <w:b/>
                <w:color w:val="000000"/>
                <w:sz w:val="22"/>
              </w:rPr>
            </w:pPr>
            <w:bookmarkStart w:id="53" w:name="mptableofcontents1"/>
            <w:bookmarkEnd w:id="53"/>
            <w:r>
              <w:rPr>
                <w:rFonts w:ascii="Times New Roman" w:hAnsi="Times New Roman"/>
                <w:b/>
                <w:color w:val="000000"/>
                <w:sz w:val="22"/>
              </w:rPr>
              <w:t>ARTICLE 1 DEFINITIONS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1</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1.1 Defined Terms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1.2 Additional Definitions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11</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b/>
                <w:color w:val="000000"/>
                <w:sz w:val="22"/>
              </w:rPr>
            </w:pPr>
            <w:r>
              <w:rPr>
                <w:rFonts w:ascii="Times New Roman" w:hAnsi="Times New Roman"/>
                <w:b/>
                <w:color w:val="000000"/>
                <w:sz w:val="22"/>
              </w:rPr>
              <w:t>1.3 Construction of Certain Terms and Phrases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12</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0" w:right="0" w:hanging="1440"/>
              <w:jc w:val="left"/>
              <w:rPr>
                <w:rFonts w:ascii="Times New Roman" w:hAnsi="Times New Roman"/>
                <w:b/>
                <w:color w:val="000000"/>
                <w:sz w:val="22"/>
              </w:rPr>
            </w:pPr>
            <w:r>
              <w:rPr>
                <w:rFonts w:ascii="Times New Roman" w:hAnsi="Times New Roman"/>
                <w:b/>
                <w:color w:val="000000"/>
                <w:sz w:val="22"/>
              </w:rPr>
              <w:t>ARTICLE 2 PURCHASE AND SALE OF ASSETS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12</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2.1 Closing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12</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2.2 Closing Deliveries.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13</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2.3 Purchase and Sale of Assets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13</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2.4 Excluded Assets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13</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2.5 License Back</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13</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2.6 Licensed Intellectual Property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14</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2.7 Post-Closing Liabilities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14</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2.8 Excluded Liabilities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15</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2.9 Adverse Events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15</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2.10 [INTENTIONALLY OMITTED].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16</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2.11 Later-Discovered Assigned Intellectual Property, Assigned Agreements and Licensed Intellectual Property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16</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b/>
                <w:color w:val="000000"/>
                <w:sz w:val="22"/>
              </w:rPr>
            </w:pPr>
            <w:r>
              <w:rPr>
                <w:rFonts w:ascii="Times New Roman" w:hAnsi="Times New Roman"/>
                <w:b/>
                <w:color w:val="000000"/>
                <w:sz w:val="22"/>
              </w:rPr>
              <w:t>2.12 Approval of Licensees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16</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0" w:right="0" w:hanging="1440"/>
              <w:jc w:val="left"/>
              <w:rPr>
                <w:rFonts w:ascii="Times New Roman" w:hAnsi="Times New Roman"/>
                <w:b/>
                <w:color w:val="000000"/>
                <w:sz w:val="22"/>
              </w:rPr>
            </w:pPr>
            <w:r>
              <w:rPr>
                <w:rFonts w:ascii="Times New Roman" w:hAnsi="Times New Roman"/>
                <w:b/>
                <w:color w:val="000000"/>
                <w:sz w:val="22"/>
              </w:rPr>
              <w:t>ARTICLE 3 DEVELOPMENT AND COMMERCIALIZATION OF PRODUCTS; ONGOING OBLIGATIONS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16</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3.1 Responsibility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16</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3.2 Diligence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16</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3.3 Reports.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16</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3.4 Audit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17</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3.5 Assumption of Rights and Obligations under Assigned Agreements.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18</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3.6 Related Agreements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18</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3.7 Non-Assignable Contract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18</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3.8 Cooperation in Combination Clinical Study(ies)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19</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b/>
                <w:color w:val="000000"/>
                <w:sz w:val="22"/>
              </w:rPr>
            </w:pPr>
            <w:r>
              <w:rPr>
                <w:rFonts w:ascii="Times New Roman" w:hAnsi="Times New Roman"/>
                <w:b/>
                <w:color w:val="000000"/>
                <w:sz w:val="22"/>
              </w:rPr>
              <w:t>3.9 Delayed Assignment of Contracts for Clinical Studies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19</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0" w:right="0" w:hanging="1440"/>
              <w:jc w:val="left"/>
              <w:rPr>
                <w:rFonts w:ascii="Times New Roman" w:hAnsi="Times New Roman"/>
                <w:b/>
                <w:color w:val="000000"/>
                <w:sz w:val="22"/>
              </w:rPr>
            </w:pPr>
            <w:r>
              <w:rPr>
                <w:rFonts w:ascii="Times New Roman" w:hAnsi="Times New Roman"/>
                <w:b/>
                <w:color w:val="000000"/>
                <w:sz w:val="22"/>
              </w:rPr>
              <w:t>ARTICLE 4 CONTROL OF ASSIGNED PATENT RIGHTS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19</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4.1 Control of Assigned Patent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19</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4.2 Control of Licensed Intellectual Property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20</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b/>
                <w:color w:val="000000"/>
                <w:sz w:val="22"/>
              </w:rPr>
            </w:pPr>
            <w:r>
              <w:rPr>
                <w:rFonts w:ascii="Times New Roman" w:hAnsi="Times New Roman"/>
                <w:b/>
                <w:color w:val="000000"/>
                <w:sz w:val="22"/>
              </w:rPr>
              <w:t>4.3 Ownership of Transaction IP</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20</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0" w:right="0" w:hanging="1440"/>
              <w:jc w:val="left"/>
              <w:rPr>
                <w:rFonts w:ascii="Times New Roman" w:hAnsi="Times New Roman"/>
                <w:b/>
                <w:color w:val="000000"/>
                <w:sz w:val="22"/>
              </w:rPr>
            </w:pPr>
            <w:r>
              <w:rPr>
                <w:rFonts w:ascii="Times New Roman" w:hAnsi="Times New Roman"/>
                <w:b/>
                <w:color w:val="000000"/>
                <w:sz w:val="22"/>
              </w:rPr>
              <w:t>ARTICLE 5 PURCHASE PRICE AND OTHER PAYMENTS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20</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5.1 Upfront Consideration Acknowledgement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20</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5.2 Payment of Earn-out Payments; Earn-Out Rates.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20</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5.3 Development Milestone Payments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22</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5.4 Sales Milestone Payments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23</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5.5 Payments in Dollars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24</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5.6 Foreign Currency Exchange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24</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5.7 Overdue Payments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24</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5.8 Taxes.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24</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b/>
                <w:color w:val="000000"/>
                <w:sz w:val="22"/>
              </w:rPr>
            </w:pPr>
            <w:r>
              <w:rPr>
                <w:rFonts w:ascii="Times New Roman" w:hAnsi="Times New Roman"/>
                <w:b/>
                <w:color w:val="000000"/>
                <w:sz w:val="22"/>
              </w:rPr>
              <w:t>5.9 Mode of Payment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26</w:t>
            </w:r>
          </w:p>
        </w:tc>
      </w:tr>
      <w:tr>
        <w:trPr/>
        <w:tc>
          <w:tcPr>
            <w:tcW w:w="8374"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left"/>
              <w:rPr>
                <w:rFonts w:ascii="Times New Roman" w:hAnsi="Times New Roman"/>
                <w:b/>
                <w:color w:val="000000"/>
                <w:sz w:val="22"/>
              </w:rPr>
            </w:pPr>
            <w:r>
              <w:rPr>
                <w:rFonts w:ascii="Times New Roman" w:hAnsi="Times New Roman"/>
                <w:b/>
                <w:color w:val="000000"/>
                <w:sz w:val="22"/>
              </w:rPr>
              <w:t>ARTICLE 6 REPRESENTATIONS AND WARRANTIES</w:t>
            </w:r>
          </w:p>
        </w:tc>
        <w:tc>
          <w:tcPr>
            <w:tcW w:w="183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b/>
                <w:color w:val="000000"/>
                <w:sz w:val="22"/>
              </w:rPr>
            </w:pPr>
            <w:r>
              <w:rPr>
                <w:rFonts w:ascii="Times New Roman" w:hAnsi="Times New Roman"/>
                <w:b/>
                <w:color w:val="000000"/>
                <w:sz w:val="22"/>
              </w:rPr>
              <w:t>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tbl>
      <w:tblPr>
        <w:tblW w:w="9902" w:type="dxa"/>
        <w:jc w:val="left"/>
        <w:tblInd w:w="0" w:type="dxa"/>
        <w:tblLayout w:type="fixed"/>
        <w:tblCellMar>
          <w:top w:w="28" w:type="dxa"/>
          <w:left w:w="28" w:type="dxa"/>
          <w:bottom w:w="28" w:type="dxa"/>
          <w:right w:w="28" w:type="dxa"/>
        </w:tblCellMar>
      </w:tblPr>
      <w:tblGrid>
        <w:gridCol w:w="8071"/>
        <w:gridCol w:w="1831"/>
      </w:tblGrid>
      <w:tr>
        <w:trPr/>
        <w:tc>
          <w:tcPr>
            <w:tcW w:w="807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6.1 Representations and Warranties of Seller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26</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6.2 Representations and Warranties of Buyer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28</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6.3 Covenant of Buyer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30</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40"/>
              <w:ind w:left="720" w:right="0" w:hanging="720"/>
              <w:jc w:val="left"/>
              <w:rPr>
                <w:rFonts w:ascii="Times New Roman" w:hAnsi="Times New Roman"/>
                <w:b/>
                <w:color w:val="000000"/>
                <w:sz w:val="22"/>
              </w:rPr>
            </w:pPr>
            <w:r>
              <w:rPr>
                <w:rFonts w:ascii="Times New Roman" w:hAnsi="Times New Roman"/>
                <w:b/>
                <w:color w:val="000000"/>
                <w:sz w:val="22"/>
              </w:rPr>
              <w:t>6.4 No Other Warranties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30</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left"/>
              <w:rPr>
                <w:rFonts w:ascii="Times New Roman" w:hAnsi="Times New Roman"/>
                <w:b/>
                <w:color w:val="000000"/>
                <w:sz w:val="22"/>
              </w:rPr>
            </w:pPr>
            <w:r>
              <w:rPr>
                <w:rFonts w:ascii="Times New Roman" w:hAnsi="Times New Roman"/>
                <w:b/>
                <w:color w:val="000000"/>
                <w:sz w:val="22"/>
              </w:rPr>
              <w:t>ARTICLE 7 CONFIDENTIALITY</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30</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7.1 Confidentiality Obligations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30</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7.2 Permitted Disclosures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31</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7.3 Use of Name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32</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40"/>
              <w:ind w:left="720" w:right="0" w:hanging="720"/>
              <w:jc w:val="left"/>
              <w:rPr>
                <w:rFonts w:ascii="Times New Roman" w:hAnsi="Times New Roman"/>
                <w:b/>
                <w:color w:val="000000"/>
                <w:sz w:val="22"/>
              </w:rPr>
            </w:pPr>
            <w:r>
              <w:rPr>
                <w:rFonts w:ascii="Times New Roman" w:hAnsi="Times New Roman"/>
                <w:b/>
                <w:color w:val="000000"/>
                <w:sz w:val="22"/>
              </w:rPr>
              <w:t>7.4 Public Announcements.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32</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left"/>
              <w:rPr>
                <w:rFonts w:ascii="Times New Roman" w:hAnsi="Times New Roman"/>
                <w:b/>
                <w:color w:val="000000"/>
                <w:sz w:val="22"/>
              </w:rPr>
            </w:pPr>
            <w:r>
              <w:rPr>
                <w:rFonts w:ascii="Times New Roman" w:hAnsi="Times New Roman"/>
                <w:b/>
                <w:color w:val="000000"/>
                <w:sz w:val="22"/>
              </w:rPr>
              <w:t>ARTICLE 8 TERM</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33</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8.1 Term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33</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40"/>
              <w:ind w:left="720" w:right="0" w:hanging="720"/>
              <w:jc w:val="left"/>
              <w:rPr>
                <w:rFonts w:ascii="Times New Roman" w:hAnsi="Times New Roman"/>
                <w:b/>
                <w:color w:val="000000"/>
                <w:sz w:val="22"/>
              </w:rPr>
            </w:pPr>
            <w:r>
              <w:rPr>
                <w:rFonts w:ascii="Times New Roman" w:hAnsi="Times New Roman"/>
                <w:b/>
                <w:color w:val="000000"/>
                <w:sz w:val="22"/>
              </w:rPr>
              <w:t>8.2 Termination.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33</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left"/>
              <w:rPr>
                <w:rFonts w:ascii="Times New Roman" w:hAnsi="Times New Roman"/>
                <w:b/>
                <w:color w:val="000000"/>
                <w:sz w:val="22"/>
              </w:rPr>
            </w:pPr>
            <w:r>
              <w:rPr>
                <w:rFonts w:ascii="Times New Roman" w:hAnsi="Times New Roman"/>
                <w:b/>
                <w:color w:val="000000"/>
                <w:sz w:val="22"/>
              </w:rPr>
              <w:t>ARTICLE 9 SURVIVAL; INDEMNIFICATION; INSURANCE; LIMITATIONS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35</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9.1 Survival of Representations, Warranties and Covenants.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35</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9.2 Indemnification by Buyer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35</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9.3 Indemnification by Seller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36</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9.4 Limitations.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36</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9.5 Procedures.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37</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9.6 Sole Remedy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38</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9.7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38</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40"/>
              <w:ind w:left="720" w:right="0" w:hanging="720"/>
              <w:jc w:val="left"/>
              <w:rPr>
                <w:rFonts w:ascii="Times New Roman" w:hAnsi="Times New Roman"/>
                <w:b/>
                <w:color w:val="000000"/>
                <w:sz w:val="22"/>
              </w:rPr>
            </w:pPr>
            <w:r>
              <w:rPr>
                <w:rFonts w:ascii="Times New Roman" w:hAnsi="Times New Roman"/>
                <w:b/>
                <w:color w:val="000000"/>
                <w:sz w:val="22"/>
              </w:rPr>
              <w:t>9.8 LIMITATION OF DAMAGES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39</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40"/>
              <w:ind w:left="0" w:right="0" w:hanging="1440"/>
              <w:jc w:val="left"/>
              <w:rPr>
                <w:rFonts w:ascii="Times New Roman" w:hAnsi="Times New Roman"/>
                <w:b/>
                <w:color w:val="000000"/>
                <w:sz w:val="22"/>
              </w:rPr>
            </w:pPr>
            <w:r>
              <w:rPr>
                <w:rFonts w:ascii="Times New Roman" w:hAnsi="Times New Roman"/>
                <w:b/>
                <w:color w:val="000000"/>
                <w:sz w:val="22"/>
              </w:rPr>
              <w:t>ARTICLE 10 MISCELLANEOUS</w:t>
            </w:r>
          </w:p>
        </w:tc>
        <w:tc>
          <w:tcPr>
            <w:tcW w:w="183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b/>
                <w:color w:val="000000"/>
                <w:sz w:val="22"/>
              </w:rPr>
            </w:pPr>
            <w:r>
              <w:rPr>
                <w:rFonts w:ascii="Times New Roman" w:hAnsi="Times New Roman"/>
                <w:b/>
                <w:color w:val="000000"/>
                <w:sz w:val="22"/>
              </w:rPr>
              <w:t>39</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10.1 Entire Agreement; Amendment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39</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10.2 Governing Law; Jurisdiction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39</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10.3 Waiver of Jury Trial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40</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10.4 Notice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40</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10.5 Compliance with Law; Severability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40</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10.6 Successors and Assigns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41</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10.7 Waivers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41</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10.8 Force Majeure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41</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10.9 No Third Party Beneficiaries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41</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10.10 Headings; Schedules and Exhibits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41</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10.11 Counterparts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b/>
                <w:color w:val="000000"/>
                <w:sz w:val="22"/>
              </w:rPr>
            </w:pPr>
            <w:r>
              <w:rPr>
                <w:rFonts w:ascii="Times New Roman" w:hAnsi="Times New Roman"/>
                <w:b/>
                <w:color w:val="000000"/>
                <w:sz w:val="22"/>
              </w:rPr>
              <w:t>41</w:t>
            </w:r>
          </w:p>
        </w:tc>
      </w:tr>
      <w:tr>
        <w:trPr/>
        <w:tc>
          <w:tcPr>
            <w:tcW w:w="8071" w:type="dxa"/>
            <w:tcBorders/>
            <w:shd w:fill="FFFFFF" w:val="clear"/>
            <w:tcMar>
              <w:top w:w="0" w:type="dxa"/>
              <w:left w:w="0" w:type="dxa"/>
              <w:bottom w:w="0" w:type="dxa"/>
              <w:right w:w="0" w:type="dxa"/>
            </w:tcMar>
            <w:vAlign w:val="center"/>
          </w:tcPr>
          <w:p>
            <w:pPr>
              <w:pStyle w:val="TableContents"/>
              <w:pBdr/>
              <w:bidi w:val="0"/>
              <w:spacing w:before="0" w:after="283"/>
              <w:ind w:left="720" w:right="0" w:hanging="720"/>
              <w:jc w:val="left"/>
              <w:rPr>
                <w:rFonts w:ascii="Times New Roman" w:hAnsi="Times New Roman"/>
                <w:b/>
                <w:color w:val="000000"/>
                <w:sz w:val="22"/>
              </w:rPr>
            </w:pPr>
            <w:r>
              <w:rPr>
                <w:rFonts w:ascii="Times New Roman" w:hAnsi="Times New Roman"/>
                <w:b/>
                <w:color w:val="000000"/>
                <w:sz w:val="22"/>
              </w:rPr>
              <w:t>10.12 Specific Performance</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42</w:t>
            </w:r>
          </w:p>
        </w:tc>
      </w:tr>
    </w:tbl>
    <w:p>
      <w:pPr>
        <w:pStyle w:val="TextBody"/>
        <w:bidi w:val="0"/>
        <w:spacing w:before="14" w:after="240"/>
        <w:jc w:val="both"/>
        <w:rPr>
          <w:rFonts w:ascii="Times New Roman" w:hAnsi="Times New Roman"/>
          <w:b/>
          <w:color w:val="000000"/>
          <w:sz w:val="22"/>
          <w:u w:val="single"/>
        </w:rPr>
      </w:pPr>
      <w:r>
        <w:rPr>
          <w:rFonts w:ascii="Times New Roman" w:hAnsi="Times New Roman"/>
          <w:b/>
          <w:color w:val="000000"/>
          <w:sz w:val="22"/>
          <w:u w:val="single"/>
        </w:rPr>
        <w:t>SCHEDULES</w:t>
      </w:r>
    </w:p>
    <w:p>
      <w:pPr>
        <w:pStyle w:val="TextBody"/>
        <w:bidi w:val="0"/>
        <w:jc w:val="both"/>
        <w:rPr>
          <w:rFonts w:ascii="Times New Roman" w:hAnsi="Times New Roman"/>
          <w:color w:val="000000"/>
          <w:sz w:val="22"/>
        </w:rPr>
      </w:pPr>
      <w:r>
        <w:rPr>
          <w:rFonts w:ascii="Times New Roman" w:hAnsi="Times New Roman"/>
          <w:color w:val="000000"/>
          <w:sz w:val="22"/>
        </w:rPr>
        <w:t>Schedule 1.1(a) TAK-228 Structure</w:t>
      </w:r>
    </w:p>
    <w:p>
      <w:pPr>
        <w:pStyle w:val="TextBody"/>
        <w:bidi w:val="0"/>
        <w:jc w:val="both"/>
        <w:rPr>
          <w:rFonts w:ascii="Times New Roman" w:hAnsi="Times New Roman"/>
          <w:color w:val="000000"/>
          <w:sz w:val="22"/>
        </w:rPr>
      </w:pPr>
      <w:r>
        <w:rPr>
          <w:rFonts w:ascii="Times New Roman" w:hAnsi="Times New Roman"/>
          <w:color w:val="000000"/>
          <w:sz w:val="22"/>
        </w:rPr>
        <w:t>Schedule 1.1(b) [***] Structure</w:t>
      </w:r>
    </w:p>
    <w:p>
      <w:pPr>
        <w:pStyle w:val="TextBody"/>
        <w:bidi w:val="0"/>
        <w:jc w:val="both"/>
        <w:rPr>
          <w:rFonts w:ascii="Times New Roman" w:hAnsi="Times New Roman"/>
          <w:color w:val="000000"/>
          <w:sz w:val="22"/>
        </w:rPr>
      </w:pPr>
      <w:r>
        <w:rPr>
          <w:rFonts w:ascii="Times New Roman" w:hAnsi="Times New Roman"/>
          <w:color w:val="000000"/>
          <w:sz w:val="22"/>
        </w:rPr>
        <w:t>Schedule 1.1(c) Materials</w:t>
      </w:r>
    </w:p>
    <w:p>
      <w:pPr>
        <w:pStyle w:val="TextBody"/>
        <w:bidi w:val="0"/>
        <w:jc w:val="both"/>
        <w:rPr>
          <w:rFonts w:ascii="Times New Roman" w:hAnsi="Times New Roman"/>
          <w:color w:val="000000"/>
          <w:sz w:val="22"/>
        </w:rPr>
      </w:pPr>
      <w:r>
        <w:rPr>
          <w:rFonts w:ascii="Times New Roman" w:hAnsi="Times New Roman"/>
          <w:color w:val="000000"/>
          <w:sz w:val="22"/>
        </w:rPr>
        <w:t>Schedule 1.1(d) Regulatory Materials</w:t>
      </w:r>
    </w:p>
    <w:p>
      <w:pPr>
        <w:pStyle w:val="TextBody"/>
        <w:bidi w:val="0"/>
        <w:jc w:val="both"/>
        <w:rPr>
          <w:rFonts w:ascii="Times New Roman" w:hAnsi="Times New Roman"/>
          <w:color w:val="000000"/>
          <w:sz w:val="22"/>
        </w:rPr>
      </w:pPr>
      <w:r>
        <w:rPr>
          <w:rFonts w:ascii="Times New Roman" w:hAnsi="Times New Roman"/>
          <w:color w:val="000000"/>
          <w:sz w:val="22"/>
        </w:rPr>
        <w:t>Schedule 1.1(e) Existing Inventory Transferred/Assigned</w:t>
      </w:r>
    </w:p>
    <w:p>
      <w:pPr>
        <w:pStyle w:val="TextBody"/>
        <w:bidi w:val="0"/>
        <w:jc w:val="both"/>
        <w:rPr>
          <w:rFonts w:ascii="Times New Roman" w:hAnsi="Times New Roman"/>
          <w:color w:val="000000"/>
          <w:sz w:val="22"/>
        </w:rPr>
      </w:pPr>
      <w:r>
        <w:rPr>
          <w:rFonts w:ascii="Times New Roman" w:hAnsi="Times New Roman"/>
          <w:color w:val="000000"/>
          <w:sz w:val="22"/>
        </w:rPr>
        <w:t>Schedule 1.1(f) Assigned Agreements</w:t>
      </w:r>
    </w:p>
    <w:p>
      <w:pPr>
        <w:pStyle w:val="TextBody"/>
        <w:bidi w:val="0"/>
        <w:jc w:val="both"/>
        <w:rPr>
          <w:rFonts w:ascii="Times New Roman" w:hAnsi="Times New Roman"/>
          <w:color w:val="000000"/>
          <w:sz w:val="22"/>
        </w:rPr>
      </w:pPr>
      <w:r>
        <w:rPr>
          <w:rFonts w:ascii="Times New Roman" w:hAnsi="Times New Roman"/>
          <w:color w:val="000000"/>
          <w:sz w:val="22"/>
        </w:rPr>
        <w:t>Schedule 1.1(g) Assigned Know-How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jc w:val="both"/>
        <w:rPr>
          <w:rFonts w:ascii="Times New Roman" w:hAnsi="Times New Roman"/>
          <w:color w:val="000000"/>
          <w:sz w:val="22"/>
        </w:rPr>
      </w:pPr>
      <w:r>
        <w:rPr>
          <w:rFonts w:ascii="Times New Roman" w:hAnsi="Times New Roman"/>
          <w:color w:val="000000"/>
          <w:sz w:val="22"/>
        </w:rPr>
        <w:t>Schedule 1.1(h) – Part 1 Assigned Patent Rights</w:t>
      </w:r>
    </w:p>
    <w:p>
      <w:pPr>
        <w:pStyle w:val="TextBody"/>
        <w:bidi w:val="0"/>
        <w:jc w:val="both"/>
        <w:rPr>
          <w:rFonts w:ascii="Times New Roman" w:hAnsi="Times New Roman"/>
          <w:color w:val="000000"/>
          <w:sz w:val="22"/>
        </w:rPr>
      </w:pPr>
      <w:r>
        <w:rPr>
          <w:rFonts w:ascii="Times New Roman" w:hAnsi="Times New Roman"/>
          <w:color w:val="000000"/>
          <w:sz w:val="22"/>
        </w:rPr>
        <w:t>Schedule 1.1(h) – Part 2 In-Licensed Patent Rights</w:t>
      </w:r>
    </w:p>
    <w:p>
      <w:pPr>
        <w:pStyle w:val="TextBody"/>
        <w:bidi w:val="0"/>
        <w:jc w:val="both"/>
        <w:rPr>
          <w:rFonts w:ascii="Times New Roman" w:hAnsi="Times New Roman"/>
          <w:color w:val="000000"/>
          <w:sz w:val="22"/>
        </w:rPr>
      </w:pPr>
      <w:r>
        <w:rPr>
          <w:rFonts w:ascii="Times New Roman" w:hAnsi="Times New Roman"/>
          <w:color w:val="000000"/>
          <w:sz w:val="22"/>
        </w:rPr>
        <w:t>Schedule 1.1(i) Development Plan</w:t>
      </w:r>
    </w:p>
    <w:p>
      <w:pPr>
        <w:pStyle w:val="TextBody"/>
        <w:bidi w:val="0"/>
        <w:jc w:val="both"/>
        <w:rPr>
          <w:rFonts w:ascii="Times New Roman" w:hAnsi="Times New Roman"/>
          <w:color w:val="000000"/>
          <w:sz w:val="22"/>
        </w:rPr>
      </w:pPr>
      <w:r>
        <w:rPr>
          <w:rFonts w:ascii="Times New Roman" w:hAnsi="Times New Roman"/>
          <w:color w:val="000000"/>
          <w:sz w:val="22"/>
        </w:rPr>
        <w:t>Schedule 2.3 Acquired Assets</w:t>
      </w:r>
    </w:p>
    <w:p>
      <w:pPr>
        <w:pStyle w:val="TextBody"/>
        <w:bidi w:val="0"/>
        <w:jc w:val="both"/>
        <w:rPr>
          <w:rFonts w:ascii="Times New Roman" w:hAnsi="Times New Roman"/>
          <w:color w:val="000000"/>
          <w:sz w:val="22"/>
        </w:rPr>
      </w:pPr>
      <w:r>
        <w:rPr>
          <w:rFonts w:ascii="Times New Roman" w:hAnsi="Times New Roman"/>
          <w:color w:val="000000"/>
          <w:sz w:val="22"/>
        </w:rPr>
        <w:t>Schedule 2.4 Select list of Excluded Assets</w:t>
      </w:r>
    </w:p>
    <w:p>
      <w:pPr>
        <w:pStyle w:val="TextBody"/>
        <w:bidi w:val="0"/>
        <w:jc w:val="both"/>
        <w:rPr>
          <w:rFonts w:ascii="Times New Roman" w:hAnsi="Times New Roman"/>
          <w:color w:val="000000"/>
          <w:sz w:val="22"/>
        </w:rPr>
      </w:pPr>
      <w:r>
        <w:rPr>
          <w:rFonts w:ascii="Times New Roman" w:hAnsi="Times New Roman"/>
          <w:color w:val="000000"/>
          <w:sz w:val="22"/>
        </w:rPr>
        <w:t>Schedule 2.6 Licensed Intellectual Property</w:t>
      </w:r>
    </w:p>
    <w:p>
      <w:pPr>
        <w:pStyle w:val="TextBody"/>
        <w:bidi w:val="0"/>
        <w:jc w:val="both"/>
        <w:rPr>
          <w:rFonts w:ascii="Times New Roman" w:hAnsi="Times New Roman"/>
          <w:color w:val="000000"/>
          <w:sz w:val="22"/>
        </w:rPr>
      </w:pPr>
      <w:r>
        <w:rPr>
          <w:rFonts w:ascii="Times New Roman" w:hAnsi="Times New Roman"/>
          <w:color w:val="000000"/>
          <w:sz w:val="22"/>
        </w:rPr>
        <w:t>Schedule 3.6 Related Agreements</w:t>
      </w:r>
    </w:p>
    <w:p>
      <w:pPr>
        <w:pStyle w:val="TextBody"/>
        <w:bidi w:val="0"/>
        <w:jc w:val="both"/>
        <w:rPr>
          <w:rFonts w:ascii="Times New Roman" w:hAnsi="Times New Roman"/>
          <w:color w:val="000000"/>
          <w:sz w:val="22"/>
        </w:rPr>
      </w:pPr>
      <w:r>
        <w:rPr>
          <w:rFonts w:ascii="Times New Roman" w:hAnsi="Times New Roman"/>
          <w:color w:val="000000"/>
          <w:sz w:val="22"/>
        </w:rPr>
        <w:t>Schedule 3.9 Delayed Assigned Contracts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Schedule 5.9 Seller’s Bank Account</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EXHIBITS</w:t>
      </w:r>
    </w:p>
    <w:p>
      <w:pPr>
        <w:pStyle w:val="TextBody"/>
        <w:bidi w:val="0"/>
        <w:jc w:val="both"/>
        <w:rPr>
          <w:rFonts w:ascii="Times New Roman" w:hAnsi="Times New Roman"/>
          <w:color w:val="000000"/>
          <w:sz w:val="22"/>
        </w:rPr>
      </w:pPr>
      <w:r>
        <w:rPr>
          <w:rFonts w:ascii="Times New Roman" w:hAnsi="Times New Roman"/>
          <w:color w:val="000000"/>
          <w:sz w:val="22"/>
        </w:rPr>
        <w:t>Exhibit A Bill of Sale</w:t>
      </w:r>
    </w:p>
    <w:p>
      <w:pPr>
        <w:pStyle w:val="TextBody"/>
        <w:bidi w:val="0"/>
        <w:jc w:val="both"/>
        <w:rPr>
          <w:rFonts w:ascii="Times New Roman" w:hAnsi="Times New Roman"/>
          <w:color w:val="000000"/>
          <w:sz w:val="22"/>
        </w:rPr>
      </w:pPr>
      <w:r>
        <w:rPr>
          <w:rFonts w:ascii="Times New Roman" w:hAnsi="Times New Roman"/>
          <w:color w:val="000000"/>
          <w:sz w:val="22"/>
        </w:rPr>
        <w:t>Exhibit B Patent Assignment Agreement</w:t>
      </w:r>
    </w:p>
    <w:p>
      <w:pPr>
        <w:pStyle w:val="TextBody"/>
        <w:bidi w:val="0"/>
        <w:jc w:val="both"/>
        <w:rPr>
          <w:rFonts w:ascii="Times New Roman" w:hAnsi="Times New Roman"/>
          <w:color w:val="000000"/>
          <w:sz w:val="22"/>
        </w:rPr>
      </w:pPr>
      <w:r>
        <w:rPr>
          <w:rFonts w:ascii="Times New Roman" w:hAnsi="Times New Roman"/>
          <w:color w:val="000000"/>
          <w:sz w:val="22"/>
        </w:rPr>
        <w:t>Exhibit C Press Release</w:t>
      </w:r>
    </w:p>
    <w:p>
      <w:pPr>
        <w:pStyle w:val="TextBody"/>
        <w:bidi w:val="0"/>
        <w:jc w:val="both"/>
        <w:rPr>
          <w:rFonts w:ascii="Times New Roman" w:hAnsi="Times New Roman"/>
          <w:color w:val="000000"/>
          <w:sz w:val="22"/>
        </w:rPr>
      </w:pPr>
      <w:r>
        <w:rPr>
          <w:rFonts w:ascii="Times New Roman" w:hAnsi="Times New Roman"/>
          <w:color w:val="000000"/>
          <w:sz w:val="22"/>
        </w:rPr>
        <w:t>Exhibit D Disclosure Schedules</w:t>
      </w:r>
    </w:p>
    <w:p>
      <w:pPr>
        <w:pStyle w:val="TextBody"/>
        <w:bidi w:val="0"/>
        <w:jc w:val="both"/>
        <w:rPr>
          <w:rFonts w:ascii="Times New Roman" w:hAnsi="Times New Roman"/>
          <w:color w:val="000000"/>
          <w:sz w:val="22"/>
        </w:rPr>
      </w:pPr>
      <w:r>
        <w:rPr>
          <w:rFonts w:ascii="Times New Roman" w:hAnsi="Times New Roman"/>
          <w:color w:val="000000"/>
          <w:sz w:val="22"/>
        </w:rPr>
        <w:t>Exhibit E Memorandum of Understanding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jc w:val="left"/>
        <w:rPr/>
      </w:pPr>
      <w:r>
        <w:rPr/>
        <w:t> </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AMENDED AND RESTATED ASSET PURCHASE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This Amended and Restated Asset Purchase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and entered into as of May 15, 2023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between Millennium Pharmaceuticals, Inc., a Delaware corporation (“</w:t>
      </w:r>
      <w:r>
        <w:rPr>
          <w:rFonts w:ascii="Times New Roman" w:hAnsi="Times New Roman"/>
          <w:b/>
          <w:color w:val="000000"/>
          <w:sz w:val="22"/>
        </w:rPr>
        <w:t>Seller</w:t>
      </w:r>
      <w:r>
        <w:rPr>
          <w:rFonts w:ascii="Times New Roman" w:hAnsi="Times New Roman"/>
          <w:color w:val="000000"/>
          <w:sz w:val="20"/>
        </w:rPr>
        <w:t>”</w:t>
      </w:r>
      <w:r>
        <w:rPr>
          <w:rFonts w:ascii="Times New Roman" w:hAnsi="Times New Roman"/>
          <w:color w:val="000000"/>
          <w:sz w:val="22"/>
        </w:rPr>
        <w:t>), and Calithera Biosciences, Inc., a Delaware corporation (“</w:t>
      </w:r>
      <w:r>
        <w:rPr>
          <w:rFonts w:ascii="Times New Roman" w:hAnsi="Times New Roman"/>
          <w:b/>
          <w:color w:val="000000"/>
          <w:sz w:val="22"/>
        </w:rPr>
        <w:t>Buyer</w:t>
      </w:r>
      <w:r>
        <w:rPr>
          <w:rFonts w:ascii="Times New Roman" w:hAnsi="Times New Roman"/>
          <w:color w:val="000000"/>
          <w:sz w:val="20"/>
        </w:rPr>
        <w:t>”</w:t>
      </w:r>
      <w:r>
        <w:rPr>
          <w:rFonts w:ascii="Times New Roman" w:hAnsi="Times New Roman"/>
          <w:color w:val="000000"/>
          <w:sz w:val="22"/>
        </w:rPr>
        <w:t>). Buyer and Seller are sometimes referred to herein individually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and collectively as the “</w:t>
      </w:r>
      <w:r>
        <w:rPr>
          <w:rFonts w:ascii="Times New Roman" w:hAnsi="Times New Roman"/>
          <w:b/>
          <w:color w:val="000000"/>
          <w:sz w:val="22"/>
        </w:rPr>
        <w:t>Parties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Seller and Buyer are parties to that certain Asset Purchase Agreement, dated October 18, 2021 (the “</w:t>
      </w:r>
      <w:r>
        <w:rPr>
          <w:rFonts w:ascii="Times New Roman" w:hAnsi="Times New Roman"/>
          <w:b/>
          <w:color w:val="000000"/>
          <w:sz w:val="22"/>
        </w:rPr>
        <w:t>Original Effective Date</w:t>
      </w:r>
      <w:r>
        <w:rPr>
          <w:rFonts w:ascii="Times New Roman" w:hAnsi="Times New Roman"/>
          <w:color w:val="000000"/>
          <w:sz w:val="20"/>
        </w:rPr>
        <w:t>”</w:t>
      </w:r>
      <w:r>
        <w:rPr>
          <w:rFonts w:ascii="Times New Roman" w:hAnsi="Times New Roman"/>
          <w:color w:val="000000"/>
          <w:sz w:val="22"/>
        </w:rPr>
        <w:t>), amended May 23, 2022, May 31, 2022 (twice on such date under separate amending documents), and November 28, 2022 (as amended, the “</w:t>
      </w:r>
      <w:r>
        <w:rPr>
          <w:rFonts w:ascii="Times New Roman" w:hAnsi="Times New Roman"/>
          <w:b/>
          <w:color w:val="000000"/>
          <w:sz w:val="22"/>
        </w:rPr>
        <w:t>Original Agreement</w:t>
      </w:r>
      <w:r>
        <w:rPr>
          <w:rFonts w:ascii="Times New Roman" w:hAnsi="Times New Roman"/>
          <w:color w:val="000000"/>
          <w:sz w:val="20"/>
        </w:rPr>
        <w:t>”</w:t>
      </w:r>
      <w:r>
        <w:rPr>
          <w:rFonts w:ascii="Times New Roman" w:hAnsi="Times New Roman"/>
          <w:color w:val="000000"/>
          <w:sz w:val="22"/>
        </w:rPr>
        <w:t>), under which Seller sold and/or licensed to Buyer, and Buyer purchased and/or licensed from Seller, (a) certain assets of Seller used in or relating to Seller’s small molecule program internally coded by Seller as TAK-659, and (b) certain assets of Seller used in or relating to Seller’s small molecule programs internally coded by Seller as TAK-228;</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Buyer wishes to be able to assign and transfer its rights and obligations under the Original Agreement with respect to the TAK-659 program separately from its rights and obligations under the Original Agreement with respect to the TAK-228 program; and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desire to replace the Original Agreement with two separate agreements by (a) entering into an amended and restated agreement containing the terms of the Original Agreement that pertain only to TAK-659 Products, and (b) entering into this Agreement, which amends and restates the Original Agreement in its entirety to remove all provisions relating to TAK-659 Products so that it pertains only to TAK-228 Products.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premises and the mutual covenants, representations and warranties herein contained, and for other good and valuable consideration, the receipt and sufficiency of which are hereby mutually acknowledged, the Parties hereby agree as follows:</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1</w:t>
      </w:r>
      <w:r>
        <w:rPr>
          <w:rFonts w:ascii="Times New Roman" w:hAnsi="Times New Roman"/>
          <w:color w:val="000000"/>
          <w:sz w:val="22"/>
        </w:rPr>
        <w:br/>
        <w:br/>
      </w:r>
      <w:r>
        <w:rPr>
          <w:rFonts w:ascii="Times New Roman" w:hAnsi="Times New Roman"/>
          <w:b/>
          <w:color w:val="000000"/>
          <w:sz w:val="22"/>
        </w:rPr>
        <w:t>DEFINITIONS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1.1 Defined Terms.</w:t>
      </w:r>
      <w:r>
        <w:rPr>
          <w:rFonts w:ascii="Times New Roman" w:hAnsi="Times New Roman"/>
          <w:color w:val="000000"/>
          <w:sz w:val="20"/>
        </w:rPr>
        <w:t xml:space="preserve"> </w:t>
      </w:r>
      <w:r>
        <w:rPr>
          <w:rFonts w:ascii="Times New Roman" w:hAnsi="Times New Roman"/>
          <w:color w:val="000000"/>
          <w:sz w:val="22"/>
        </w:rPr>
        <w:t>As used in this Agreement, the following defined terms shall have the meanings specified below:</w:t>
      </w:r>
    </w:p>
    <w:p>
      <w:pPr>
        <w:pStyle w:val="TextBody"/>
        <w:bidi w:val="0"/>
        <w:spacing w:before="0" w:after="240"/>
        <w:ind w:left="0" w:right="0" w:firstLine="1440"/>
        <w:jc w:val="both"/>
        <w:rPr/>
      </w:pPr>
      <w:r>
        <w:rPr>
          <w:color w:val="000000"/>
        </w:rPr>
        <w:t>“</w:t>
      </w:r>
      <w:r>
        <w:rPr>
          <w:rFonts w:ascii="Times New Roman" w:hAnsi="Times New Roman"/>
          <w:b/>
          <w:color w:val="000000"/>
          <w:sz w:val="22"/>
        </w:rPr>
        <w:t>Additional Active</w:t>
      </w:r>
      <w:r>
        <w:rPr>
          <w:rFonts w:ascii="Times New Roman" w:hAnsi="Times New Roman"/>
          <w:color w:val="000000"/>
          <w:sz w:val="20"/>
        </w:rPr>
        <w:t xml:space="preserve">” </w:t>
      </w:r>
      <w:r>
        <w:rPr>
          <w:rFonts w:ascii="Times New Roman" w:hAnsi="Times New Roman"/>
          <w:color w:val="000000"/>
          <w:sz w:val="22"/>
        </w:rPr>
        <w:t>means one (1) or more active pharmaceutical or biological ingredients for which no earn-out payments would be due hereunder if such ingredient(s) were sold separately from a Product.</w:t>
      </w:r>
    </w:p>
    <w:p>
      <w:pPr>
        <w:pStyle w:val="TextBody"/>
        <w:bidi w:val="0"/>
        <w:spacing w:before="0" w:after="240"/>
        <w:ind w:left="0" w:right="0" w:firstLine="1440"/>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means, with respect to any Person, any other Person that controls, is controlled by or is under common control with such Person, for as long as such control exists. For purposes of this definition, “control” means the direct or indirect ownership of more than fifty percent (50%) of the voting or economic interest of a Person, or the power, whether pursuant to contract, ownership of securities or otherwise, to direct the management and policies of a Person. For clarity, once a Person ceases to be an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Affiliate of a Party, then, without any further action, such Person shall no longer be considered an Affiliate of such Party for purposes of this Agreement.</w:t>
      </w:r>
    </w:p>
    <w:p>
      <w:pPr>
        <w:pStyle w:val="TextBody"/>
        <w:bidi w:val="0"/>
        <w:spacing w:before="0" w:after="240"/>
        <w:ind w:left="0" w:right="0" w:firstLine="1440"/>
        <w:jc w:val="both"/>
        <w:rPr/>
      </w:pPr>
      <w:r>
        <w:rPr>
          <w:color w:val="000000"/>
        </w:rPr>
        <w:t>“</w:t>
      </w:r>
      <w:r>
        <w:rPr>
          <w:rFonts w:ascii="Times New Roman" w:hAnsi="Times New Roman"/>
          <w:b/>
          <w:color w:val="000000"/>
          <w:sz w:val="22"/>
        </w:rPr>
        <w:t>Ancillary Agreements</w:t>
      </w:r>
      <w:r>
        <w:rPr>
          <w:rFonts w:ascii="Times New Roman" w:hAnsi="Times New Roman"/>
          <w:color w:val="000000"/>
          <w:sz w:val="20"/>
        </w:rPr>
        <w:t xml:space="preserve">” </w:t>
      </w:r>
      <w:r>
        <w:rPr>
          <w:rFonts w:ascii="Times New Roman" w:hAnsi="Times New Roman"/>
          <w:color w:val="000000"/>
          <w:sz w:val="22"/>
        </w:rPr>
        <w:t>means, collectively, the Bill of Sale, the Patent Assignment Agreement, the Equity Agreement and such other agreements as may be executed in connection with the transactions contemplated by this Agreement.</w:t>
      </w:r>
    </w:p>
    <w:p>
      <w:pPr>
        <w:pStyle w:val="TextBody"/>
        <w:bidi w:val="0"/>
        <w:spacing w:before="0" w:after="240"/>
        <w:ind w:left="0" w:right="0" w:firstLine="1440"/>
        <w:jc w:val="both"/>
        <w:rPr/>
      </w:pPr>
      <w:r>
        <w:rPr>
          <w:color w:val="000000"/>
        </w:rPr>
        <w:t>“</w:t>
      </w:r>
      <w:r>
        <w:rPr>
          <w:rFonts w:ascii="Times New Roman" w:hAnsi="Times New Roman"/>
          <w:b/>
          <w:color w:val="000000"/>
          <w:sz w:val="22"/>
        </w:rPr>
        <w:t>Annual Net Sales</w:t>
      </w:r>
      <w:r>
        <w:rPr>
          <w:rFonts w:ascii="Times New Roman" w:hAnsi="Times New Roman"/>
          <w:color w:val="000000"/>
          <w:sz w:val="20"/>
        </w:rPr>
        <w:t xml:space="preserve">” </w:t>
      </w:r>
      <w:r>
        <w:rPr>
          <w:rFonts w:ascii="Times New Roman" w:hAnsi="Times New Roman"/>
          <w:color w:val="000000"/>
          <w:sz w:val="22"/>
        </w:rPr>
        <w:t>means, with respect to a Product, the cumulative worldwide Net Sales of such Product in any Calendar Year.</w:t>
      </w:r>
    </w:p>
    <w:p>
      <w:pPr>
        <w:pStyle w:val="TextBody"/>
        <w:bidi w:val="0"/>
        <w:spacing w:before="0" w:after="240"/>
        <w:ind w:left="0" w:right="0" w:firstLine="1440"/>
        <w:jc w:val="both"/>
        <w:rPr/>
      </w:pPr>
      <w:r>
        <w:rPr>
          <w:color w:val="000000"/>
        </w:rPr>
        <w:t>“</w:t>
      </w:r>
      <w:r>
        <w:rPr>
          <w:rFonts w:ascii="Times New Roman" w:hAnsi="Times New Roman"/>
          <w:b/>
          <w:color w:val="000000"/>
          <w:sz w:val="22"/>
        </w:rPr>
        <w:t>Assigned Agreements</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3.9</w:t>
      </w:r>
      <w:r>
        <w:rPr>
          <w:rFonts w:ascii="Times New Roman" w:hAnsi="Times New Roman"/>
          <w:color w:val="000000"/>
          <w:sz w:val="22"/>
        </w:rPr>
        <w:t xml:space="preserve">, the agreements set forth on </w:t>
      </w:r>
      <w:r>
        <w:rPr>
          <w:rFonts w:ascii="Times New Roman" w:hAnsi="Times New Roman"/>
          <w:color w:val="000000"/>
          <w:sz w:val="22"/>
          <w:u w:val="single"/>
        </w:rPr>
        <w:t>Schedule 1.1(f)</w:t>
      </w:r>
      <w:r>
        <w:rPr>
          <w:rFonts w:ascii="Times New Roman" w:hAnsi="Times New Roman"/>
          <w:color w:val="000000"/>
          <w:sz w:val="22"/>
        </w:rPr>
        <w:t>.</w:t>
      </w:r>
    </w:p>
    <w:p>
      <w:pPr>
        <w:pStyle w:val="TextBody"/>
        <w:bidi w:val="0"/>
        <w:spacing w:before="0" w:after="240"/>
        <w:ind w:left="0" w:right="0" w:firstLine="1440"/>
        <w:jc w:val="both"/>
        <w:rPr/>
      </w:pPr>
      <w:r>
        <w:rPr>
          <w:color w:val="000000"/>
        </w:rPr>
        <w:t>“</w:t>
      </w:r>
      <w:r>
        <w:rPr>
          <w:rFonts w:ascii="Times New Roman" w:hAnsi="Times New Roman"/>
          <w:b/>
          <w:color w:val="000000"/>
          <w:sz w:val="22"/>
        </w:rPr>
        <w:t>Assigned Intellectual Property</w:t>
      </w:r>
      <w:r>
        <w:rPr>
          <w:rFonts w:ascii="Times New Roman" w:hAnsi="Times New Roman"/>
          <w:color w:val="000000"/>
          <w:sz w:val="20"/>
        </w:rPr>
        <w:t xml:space="preserve">” </w:t>
      </w:r>
      <w:r>
        <w:rPr>
          <w:rFonts w:ascii="Times New Roman" w:hAnsi="Times New Roman"/>
          <w:color w:val="000000"/>
          <w:sz w:val="22"/>
        </w:rPr>
        <w:t>means the Assigned Patent Rights and the Assigned Know-How, including Seller’s interest in Transaction IP that is solely related to the Program.</w:t>
      </w:r>
    </w:p>
    <w:p>
      <w:pPr>
        <w:pStyle w:val="TextBody"/>
        <w:bidi w:val="0"/>
        <w:spacing w:before="0" w:after="240"/>
        <w:ind w:left="0" w:right="0" w:firstLine="1440"/>
        <w:jc w:val="both"/>
        <w:rPr/>
      </w:pPr>
      <w:r>
        <w:rPr>
          <w:color w:val="000000"/>
        </w:rPr>
        <w:t>“</w:t>
      </w:r>
      <w:r>
        <w:rPr>
          <w:rFonts w:ascii="Times New Roman" w:hAnsi="Times New Roman"/>
          <w:b/>
          <w:color w:val="000000"/>
          <w:sz w:val="22"/>
        </w:rPr>
        <w:t>Assigned Know-How</w:t>
      </w:r>
      <w:r>
        <w:rPr>
          <w:rFonts w:ascii="Times New Roman" w:hAnsi="Times New Roman"/>
          <w:color w:val="000000"/>
          <w:sz w:val="20"/>
        </w:rPr>
        <w:t xml:space="preserve">” </w:t>
      </w:r>
      <w:r>
        <w:rPr>
          <w:rFonts w:ascii="Times New Roman" w:hAnsi="Times New Roman"/>
          <w:color w:val="000000"/>
          <w:sz w:val="22"/>
        </w:rPr>
        <w:t xml:space="preserve">means Know-How that is: (a) owned by Seller or any of its Affiliates (i) as of the Closing Date or (ii) on or after the Closing Date and (A) included in the Transaction IP or (B) owned pursuant to a Non-Assignable Contract or Related Agreement, in each case (A) and (B) pursuant to </w:t>
      </w:r>
      <w:r>
        <w:rPr>
          <w:rFonts w:ascii="Times New Roman" w:hAnsi="Times New Roman"/>
          <w:color w:val="000000"/>
          <w:sz w:val="22"/>
          <w:u w:val="single"/>
        </w:rPr>
        <w:t>Section 4.3</w:t>
      </w:r>
      <w:r>
        <w:rPr>
          <w:rFonts w:ascii="Times New Roman" w:hAnsi="Times New Roman"/>
          <w:color w:val="000000"/>
          <w:sz w:val="22"/>
        </w:rPr>
        <w:t xml:space="preserve">, (b) necessary to research and develop, make, have made, use, sell, offer for sale, and import any Product in the Field in the Territory, and (c) solely related to the Program, as applicable. The Assigned Know-How as of the Closing Date is set forth on </w:t>
      </w:r>
      <w:r>
        <w:rPr>
          <w:rFonts w:ascii="Times New Roman" w:hAnsi="Times New Roman"/>
          <w:color w:val="000000"/>
          <w:sz w:val="22"/>
          <w:u w:val="single"/>
        </w:rPr>
        <w:t>Schedule 1.1(g)</w:t>
      </w:r>
      <w:r>
        <w:rPr>
          <w:rFonts w:ascii="Times New Roman" w:hAnsi="Times New Roman"/>
          <w:color w:val="000000"/>
          <w:sz w:val="22"/>
        </w:rPr>
        <w:t>. For clarity, Know-How relating to a Program Molecule in combination with a Takeda Compound is explicitly excluded from Assigned Know-How.</w:t>
      </w:r>
    </w:p>
    <w:p>
      <w:pPr>
        <w:pStyle w:val="TextBody"/>
        <w:bidi w:val="0"/>
        <w:spacing w:before="0" w:after="240"/>
        <w:ind w:left="0" w:right="0" w:firstLine="1440"/>
        <w:jc w:val="both"/>
        <w:rPr/>
      </w:pPr>
      <w:r>
        <w:rPr>
          <w:color w:val="000000"/>
        </w:rPr>
        <w:t>“</w:t>
      </w:r>
      <w:r>
        <w:rPr>
          <w:rFonts w:ascii="Times New Roman" w:hAnsi="Times New Roman"/>
          <w:b/>
          <w:color w:val="000000"/>
          <w:sz w:val="22"/>
        </w:rPr>
        <w:t>Assigned Patent Rights</w:t>
      </w:r>
      <w:r>
        <w:rPr>
          <w:rFonts w:ascii="Times New Roman" w:hAnsi="Times New Roman"/>
          <w:color w:val="000000"/>
          <w:sz w:val="20"/>
        </w:rPr>
        <w:t xml:space="preserve">” </w:t>
      </w:r>
      <w:r>
        <w:rPr>
          <w:rFonts w:ascii="Times New Roman" w:hAnsi="Times New Roman"/>
          <w:color w:val="000000"/>
          <w:sz w:val="22"/>
        </w:rPr>
        <w:t xml:space="preserve">means (x) Patent Rights that are: (a) owned by Seller or any of its Affiliates (i) as of the Closing Date or (ii) on or after the Closing Date and (A) included in the Transaction IP or (B) owned pursuant to a Non-Assignable Contract or Related Agreement, in each case (A) and (B) pursuant to </w:t>
      </w:r>
      <w:r>
        <w:rPr>
          <w:rFonts w:ascii="Times New Roman" w:hAnsi="Times New Roman"/>
          <w:color w:val="000000"/>
          <w:sz w:val="22"/>
          <w:u w:val="single"/>
        </w:rPr>
        <w:t>Section 4.3</w:t>
      </w:r>
      <w:r>
        <w:rPr>
          <w:rFonts w:ascii="Times New Roman" w:hAnsi="Times New Roman"/>
          <w:color w:val="000000"/>
          <w:sz w:val="22"/>
        </w:rPr>
        <w:t xml:space="preserve">, (b) necessary to research and develop, make, have made, use, sell, offer for sale, and import any Product in the Field in the Territory, and (c) solely related to the Program, as applicable, and (y) Patent Rights that claim priority to the Patent Rights in the preceding clause (x). The Assigned Patent Rights as of the Closing Date are set forth on </w:t>
      </w:r>
      <w:r>
        <w:rPr>
          <w:rFonts w:ascii="Times New Roman" w:hAnsi="Times New Roman"/>
          <w:color w:val="000000"/>
          <w:sz w:val="22"/>
          <w:u w:val="single"/>
        </w:rPr>
        <w:t>Schedule 1.1(h) – Part 1</w:t>
      </w:r>
      <w:r>
        <w:rPr>
          <w:rFonts w:ascii="Times New Roman" w:hAnsi="Times New Roman"/>
          <w:color w:val="000000"/>
          <w:sz w:val="22"/>
        </w:rPr>
        <w:t>. For clarity, Assigned Patent Rights do not include any Patent Rights relating to a Program Molecule in combination with a Takeda Compound.</w:t>
      </w:r>
    </w:p>
    <w:p>
      <w:pPr>
        <w:pStyle w:val="TextBody"/>
        <w:bidi w:val="0"/>
        <w:spacing w:before="0" w:after="240"/>
        <w:ind w:left="0" w:right="0" w:firstLine="1440"/>
        <w:jc w:val="both"/>
        <w:rPr/>
      </w:pPr>
      <w:r>
        <w:rPr>
          <w:color w:val="000000"/>
        </w:rPr>
        <w:t>“</w:t>
      </w:r>
      <w:r>
        <w:rPr>
          <w:rFonts w:ascii="Times New Roman" w:hAnsi="Times New Roman"/>
          <w:b/>
          <w:color w:val="000000"/>
          <w:sz w:val="22"/>
        </w:rPr>
        <w:t>Bill of Sale</w:t>
      </w:r>
      <w:r>
        <w:rPr>
          <w:rFonts w:ascii="Times New Roman" w:hAnsi="Times New Roman"/>
          <w:color w:val="000000"/>
          <w:sz w:val="20"/>
        </w:rPr>
        <w:t xml:space="preserve">” </w:t>
      </w:r>
      <w:r>
        <w:rPr>
          <w:rFonts w:ascii="Times New Roman" w:hAnsi="Times New Roman"/>
          <w:color w:val="000000"/>
          <w:sz w:val="22"/>
        </w:rPr>
        <w:t xml:space="preserve">means the bill of sale that was executed and delivered at Closing, attached hereto as </w:t>
      </w:r>
      <w:r>
        <w:rPr>
          <w:rFonts w:ascii="Times New Roman" w:hAnsi="Times New Roman"/>
          <w:color w:val="000000"/>
          <w:sz w:val="22"/>
          <w:u w:val="single"/>
        </w:rPr>
        <w:t>Exhibit A</w:t>
      </w:r>
      <w:r>
        <w:rPr>
          <w:rFonts w:ascii="Times New Roman" w:hAnsi="Times New Roman"/>
          <w:color w:val="000000"/>
          <w:sz w:val="22"/>
        </w:rPr>
        <w:t>, selling, assigning, transferring, conveying and delivering certain assets, including the Acquired Assets.</w:t>
      </w:r>
    </w:p>
    <w:p>
      <w:pPr>
        <w:pStyle w:val="TextBody"/>
        <w:bidi w:val="0"/>
        <w:spacing w:before="0" w:after="240"/>
        <w:ind w:left="0" w:right="0" w:firstLine="1440"/>
        <w:jc w:val="both"/>
        <w:rPr/>
      </w:pPr>
      <w:r>
        <w:rPr>
          <w:color w:val="000000"/>
        </w:rPr>
        <w:t>“</w:t>
      </w:r>
      <w:r>
        <w:rPr>
          <w:rFonts w:ascii="Times New Roman" w:hAnsi="Times New Roman"/>
          <w:b/>
          <w:color w:val="000000"/>
          <w:sz w:val="22"/>
        </w:rPr>
        <w:t>Business Day</w:t>
      </w:r>
      <w:r>
        <w:rPr>
          <w:rFonts w:ascii="Times New Roman" w:hAnsi="Times New Roman"/>
          <w:color w:val="000000"/>
          <w:sz w:val="20"/>
        </w:rPr>
        <w:t xml:space="preserve">” </w:t>
      </w:r>
      <w:r>
        <w:rPr>
          <w:rFonts w:ascii="Times New Roman" w:hAnsi="Times New Roman"/>
          <w:color w:val="000000"/>
          <w:sz w:val="22"/>
        </w:rPr>
        <w:t>means any day that is not: (a) a Saturday or a Sunday or (b) any day that is a legal holiday under the applicable Laws of the United States or Japan or that is a day on which banking institutions in New York City, New York, or Tokyo, Japan, are authorized or required by applicable Laws or other governmental action to close.</w:t>
      </w:r>
    </w:p>
    <w:p>
      <w:pPr>
        <w:pStyle w:val="TextBody"/>
        <w:bidi w:val="0"/>
        <w:spacing w:before="0" w:after="240"/>
        <w:ind w:left="0" w:right="0" w:firstLine="1440"/>
        <w:jc w:val="both"/>
        <w:rPr/>
      </w:pPr>
      <w:r>
        <w:rPr>
          <w:color w:val="000000"/>
        </w:rPr>
        <w:t>“</w:t>
      </w:r>
      <w:r>
        <w:rPr>
          <w:rFonts w:ascii="Times New Roman" w:hAnsi="Times New Roman"/>
          <w:b/>
          <w:color w:val="000000"/>
          <w:sz w:val="22"/>
        </w:rPr>
        <w:t>Calendar Quarter</w:t>
      </w:r>
      <w:r>
        <w:rPr>
          <w:rFonts w:ascii="Times New Roman" w:hAnsi="Times New Roman"/>
          <w:color w:val="000000"/>
          <w:sz w:val="20"/>
        </w:rPr>
        <w:t xml:space="preserve">” </w:t>
      </w:r>
      <w:r>
        <w:rPr>
          <w:rFonts w:ascii="Times New Roman" w:hAnsi="Times New Roman"/>
          <w:color w:val="000000"/>
          <w:sz w:val="22"/>
        </w:rPr>
        <w:t xml:space="preserve">means the period beginning on the Closing Date and ending on the last day of the calendar quarter in which the Closing Date falls, and thereafter each successive period of three (3) consecutive calendar months ending on March 31, June 30, September 30 and December 31;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that</w:t>
      </w:r>
      <w:r>
        <w:rPr>
          <w:rFonts w:ascii="Times New Roman" w:hAnsi="Times New Roman"/>
          <w:color w:val="000000"/>
          <w:sz w:val="22"/>
        </w:rPr>
        <w:t>, the final Calendar Quarter shall end on the last day of the Term.</w:t>
      </w:r>
    </w:p>
    <w:p>
      <w:pPr>
        <w:pStyle w:val="TextBody"/>
        <w:bidi w:val="0"/>
        <w:spacing w:before="0" w:after="240"/>
        <w:ind w:left="0" w:right="0" w:firstLine="1440"/>
        <w:jc w:val="both"/>
        <w:rPr/>
      </w:pPr>
      <w:r>
        <w:rPr>
          <w:color w:val="000000"/>
        </w:rPr>
        <w:t>“</w:t>
      </w:r>
      <w:r>
        <w:rPr>
          <w:rFonts w:ascii="Times New Roman" w:hAnsi="Times New Roman"/>
          <w:b/>
          <w:color w:val="000000"/>
          <w:sz w:val="22"/>
        </w:rPr>
        <w:t>Calendar Year</w:t>
      </w:r>
      <w:r>
        <w:rPr>
          <w:rFonts w:ascii="Times New Roman" w:hAnsi="Times New Roman"/>
          <w:color w:val="000000"/>
          <w:sz w:val="20"/>
        </w:rPr>
        <w:t xml:space="preserve">” </w:t>
      </w:r>
      <w:r>
        <w:rPr>
          <w:rFonts w:ascii="Times New Roman" w:hAnsi="Times New Roman"/>
          <w:color w:val="000000"/>
          <w:sz w:val="22"/>
        </w:rPr>
        <w:t>means the period beginning on the Closing Date and ending on December 31 of the calendar year in which the Closing Date falls, and thereafter each successive period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twelve (12) months commencing on January 1 and ending on December 31;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that</w:t>
      </w:r>
      <w:r>
        <w:rPr>
          <w:rFonts w:ascii="Times New Roman" w:hAnsi="Times New Roman"/>
          <w:color w:val="000000"/>
          <w:sz w:val="22"/>
        </w:rPr>
        <w:t>, the final Calendar Year shall end on the last day of the Term.</w:t>
      </w:r>
    </w:p>
    <w:p>
      <w:pPr>
        <w:pStyle w:val="TextBody"/>
        <w:bidi w:val="0"/>
        <w:spacing w:before="0" w:after="240"/>
        <w:ind w:left="0" w:right="0" w:firstLine="1440"/>
        <w:jc w:val="both"/>
        <w:rPr/>
      </w:pPr>
      <w:r>
        <w:rPr>
          <w:color w:val="000000"/>
        </w:rPr>
        <w:t>“</w:t>
      </w:r>
      <w:r>
        <w:rPr>
          <w:rFonts w:ascii="Times New Roman" w:hAnsi="Times New Roman"/>
          <w:b/>
          <w:color w:val="000000"/>
          <w:sz w:val="22"/>
        </w:rPr>
        <w:t>CDA</w:t>
      </w:r>
      <w:r>
        <w:rPr>
          <w:rFonts w:ascii="Times New Roman" w:hAnsi="Times New Roman"/>
          <w:color w:val="000000"/>
          <w:sz w:val="20"/>
        </w:rPr>
        <w:t xml:space="preserve">” </w:t>
      </w:r>
      <w:r>
        <w:rPr>
          <w:rFonts w:ascii="Times New Roman" w:hAnsi="Times New Roman"/>
          <w:color w:val="000000"/>
          <w:sz w:val="22"/>
        </w:rPr>
        <w:t>means the Confidential Disclosure Agreement dated as of March 26, 2021 (the “</w:t>
      </w:r>
      <w:r>
        <w:rPr>
          <w:rFonts w:ascii="Times New Roman" w:hAnsi="Times New Roman"/>
          <w:b/>
          <w:color w:val="000000"/>
          <w:sz w:val="22"/>
        </w:rPr>
        <w:t>CDA Effective Date</w:t>
      </w:r>
      <w:r>
        <w:rPr>
          <w:rFonts w:ascii="Times New Roman" w:hAnsi="Times New Roman"/>
          <w:color w:val="000000"/>
          <w:sz w:val="20"/>
        </w:rPr>
        <w:t>”</w:t>
      </w:r>
      <w:r>
        <w:rPr>
          <w:rFonts w:ascii="Times New Roman" w:hAnsi="Times New Roman"/>
          <w:color w:val="000000"/>
          <w:sz w:val="22"/>
        </w:rPr>
        <w:t>) by and between Buyer and Takeda Pharmaceuticals U.S.A., Inc.</w:t>
      </w:r>
    </w:p>
    <w:p>
      <w:pPr>
        <w:pStyle w:val="TextBody"/>
        <w:bidi w:val="0"/>
        <w:spacing w:before="0" w:after="240"/>
        <w:ind w:left="0" w:right="0" w:firstLine="1440"/>
        <w:jc w:val="both"/>
        <w:rPr/>
      </w:pPr>
      <w:r>
        <w:rPr>
          <w:color w:val="000000"/>
        </w:rPr>
        <w:t>“</w:t>
      </w:r>
      <w:r>
        <w:rPr>
          <w:rFonts w:ascii="Times New Roman" w:hAnsi="Times New Roman"/>
          <w:b/>
          <w:color w:val="000000"/>
          <w:sz w:val="22"/>
        </w:rPr>
        <w:t>Change of Control</w:t>
      </w:r>
      <w:r>
        <w:rPr>
          <w:rFonts w:ascii="Times New Roman" w:hAnsi="Times New Roman"/>
          <w:color w:val="000000"/>
          <w:sz w:val="20"/>
        </w:rPr>
        <w:t xml:space="preserve">” </w:t>
      </w:r>
      <w:r>
        <w:rPr>
          <w:rFonts w:ascii="Times New Roman" w:hAnsi="Times New Roman"/>
          <w:color w:val="000000"/>
          <w:sz w:val="22"/>
        </w:rPr>
        <w:t>means any of the following: (a) the acquisition by a Third Party, directly or indirectly, of the beneficial ownership of any voting security of a Party, or increase in the percentage ownership of a Third Party in the voting securities of a Party through stock redemption, cancellation or other recapitalization, where immediately after such acquisition or increase such Third Party is, directly or indirectly, the beneficial owner of voting securities representing more than fifty percent (50%) of the total voting power of all of the then-outstanding voting securities of such Party; (b) the consummation of a merger, consolidation, recapitalization, reorganization, amalgamation, arrangement, share exchange, tender or exchange offer, private purchase, business combination or other transaction of a Party, other than any such transaction which would result in an Affiliate of a Party, immediately prior to such transaction, owning fifty percent (50%) or more of the outstanding securities of the surviving entity (or its parent entity) immediately following such transaction; or (c) the sale or disposition by such Party of all or a substantial portion of such Party’s assets or all or substantially all of such Party’s assets which relate to this Agreement to a Third Party, other than to an Affiliate of such Party.</w:t>
      </w:r>
    </w:p>
    <w:p>
      <w:pPr>
        <w:pStyle w:val="TextBody"/>
        <w:bidi w:val="0"/>
        <w:spacing w:before="0" w:after="240"/>
        <w:ind w:left="0" w:right="0" w:firstLine="1440"/>
        <w:jc w:val="both"/>
        <w:rPr/>
      </w:pPr>
      <w:r>
        <w:rPr>
          <w:color w:val="000000"/>
        </w:rPr>
        <w:t>“</w:t>
      </w:r>
      <w:r>
        <w:rPr>
          <w:rFonts w:ascii="Times New Roman" w:hAnsi="Times New Roman"/>
          <w:b/>
          <w:color w:val="000000"/>
          <w:sz w:val="22"/>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ind w:left="0" w:right="0" w:firstLine="1440"/>
        <w:jc w:val="both"/>
        <w:rPr/>
      </w:pPr>
      <w:r>
        <w:rPr>
          <w:color w:val="000000"/>
        </w:rPr>
        <w:t>“</w:t>
      </w:r>
      <w:r>
        <w:rPr>
          <w:rFonts w:ascii="Times New Roman" w:hAnsi="Times New Roman"/>
          <w:b/>
          <w:color w:val="000000"/>
          <w:sz w:val="22"/>
        </w:rPr>
        <w:t>Combination Product</w:t>
      </w:r>
      <w:r>
        <w:rPr>
          <w:rFonts w:ascii="Times New Roman" w:hAnsi="Times New Roman"/>
          <w:color w:val="000000"/>
          <w:sz w:val="20"/>
        </w:rPr>
        <w:t xml:space="preserve">” </w:t>
      </w:r>
      <w:r>
        <w:rPr>
          <w:rFonts w:ascii="Times New Roman" w:hAnsi="Times New Roman"/>
          <w:color w:val="000000"/>
          <w:sz w:val="22"/>
        </w:rPr>
        <w:t>means any (a) product that includes a Program Molecule and one (1) or more Additional Actives or (b) Product sold with one (1) or more other product(s) containing or comprising one (1) or more Additional Actives for a single invoice price.</w:t>
      </w:r>
    </w:p>
    <w:p>
      <w:pPr>
        <w:pStyle w:val="TextBody"/>
        <w:bidi w:val="0"/>
        <w:spacing w:before="0" w:after="240"/>
        <w:ind w:left="0" w:right="0" w:firstLine="1440"/>
        <w:jc w:val="both"/>
        <w:rPr/>
      </w:pPr>
      <w:r>
        <w:rPr>
          <w:color w:val="000000"/>
        </w:rPr>
        <w:t>“</w:t>
      </w:r>
      <w:r>
        <w:rPr>
          <w:rFonts w:ascii="Times New Roman" w:hAnsi="Times New Roman"/>
          <w:b/>
          <w:color w:val="000000"/>
          <w:sz w:val="22"/>
        </w:rPr>
        <w:t>Commercially Reasonable Efforts</w:t>
      </w:r>
      <w:r>
        <w:rPr>
          <w:rFonts w:ascii="Times New Roman" w:hAnsi="Times New Roman"/>
          <w:color w:val="000000"/>
          <w:sz w:val="20"/>
        </w:rPr>
        <w:t xml:space="preserve">” </w:t>
      </w:r>
      <w:r>
        <w:rPr>
          <w:rFonts w:ascii="Times New Roman" w:hAnsi="Times New Roman"/>
          <w:color w:val="000000"/>
          <w:sz w:val="22"/>
        </w:rPr>
        <w:t>means with respect to development or commercialization activities that Buyer performs pursuant to this Agreement, [***].</w:t>
      </w:r>
    </w:p>
    <w:p>
      <w:pPr>
        <w:pStyle w:val="TextBody"/>
        <w:bidi w:val="0"/>
        <w:spacing w:before="0" w:after="240"/>
        <w:ind w:left="0" w:right="0" w:firstLine="1440"/>
        <w:jc w:val="both"/>
        <w:rPr/>
      </w:pPr>
      <w:r>
        <w:rPr>
          <w:color w:val="000000"/>
        </w:rPr>
        <w:t>“</w:t>
      </w:r>
      <w:r>
        <w:rPr>
          <w:rFonts w:ascii="Times New Roman" w:hAnsi="Times New Roman"/>
          <w:b/>
          <w:color w:val="000000"/>
          <w:sz w:val="22"/>
        </w:rPr>
        <w:t>Contracts</w:t>
      </w:r>
      <w:r>
        <w:rPr>
          <w:rFonts w:ascii="Times New Roman" w:hAnsi="Times New Roman"/>
          <w:color w:val="000000"/>
          <w:sz w:val="20"/>
        </w:rPr>
        <w:t xml:space="preserve">” </w:t>
      </w:r>
      <w:r>
        <w:rPr>
          <w:rFonts w:ascii="Times New Roman" w:hAnsi="Times New Roman"/>
          <w:color w:val="000000"/>
          <w:sz w:val="22"/>
        </w:rPr>
        <w:t>means any and all binding commitments, contracts, purchase orders, licenses, or other agreements, whether written or oral.</w:t>
      </w:r>
    </w:p>
    <w:p>
      <w:pPr>
        <w:pStyle w:val="TextBody"/>
        <w:bidi w:val="0"/>
        <w:spacing w:before="0" w:after="240"/>
        <w:ind w:left="0" w:right="0" w:firstLine="1440"/>
        <w:jc w:val="both"/>
        <w:rPr/>
      </w:pPr>
      <w:r>
        <w:rPr>
          <w:color w:val="000000"/>
        </w:rPr>
        <w:t>“</w:t>
      </w:r>
      <w:r>
        <w:rPr>
          <w:rFonts w:ascii="Times New Roman" w:hAnsi="Times New Roman"/>
          <w:b/>
          <w:color w:val="000000"/>
          <w:sz w:val="22"/>
        </w:rPr>
        <w:t>Control</w:t>
      </w:r>
      <w:r>
        <w:rPr>
          <w:rFonts w:ascii="Times New Roman" w:hAnsi="Times New Roman"/>
          <w:color w:val="000000"/>
          <w:sz w:val="20"/>
        </w:rPr>
        <w:t xml:space="preserve">” </w:t>
      </w:r>
      <w:r>
        <w:rPr>
          <w:rFonts w:ascii="Times New Roman" w:hAnsi="Times New Roman"/>
          <w:color w:val="000000"/>
          <w:sz w:val="22"/>
        </w:rPr>
        <w:t>means, with respect to any Know-How or Patent Rights, the possession by a Party of the right to transfer or grant a license, sublicense or other rights to such Know-How or Patent Rights (before giving effect to the rights granted by one Party to the other Party pursuant to this Agreement), without violating the terms of any agreement or arrangement with any Third Party.</w:t>
      </w:r>
    </w:p>
    <w:p>
      <w:pPr>
        <w:pStyle w:val="TextBody"/>
        <w:bidi w:val="0"/>
        <w:spacing w:before="0" w:after="240"/>
        <w:ind w:left="0" w:right="0" w:firstLine="1440"/>
        <w:jc w:val="both"/>
        <w:rPr/>
      </w:pPr>
      <w:r>
        <w:rPr>
          <w:color w:val="000000"/>
        </w:rPr>
        <w:t>“</w:t>
      </w:r>
      <w:r>
        <w:rPr>
          <w:rFonts w:ascii="Times New Roman" w:hAnsi="Times New Roman"/>
          <w:b/>
          <w:color w:val="000000"/>
          <w:sz w:val="22"/>
        </w:rPr>
        <w:t>Court</w:t>
      </w:r>
      <w:r>
        <w:rPr>
          <w:rFonts w:ascii="Times New Roman" w:hAnsi="Times New Roman"/>
          <w:color w:val="000000"/>
          <w:sz w:val="20"/>
        </w:rPr>
        <w:t xml:space="preserve">” </w:t>
      </w:r>
      <w:r>
        <w:rPr>
          <w:rFonts w:ascii="Times New Roman" w:hAnsi="Times New Roman"/>
          <w:color w:val="000000"/>
          <w:sz w:val="22"/>
        </w:rPr>
        <w:t>means any court or arbitration tribunal of the United States, any domestic state, or any foreign country, and any political subdivision thereof.</w:t>
      </w:r>
    </w:p>
    <w:p>
      <w:pPr>
        <w:pStyle w:val="TextBody"/>
        <w:bidi w:val="0"/>
        <w:spacing w:before="0" w:after="240"/>
        <w:ind w:left="0" w:right="0" w:firstLine="1440"/>
        <w:jc w:val="both"/>
        <w:rPr/>
      </w:pPr>
      <w:r>
        <w:rPr>
          <w:color w:val="000000"/>
        </w:rPr>
        <w:t>“</w:t>
      </w:r>
      <w:r>
        <w:rPr>
          <w:rFonts w:ascii="Times New Roman" w:hAnsi="Times New Roman"/>
          <w:b/>
          <w:color w:val="000000"/>
          <w:sz w:val="22"/>
        </w:rPr>
        <w:t>Development Plan</w:t>
      </w:r>
      <w:r>
        <w:rPr>
          <w:rFonts w:ascii="Times New Roman" w:hAnsi="Times New Roman"/>
          <w:color w:val="000000"/>
          <w:sz w:val="20"/>
        </w:rPr>
        <w:t xml:space="preserve">” </w:t>
      </w:r>
      <w:r>
        <w:rPr>
          <w:rFonts w:ascii="Times New Roman" w:hAnsi="Times New Roman"/>
          <w:color w:val="000000"/>
          <w:sz w:val="22"/>
        </w:rPr>
        <w:t xml:space="preserve">means the plan setting forth the development activities to be undertaken by Buyer. The Development Plan as of the Effective Date is attached hereto as </w:t>
      </w:r>
      <w:r>
        <w:rPr>
          <w:rFonts w:ascii="Times New Roman" w:hAnsi="Times New Roman"/>
          <w:color w:val="000000"/>
          <w:sz w:val="22"/>
          <w:u w:val="single"/>
        </w:rPr>
        <w:t>Schedule 1.1(i)</w:t>
      </w:r>
      <w:r>
        <w:rPr>
          <w:rFonts w:ascii="Times New Roman" w:hAnsi="Times New Roman"/>
          <w:color w:val="000000"/>
          <w:sz w:val="22"/>
        </w:rPr>
        <w:t>.</w:t>
      </w:r>
    </w:p>
    <w:p>
      <w:pPr>
        <w:pStyle w:val="TextBody"/>
        <w:bidi w:val="0"/>
        <w:spacing w:before="0" w:after="240"/>
        <w:ind w:left="0" w:right="0" w:firstLine="1440"/>
        <w:jc w:val="both"/>
        <w:rPr/>
      </w:pPr>
      <w:r>
        <w:rPr>
          <w:color w:val="000000"/>
        </w:rPr>
        <w:t>“</w:t>
      </w:r>
      <w:r>
        <w:rPr>
          <w:rFonts w:ascii="Times New Roman" w:hAnsi="Times New Roman"/>
          <w:b/>
          <w:color w:val="000000"/>
          <w:sz w:val="22"/>
        </w:rPr>
        <w:t>Distributor</w:t>
      </w:r>
      <w:r>
        <w:rPr>
          <w:rFonts w:ascii="Times New Roman" w:hAnsi="Times New Roman"/>
          <w:color w:val="000000"/>
          <w:sz w:val="20"/>
        </w:rPr>
        <w:t xml:space="preserve">” </w:t>
      </w:r>
      <w:r>
        <w:rPr>
          <w:rFonts w:ascii="Times New Roman" w:hAnsi="Times New Roman"/>
          <w:color w:val="000000"/>
          <w:sz w:val="22"/>
        </w:rPr>
        <w:t>means any Third Party which purchases its requirements for a Product in a country from Buyer or its Affiliates or Licensees and is appointed as a distributor to distribute, market and resell such Product in such country, even if such Third Party is granted ancillary rights to develop, package or obtain Regulatory Approvals of such Product in order to distribute, market or sell such Product in such country.</w:t>
      </w:r>
    </w:p>
    <w:p>
      <w:pPr>
        <w:pStyle w:val="TextBody"/>
        <w:bidi w:val="0"/>
        <w:spacing w:before="0" w:after="240"/>
        <w:ind w:left="0" w:right="0" w:firstLine="1440"/>
        <w:jc w:val="both"/>
        <w:rPr/>
      </w:pPr>
      <w:r>
        <w:rPr>
          <w:color w:val="000000"/>
        </w:rPr>
        <w:t>“</w:t>
      </w:r>
      <w:r>
        <w:rPr>
          <w:rFonts w:ascii="Times New Roman" w:hAnsi="Times New Roman"/>
          <w:b/>
          <w:color w:val="000000"/>
          <w:sz w:val="22"/>
        </w:rPr>
        <w:t>Dollar</w:t>
      </w:r>
      <w:r>
        <w:rPr>
          <w:rFonts w:ascii="Times New Roman" w:hAnsi="Times New Roman"/>
          <w:color w:val="000000"/>
          <w:sz w:val="20"/>
        </w:rPr>
        <w:t xml:space="preserve">” </w:t>
      </w:r>
      <w:r>
        <w:rPr>
          <w:rFonts w:ascii="Times New Roman" w:hAnsi="Times New Roman"/>
          <w:color w:val="000000"/>
          <w:sz w:val="22"/>
        </w:rPr>
        <w:t>means United States dollar, and “$” shall be interpreted accordingly.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pPr>
      <w:r>
        <w:rPr>
          <w:color w:val="000000"/>
        </w:rPr>
        <w:t>“</w:t>
      </w:r>
      <w:r>
        <w:rPr>
          <w:rFonts w:ascii="Times New Roman" w:hAnsi="Times New Roman"/>
          <w:b/>
          <w:color w:val="000000"/>
          <w:sz w:val="22"/>
        </w:rPr>
        <w:t>EMA</w:t>
      </w:r>
      <w:r>
        <w:rPr>
          <w:rFonts w:ascii="Times New Roman" w:hAnsi="Times New Roman"/>
          <w:color w:val="000000"/>
          <w:sz w:val="20"/>
        </w:rPr>
        <w:t xml:space="preserve">” </w:t>
      </w:r>
      <w:r>
        <w:rPr>
          <w:rFonts w:ascii="Times New Roman" w:hAnsi="Times New Roman"/>
          <w:color w:val="000000"/>
          <w:sz w:val="22"/>
        </w:rPr>
        <w:t>means the European Medicines Agency or any successor agency or authority thereto.</w:t>
      </w:r>
    </w:p>
    <w:p>
      <w:pPr>
        <w:pStyle w:val="TextBody"/>
        <w:bidi w:val="0"/>
        <w:spacing w:before="0" w:after="240"/>
        <w:ind w:left="0" w:right="0" w:firstLine="1440"/>
        <w:jc w:val="both"/>
        <w:rPr/>
      </w:pPr>
      <w:r>
        <w:rPr>
          <w:color w:val="000000"/>
        </w:rPr>
        <w:t>“</w:t>
      </w:r>
      <w:r>
        <w:rPr>
          <w:rFonts w:ascii="Times New Roman" w:hAnsi="Times New Roman"/>
          <w:b/>
          <w:color w:val="000000"/>
          <w:sz w:val="22"/>
        </w:rPr>
        <w:t>Encumbrance</w:t>
      </w:r>
      <w:r>
        <w:rPr>
          <w:rFonts w:ascii="Times New Roman" w:hAnsi="Times New Roman"/>
          <w:color w:val="000000"/>
          <w:sz w:val="20"/>
        </w:rPr>
        <w:t xml:space="preserve">” </w:t>
      </w:r>
      <w:r>
        <w:rPr>
          <w:rFonts w:ascii="Times New Roman" w:hAnsi="Times New Roman"/>
          <w:color w:val="000000"/>
          <w:sz w:val="22"/>
        </w:rPr>
        <w:t>means any encumbrance, claim, mortgage, pledge, assessment, security interest, option, license, right of first refusal or preemptive right, hypothecation, equitable interest, preference, right of possession, deed of trust, lease, lien, levy, restriction on transferability, defect in title, charge or other encumbrance of any kind, whether voluntarily incurred or arising by operation of applicable Law, any obligation to pay Taxes, any conditional sale or title retention agreement or other agreement granting any of the foregoing in the future or otherwise.</w:t>
      </w:r>
    </w:p>
    <w:p>
      <w:pPr>
        <w:pStyle w:val="TextBody"/>
        <w:bidi w:val="0"/>
        <w:spacing w:before="0" w:after="240"/>
        <w:ind w:left="0" w:right="0" w:firstLine="1440"/>
        <w:jc w:val="both"/>
        <w:rPr/>
      </w:pPr>
      <w:r>
        <w:rPr>
          <w:color w:val="000000"/>
        </w:rPr>
        <w:t>“</w:t>
      </w:r>
      <w:r>
        <w:rPr>
          <w:rFonts w:ascii="Times New Roman" w:hAnsi="Times New Roman"/>
          <w:b/>
          <w:color w:val="000000"/>
          <w:sz w:val="22"/>
        </w:rPr>
        <w:t>Equity Agreement</w:t>
      </w:r>
      <w:r>
        <w:rPr>
          <w:rFonts w:ascii="Times New Roman" w:hAnsi="Times New Roman"/>
          <w:color w:val="000000"/>
          <w:sz w:val="20"/>
        </w:rPr>
        <w:t xml:space="preserve">” </w:t>
      </w:r>
      <w:r>
        <w:rPr>
          <w:rFonts w:ascii="Times New Roman" w:hAnsi="Times New Roman"/>
          <w:color w:val="000000"/>
          <w:sz w:val="22"/>
        </w:rPr>
        <w:t>means the Preferred Stock Purchase Agreement entered into on the Original Effective Date.</w:t>
      </w:r>
    </w:p>
    <w:p>
      <w:pPr>
        <w:pStyle w:val="TextBody"/>
        <w:bidi w:val="0"/>
        <w:spacing w:before="0" w:after="240"/>
        <w:ind w:left="0" w:right="0" w:firstLine="1440"/>
        <w:jc w:val="both"/>
        <w:rPr/>
      </w:pPr>
      <w:r>
        <w:rPr>
          <w:color w:val="000000"/>
        </w:rPr>
        <w:t>“</w:t>
      </w:r>
      <w:r>
        <w:rPr>
          <w:rFonts w:ascii="Times New Roman" w:hAnsi="Times New Roman"/>
          <w:b/>
          <w:color w:val="000000"/>
          <w:sz w:val="22"/>
        </w:rPr>
        <w:t>EU 5 Countries</w:t>
      </w:r>
      <w:r>
        <w:rPr>
          <w:rFonts w:ascii="Times New Roman" w:hAnsi="Times New Roman"/>
          <w:color w:val="000000"/>
          <w:sz w:val="20"/>
        </w:rPr>
        <w:t xml:space="preserve">” </w:t>
      </w:r>
      <w:r>
        <w:rPr>
          <w:rFonts w:ascii="Times New Roman" w:hAnsi="Times New Roman"/>
          <w:color w:val="000000"/>
          <w:sz w:val="22"/>
        </w:rPr>
        <w:t>means United Kingdom, Germany, France, Spain and Italy.</w:t>
      </w:r>
    </w:p>
    <w:p>
      <w:pPr>
        <w:pStyle w:val="TextBody"/>
        <w:bidi w:val="0"/>
        <w:spacing w:before="0" w:after="240"/>
        <w:ind w:left="0" w:right="0" w:firstLine="1440"/>
        <w:jc w:val="both"/>
        <w:rPr/>
      </w:pPr>
      <w:r>
        <w:rPr>
          <w:color w:val="000000"/>
        </w:rPr>
        <w:t>“</w:t>
      </w:r>
      <w:r>
        <w:rPr>
          <w:rFonts w:ascii="Times New Roman" w:hAnsi="Times New Roman"/>
          <w:b/>
          <w:color w:val="000000"/>
          <w:sz w:val="22"/>
        </w:rPr>
        <w:t>Existing Inventory</w:t>
      </w:r>
      <w:r>
        <w:rPr>
          <w:rFonts w:ascii="Times New Roman" w:hAnsi="Times New Roman"/>
          <w:color w:val="000000"/>
          <w:sz w:val="20"/>
        </w:rPr>
        <w:t xml:space="preserve">” </w:t>
      </w:r>
      <w:r>
        <w:rPr>
          <w:rFonts w:ascii="Times New Roman" w:hAnsi="Times New Roman"/>
          <w:color w:val="000000"/>
          <w:sz w:val="22"/>
        </w:rPr>
        <w:t xml:space="preserve">means certain existing inventory for the Program as set forth on </w:t>
      </w:r>
      <w:r>
        <w:rPr>
          <w:rFonts w:ascii="Times New Roman" w:hAnsi="Times New Roman"/>
          <w:color w:val="000000"/>
          <w:sz w:val="22"/>
          <w:u w:val="single"/>
        </w:rPr>
        <w:t>Schedule 1.1(e)</w:t>
      </w:r>
      <w:r>
        <w:rPr>
          <w:rFonts w:ascii="Times New Roman" w:hAnsi="Times New Roman"/>
          <w:color w:val="000000"/>
          <w:sz w:val="22"/>
        </w:rPr>
        <w:t>.</w:t>
      </w:r>
    </w:p>
    <w:p>
      <w:pPr>
        <w:pStyle w:val="TextBody"/>
        <w:bidi w:val="0"/>
        <w:spacing w:before="0" w:after="240"/>
        <w:ind w:left="0" w:right="0" w:firstLine="1440"/>
        <w:jc w:val="both"/>
        <w:rPr/>
      </w:pPr>
      <w:r>
        <w:rPr>
          <w:color w:val="000000"/>
        </w:rPr>
        <w:t>“</w:t>
      </w:r>
      <w:r>
        <w:rPr>
          <w:rFonts w:ascii="Times New Roman" w:hAnsi="Times New Roman"/>
          <w:b/>
          <w:color w:val="000000"/>
          <w:sz w:val="22"/>
        </w:rPr>
        <w:t>FDA</w:t>
      </w:r>
      <w:r>
        <w:rPr>
          <w:rFonts w:ascii="Times New Roman" w:hAnsi="Times New Roman"/>
          <w:color w:val="000000"/>
          <w:sz w:val="20"/>
        </w:rPr>
        <w:t xml:space="preserve">” </w:t>
      </w:r>
      <w:r>
        <w:rPr>
          <w:rFonts w:ascii="Times New Roman" w:hAnsi="Times New Roman"/>
          <w:color w:val="000000"/>
          <w:sz w:val="22"/>
        </w:rPr>
        <w:t>means the United States Food and Drug Administration or any successor agency or authority thereto.</w:t>
      </w:r>
    </w:p>
    <w:p>
      <w:pPr>
        <w:pStyle w:val="TextBody"/>
        <w:bidi w:val="0"/>
        <w:spacing w:before="0" w:after="240"/>
        <w:ind w:left="0" w:right="0" w:firstLine="1440"/>
        <w:jc w:val="both"/>
        <w:rPr/>
      </w:pPr>
      <w:r>
        <w:rPr>
          <w:color w:val="000000"/>
        </w:rPr>
        <w:t>“</w:t>
      </w:r>
      <w:r>
        <w:rPr>
          <w:rFonts w:ascii="Times New Roman" w:hAnsi="Times New Roman"/>
          <w:b/>
          <w:color w:val="000000"/>
          <w:sz w:val="22"/>
        </w:rPr>
        <w:t>FDCA</w:t>
      </w:r>
      <w:r>
        <w:rPr>
          <w:rFonts w:ascii="Times New Roman" w:hAnsi="Times New Roman"/>
          <w:color w:val="000000"/>
          <w:sz w:val="20"/>
        </w:rPr>
        <w:t xml:space="preserve">” </w:t>
      </w:r>
      <w:r>
        <w:rPr>
          <w:rFonts w:ascii="Times New Roman" w:hAnsi="Times New Roman"/>
          <w:color w:val="000000"/>
          <w:sz w:val="22"/>
        </w:rPr>
        <w:t>means the United States Federal Food, Drug, and Cosmetic Act, as amended from time to time, including additions, supplements, extensions, and modifications thereto.</w:t>
      </w:r>
    </w:p>
    <w:p>
      <w:pPr>
        <w:pStyle w:val="TextBody"/>
        <w:bidi w:val="0"/>
        <w:spacing w:before="0" w:after="240"/>
        <w:ind w:left="0" w:right="0" w:firstLine="1440"/>
        <w:jc w:val="both"/>
        <w:rPr/>
      </w:pPr>
      <w:r>
        <w:rPr>
          <w:color w:val="000000"/>
        </w:rPr>
        <w:t>“</w:t>
      </w:r>
      <w:r>
        <w:rPr>
          <w:rFonts w:ascii="Times New Roman" w:hAnsi="Times New Roman"/>
          <w:b/>
          <w:color w:val="000000"/>
          <w:sz w:val="22"/>
        </w:rPr>
        <w:t>Field</w:t>
      </w:r>
      <w:r>
        <w:rPr>
          <w:rFonts w:ascii="Times New Roman" w:hAnsi="Times New Roman"/>
          <w:color w:val="000000"/>
          <w:sz w:val="20"/>
        </w:rPr>
        <w:t xml:space="preserve">” </w:t>
      </w:r>
      <w:r>
        <w:rPr>
          <w:rFonts w:ascii="Times New Roman" w:hAnsi="Times New Roman"/>
          <w:color w:val="000000"/>
          <w:sz w:val="22"/>
        </w:rPr>
        <w:t>means any therapeutic, prophylactic, preventative or diagnostic use in or for animals, including humans.</w:t>
      </w:r>
    </w:p>
    <w:p>
      <w:pPr>
        <w:pStyle w:val="TextBody"/>
        <w:bidi w:val="0"/>
        <w:spacing w:before="0" w:after="240"/>
        <w:ind w:left="0" w:right="0" w:firstLine="1440"/>
        <w:jc w:val="both"/>
        <w:rPr/>
      </w:pPr>
      <w:r>
        <w:rPr>
          <w:color w:val="000000"/>
        </w:rPr>
        <w:t>“</w:t>
      </w:r>
      <w:r>
        <w:rPr>
          <w:rFonts w:ascii="Times New Roman" w:hAnsi="Times New Roman"/>
          <w:b/>
          <w:color w:val="000000"/>
          <w:sz w:val="22"/>
        </w:rPr>
        <w:t>First Commercial Sale</w:t>
      </w:r>
      <w:r>
        <w:rPr>
          <w:rFonts w:ascii="Times New Roman" w:hAnsi="Times New Roman"/>
          <w:color w:val="000000"/>
          <w:sz w:val="20"/>
        </w:rPr>
        <w:t xml:space="preserve">” </w:t>
      </w:r>
      <w:r>
        <w:rPr>
          <w:rFonts w:ascii="Times New Roman" w:hAnsi="Times New Roman"/>
          <w:color w:val="000000"/>
          <w:sz w:val="22"/>
        </w:rPr>
        <w:t xml:space="preserve">means, with respect to any Product in any country in the Territory, the first invoiced commercial sale, transfer or disposition for monetary value for use or consumption of that Product in that country after Regulatory Approval for that Product has been received in that country;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that</w:t>
      </w:r>
      <w:r>
        <w:rPr>
          <w:rFonts w:ascii="Times New Roman" w:hAnsi="Times New Roman"/>
          <w:color w:val="000000"/>
          <w:sz w:val="22"/>
        </w:rPr>
        <w:t>, the following shall not constitute a First Commercial Sale: (a) any sale to an Affiliate or licensee (unless the Affiliate or licensee is the last entity in the distribution chain of the Product) or (b) any transfers of a Product without consideration or for nominal consideration for use in any clinical trial, or for any bona fide charitable, compassionate use or indigent patient program purpose where Products are sold at or below cost of goods sold, or as a sample.</w:t>
      </w:r>
    </w:p>
    <w:p>
      <w:pPr>
        <w:pStyle w:val="TextBody"/>
        <w:bidi w:val="0"/>
        <w:spacing w:before="0" w:after="240"/>
        <w:ind w:left="0" w:right="0" w:firstLine="1440"/>
        <w:jc w:val="both"/>
        <w:rPr/>
      </w:pPr>
      <w:r>
        <w:rPr>
          <w:color w:val="000000"/>
        </w:rPr>
        <w:t>“</w:t>
      </w:r>
      <w:r>
        <w:rPr>
          <w:rFonts w:ascii="Times New Roman" w:hAnsi="Times New Roman"/>
          <w:b/>
          <w:color w:val="000000"/>
          <w:sz w:val="22"/>
        </w:rPr>
        <w:t>Force Majeure</w:t>
      </w:r>
      <w:r>
        <w:rPr>
          <w:rFonts w:ascii="Times New Roman" w:hAnsi="Times New Roman"/>
          <w:color w:val="000000"/>
          <w:sz w:val="20"/>
        </w:rPr>
        <w:t xml:space="preserve">” </w:t>
      </w:r>
      <w:r>
        <w:rPr>
          <w:rFonts w:ascii="Times New Roman" w:hAnsi="Times New Roman"/>
          <w:color w:val="000000"/>
          <w:sz w:val="22"/>
        </w:rPr>
        <w:t>means any occurrence beyond the reasonable control of a Party, including any act of God, flood, fire, explosion, earthquake, strike, lockout, quarantine, epidemic, labor dispute, casualty or accident, or war, revolution, civil commotion, act of terrorism, blockage or embargo, or any injunction, law, order, proclamation, regulation, ordinance, demand or requirement of any Governmental Entity or of any subdivision, authority or representative of any such Governmental Entity.</w:t>
      </w:r>
    </w:p>
    <w:p>
      <w:pPr>
        <w:pStyle w:val="TextBody"/>
        <w:bidi w:val="0"/>
        <w:spacing w:before="0" w:after="240"/>
        <w:ind w:left="0" w:right="0" w:firstLine="1440"/>
        <w:jc w:val="both"/>
        <w:rPr/>
      </w:pPr>
      <w:r>
        <w:rPr>
          <w:color w:val="000000"/>
        </w:rPr>
        <w:t>“</w:t>
      </w:r>
      <w:r>
        <w:rPr>
          <w:rFonts w:ascii="Times New Roman" w:hAnsi="Times New Roman"/>
          <w:b/>
          <w:color w:val="000000"/>
          <w:sz w:val="22"/>
        </w:rPr>
        <w:t>FTE</w:t>
      </w:r>
      <w:r>
        <w:rPr>
          <w:rFonts w:ascii="Times New Roman" w:hAnsi="Times New Roman"/>
          <w:color w:val="000000"/>
          <w:sz w:val="20"/>
        </w:rPr>
        <w:t xml:space="preserve">” </w:t>
      </w:r>
      <w:r>
        <w:rPr>
          <w:rFonts w:ascii="Times New Roman" w:hAnsi="Times New Roman"/>
          <w:color w:val="000000"/>
          <w:sz w:val="22"/>
        </w:rPr>
        <w:t>means the equivalent of a full-time individual’s work time actually spent on the performance of activities under this Agreement over a twelve (12) month period (including normal vacations, sick days and holidays) based on one thousand eight hundred (1800) hours worked per twelve (12)-month period. In no event shall one person be counted as more than one FTE.</w:t>
      </w:r>
    </w:p>
    <w:p>
      <w:pPr>
        <w:pStyle w:val="TextBody"/>
        <w:bidi w:val="0"/>
        <w:spacing w:before="0" w:after="240"/>
        <w:ind w:left="0" w:right="0" w:firstLine="1440"/>
        <w:jc w:val="both"/>
        <w:rPr/>
      </w:pPr>
      <w:r>
        <w:rPr>
          <w:color w:val="000000"/>
        </w:rPr>
        <w:t>“</w:t>
      </w:r>
      <w:r>
        <w:rPr>
          <w:rFonts w:ascii="Times New Roman" w:hAnsi="Times New Roman"/>
          <w:b/>
          <w:color w:val="000000"/>
          <w:sz w:val="22"/>
        </w:rPr>
        <w:t>FTE Rate</w:t>
      </w:r>
      <w:r>
        <w:rPr>
          <w:rFonts w:ascii="Times New Roman" w:hAnsi="Times New Roman"/>
          <w:color w:val="000000"/>
          <w:sz w:val="20"/>
        </w:rPr>
        <w:t xml:space="preserve">” </w:t>
      </w:r>
      <w:r>
        <w:rPr>
          <w:rFonts w:ascii="Times New Roman" w:hAnsi="Times New Roman"/>
          <w:color w:val="000000"/>
          <w:sz w:val="22"/>
        </w:rPr>
        <w:t>means a rate of [***] per FTE per year.</w:t>
      </w:r>
    </w:p>
    <w:p>
      <w:pPr>
        <w:pStyle w:val="TextBody"/>
        <w:bidi w:val="0"/>
        <w:spacing w:before="0" w:after="240"/>
        <w:ind w:left="0" w:right="0" w:firstLine="1440"/>
        <w:jc w:val="both"/>
        <w:rPr/>
      </w:pPr>
      <w:r>
        <w:rPr>
          <w:color w:val="000000"/>
        </w:rPr>
        <w:t>“</w:t>
      </w:r>
      <w:r>
        <w:rPr>
          <w:rFonts w:ascii="Times New Roman" w:hAnsi="Times New Roman"/>
          <w:b/>
          <w:color w:val="000000"/>
          <w:sz w:val="22"/>
        </w:rPr>
        <w:t>Fundamental Representations</w:t>
      </w:r>
      <w:r>
        <w:rPr>
          <w:rFonts w:ascii="Times New Roman" w:hAnsi="Times New Roman"/>
          <w:color w:val="000000"/>
          <w:sz w:val="20"/>
        </w:rPr>
        <w:t xml:space="preserve">” </w:t>
      </w:r>
      <w:r>
        <w:rPr>
          <w:rFonts w:ascii="Times New Roman" w:hAnsi="Times New Roman"/>
          <w:color w:val="000000"/>
          <w:sz w:val="22"/>
        </w:rPr>
        <w:t>means the representations and warranties set forth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pPr>
      <w:r>
        <w:rPr>
          <w:color w:val="000000"/>
        </w:rPr>
        <w:t>“</w:t>
      </w:r>
      <w:r>
        <w:rPr>
          <w:rFonts w:ascii="Times New Roman" w:hAnsi="Times New Roman"/>
          <w:b/>
          <w:color w:val="000000"/>
          <w:sz w:val="22"/>
        </w:rPr>
        <w:t>Generic Product</w:t>
      </w:r>
      <w:r>
        <w:rPr>
          <w:rFonts w:ascii="Times New Roman" w:hAnsi="Times New Roman"/>
          <w:color w:val="000000"/>
          <w:sz w:val="20"/>
        </w:rPr>
        <w:t xml:space="preserve">” </w:t>
      </w:r>
      <w:r>
        <w:rPr>
          <w:rFonts w:ascii="Times New Roman" w:hAnsi="Times New Roman"/>
          <w:color w:val="000000"/>
          <w:sz w:val="22"/>
        </w:rPr>
        <w:t>means, with respect to a particular Product and regulatory jurisdiction, any pharmaceutical product that is sold by a Third Party (other than a Licensee) in such regulatory jurisdiction and that (a) contains the same Program Molecule as such Product; and (b) has obtained marketing authorization for use pursuant to a Regulatory Approval process governing approval of generic or interchangeable drugs based on the then-current standards in such regulatory jurisdiction; and (c) has been deemed by the applicable Regulatory Authority as substitutable for such Product in such country.</w:t>
      </w:r>
    </w:p>
    <w:p>
      <w:pPr>
        <w:pStyle w:val="TextBody"/>
        <w:bidi w:val="0"/>
        <w:spacing w:before="0" w:after="240"/>
        <w:ind w:left="0" w:right="0" w:firstLine="1440"/>
        <w:jc w:val="both"/>
        <w:rPr/>
      </w:pPr>
      <w:r>
        <w:rPr>
          <w:color w:val="000000"/>
        </w:rPr>
        <w:t>“</w:t>
      </w:r>
      <w:r>
        <w:rPr>
          <w:rFonts w:ascii="Times New Roman" w:hAnsi="Times New Roman"/>
          <w:b/>
          <w:color w:val="000000"/>
          <w:sz w:val="22"/>
        </w:rPr>
        <w:t>Governmental Entity</w:t>
      </w:r>
      <w:r>
        <w:rPr>
          <w:rFonts w:ascii="Times New Roman" w:hAnsi="Times New Roman"/>
          <w:color w:val="000000"/>
          <w:sz w:val="20"/>
        </w:rPr>
        <w:t xml:space="preserve">” </w:t>
      </w:r>
      <w:r>
        <w:rPr>
          <w:rFonts w:ascii="Times New Roman" w:hAnsi="Times New Roman"/>
          <w:color w:val="000000"/>
          <w:sz w:val="22"/>
        </w:rPr>
        <w:t>means any court, tribunal, arbitrator, Regulatory Authority, agency, commission, department, ministry, official or other instrumentality of the United States or other country, or any supra-national organization, or any foreign or domestic, state, county, city or other political subdivision.</w:t>
      </w:r>
    </w:p>
    <w:p>
      <w:pPr>
        <w:pStyle w:val="TextBody"/>
        <w:bidi w:val="0"/>
        <w:spacing w:before="0" w:after="240"/>
        <w:ind w:left="0" w:right="0" w:firstLine="1440"/>
        <w:jc w:val="both"/>
        <w:rPr/>
      </w:pPr>
      <w:r>
        <w:rPr>
          <w:color w:val="000000"/>
        </w:rPr>
        <w:t>“</w:t>
      </w:r>
      <w:r>
        <w:rPr>
          <w:rFonts w:ascii="Times New Roman" w:hAnsi="Times New Roman"/>
          <w:b/>
          <w:color w:val="000000"/>
          <w:sz w:val="22"/>
        </w:rPr>
        <w:t>IND</w:t>
      </w:r>
      <w:r>
        <w:rPr>
          <w:rFonts w:ascii="Times New Roman" w:hAnsi="Times New Roman"/>
          <w:color w:val="000000"/>
          <w:sz w:val="20"/>
        </w:rPr>
        <w:t xml:space="preserve">” </w:t>
      </w:r>
      <w:r>
        <w:rPr>
          <w:rFonts w:ascii="Times New Roman" w:hAnsi="Times New Roman"/>
          <w:color w:val="000000"/>
          <w:sz w:val="22"/>
        </w:rPr>
        <w:t>means (a) an Investigational New Drug Application (as defined in the FDCA and the regulations promulgated thereunder) or any successor application or procedure required to initiate clinical testing of a therapeutic product in humans in the United States; (b) the equivalent of an Investigational New Drug Application that is required in any other country or region before beginning clinical testing of a therapeutic product in humans in such country or region (including any Clinical Trial Authorization required to initiate clinical testing of a therapeutic product in humans in the United Kingdom); and (c) all supplements and amendments to any of the foregoing.</w:t>
      </w:r>
    </w:p>
    <w:p>
      <w:pPr>
        <w:pStyle w:val="TextBody"/>
        <w:bidi w:val="0"/>
        <w:spacing w:before="0" w:after="240"/>
        <w:ind w:left="0" w:right="0" w:firstLine="1440"/>
        <w:jc w:val="both"/>
        <w:rPr/>
      </w:pPr>
      <w:r>
        <w:rPr>
          <w:color w:val="000000"/>
        </w:rPr>
        <w:t>“</w:t>
      </w:r>
      <w:r>
        <w:rPr>
          <w:rFonts w:ascii="Times New Roman" w:hAnsi="Times New Roman"/>
          <w:b/>
          <w:color w:val="000000"/>
          <w:sz w:val="22"/>
        </w:rPr>
        <w:t>Indemnified Party</w:t>
      </w:r>
      <w:r>
        <w:rPr>
          <w:rFonts w:ascii="Times New Roman" w:hAnsi="Times New Roman"/>
          <w:color w:val="000000"/>
          <w:sz w:val="20"/>
        </w:rPr>
        <w:t xml:space="preserve">” </w:t>
      </w:r>
      <w:r>
        <w:rPr>
          <w:rFonts w:ascii="Times New Roman" w:hAnsi="Times New Roman"/>
          <w:color w:val="000000"/>
          <w:sz w:val="22"/>
        </w:rPr>
        <w:t>means a Seller Indemnified Party or Buyer Indemnified Party, as the case may be.</w:t>
      </w:r>
    </w:p>
    <w:p>
      <w:pPr>
        <w:pStyle w:val="TextBody"/>
        <w:bidi w:val="0"/>
        <w:spacing w:before="0" w:after="240"/>
        <w:ind w:left="0" w:right="0" w:firstLine="1440"/>
        <w:jc w:val="both"/>
        <w:rPr/>
      </w:pPr>
      <w:r>
        <w:rPr>
          <w:color w:val="000000"/>
        </w:rPr>
        <w:t>“</w:t>
      </w:r>
      <w:r>
        <w:rPr>
          <w:rFonts w:ascii="Times New Roman" w:hAnsi="Times New Roman"/>
          <w:b/>
          <w:color w:val="000000"/>
          <w:sz w:val="22"/>
        </w:rPr>
        <w:t>In-Licensed Patent Rights</w:t>
      </w:r>
      <w:r>
        <w:rPr>
          <w:rFonts w:ascii="Times New Roman" w:hAnsi="Times New Roman"/>
          <w:color w:val="000000"/>
          <w:sz w:val="20"/>
        </w:rPr>
        <w:t xml:space="preserve">” </w:t>
      </w:r>
      <w:r>
        <w:rPr>
          <w:rFonts w:ascii="Times New Roman" w:hAnsi="Times New Roman"/>
          <w:color w:val="000000"/>
          <w:sz w:val="22"/>
        </w:rPr>
        <w:t>means the Patent Rights licensed under an Assigned Agreement.</w:t>
      </w:r>
    </w:p>
    <w:p>
      <w:pPr>
        <w:pStyle w:val="TextBody"/>
        <w:bidi w:val="0"/>
        <w:spacing w:before="0" w:after="240"/>
        <w:ind w:left="0" w:right="0" w:firstLine="1440"/>
        <w:jc w:val="both"/>
        <w:rPr/>
      </w:pPr>
      <w:r>
        <w:rPr>
          <w:color w:val="000000"/>
        </w:rPr>
        <w:t>“</w:t>
      </w:r>
      <w:r>
        <w:rPr>
          <w:rFonts w:ascii="Times New Roman" w:hAnsi="Times New Roman"/>
          <w:b/>
          <w:color w:val="000000"/>
          <w:sz w:val="22"/>
        </w:rPr>
        <w:t>Know-How</w:t>
      </w:r>
      <w:r>
        <w:rPr>
          <w:rFonts w:ascii="Times New Roman" w:hAnsi="Times New Roman"/>
          <w:color w:val="000000"/>
          <w:sz w:val="20"/>
        </w:rPr>
        <w:t xml:space="preserve">” </w:t>
      </w:r>
      <w:r>
        <w:rPr>
          <w:rFonts w:ascii="Times New Roman" w:hAnsi="Times New Roman"/>
          <w:color w:val="000000"/>
          <w:sz w:val="22"/>
        </w:rPr>
        <w:t>means, collectively, any knowledge, information, techniques, technology, trade secrets, inventions (whether patentable or not), discoveries, methods, know-how, data and results, including all technical, scientific, pre-clinical, clinical and regulatory data (including pharmacological, biological and toxicological data and results), analytical and quality control data and results and other information, but excludes Patent Rights with respect to any of the foregoing.</w:t>
      </w:r>
    </w:p>
    <w:p>
      <w:pPr>
        <w:pStyle w:val="TextBody"/>
        <w:bidi w:val="0"/>
        <w:spacing w:before="0" w:after="240"/>
        <w:ind w:left="0" w:right="0" w:firstLine="1440"/>
        <w:jc w:val="both"/>
        <w:rPr/>
      </w:pPr>
      <w:r>
        <w:rPr>
          <w:color w:val="000000"/>
        </w:rPr>
        <w:t>“</w:t>
      </w:r>
      <w:r>
        <w:rPr>
          <w:rFonts w:ascii="Times New Roman" w:hAnsi="Times New Roman"/>
          <w:b/>
          <w:color w:val="000000"/>
          <w:sz w:val="22"/>
        </w:rPr>
        <w:t>Knowledge</w:t>
      </w:r>
      <w:r>
        <w:rPr>
          <w:rFonts w:ascii="Times New Roman" w:hAnsi="Times New Roman"/>
          <w:color w:val="000000"/>
          <w:sz w:val="20"/>
        </w:rPr>
        <w:t xml:space="preserve">” </w:t>
      </w:r>
      <w:r>
        <w:rPr>
          <w:rFonts w:ascii="Times New Roman" w:hAnsi="Times New Roman"/>
          <w:color w:val="000000"/>
          <w:sz w:val="22"/>
        </w:rPr>
        <w:t>means, with respect to Seller, the actual knowledge of a fact or other matter [***] for the Program.</w:t>
      </w:r>
    </w:p>
    <w:p>
      <w:pPr>
        <w:pStyle w:val="TextBody"/>
        <w:bidi w:val="0"/>
        <w:spacing w:before="0" w:after="240"/>
        <w:ind w:left="0" w:right="0" w:firstLine="1440"/>
        <w:jc w:val="both"/>
        <w:rPr/>
      </w:pPr>
      <w:r>
        <w:rPr>
          <w:color w:val="000000"/>
        </w:rPr>
        <w:t>“</w:t>
      </w:r>
      <w:r>
        <w:rPr>
          <w:rFonts w:ascii="Times New Roman" w:hAnsi="Times New Roman"/>
          <w:b/>
          <w:color w:val="000000"/>
          <w:sz w:val="22"/>
        </w:rPr>
        <w:t>Law</w:t>
      </w:r>
      <w:r>
        <w:rPr>
          <w:rFonts w:ascii="Times New Roman" w:hAnsi="Times New Roman"/>
          <w:color w:val="000000"/>
          <w:sz w:val="20"/>
        </w:rPr>
        <w:t xml:space="preserve">” </w:t>
      </w:r>
      <w:r>
        <w:rPr>
          <w:rFonts w:ascii="Times New Roman" w:hAnsi="Times New Roman"/>
          <w:color w:val="000000"/>
          <w:sz w:val="22"/>
        </w:rPr>
        <w:t>means any federal, state, local or foreign law, statute, code or ordinance, treaties (including tax treaties) or any rule or regulation promulgated by any Governmental Entity including all decisions of any Courts having the effect of law in each such jurisdiction.</w:t>
      </w:r>
    </w:p>
    <w:p>
      <w:pPr>
        <w:pStyle w:val="TextBody"/>
        <w:bidi w:val="0"/>
        <w:spacing w:before="0" w:after="240"/>
        <w:ind w:left="0" w:right="0" w:firstLine="1440"/>
        <w:jc w:val="both"/>
        <w:rPr/>
      </w:pPr>
      <w:r>
        <w:rPr>
          <w:color w:val="000000"/>
        </w:rPr>
        <w:t>“</w:t>
      </w:r>
      <w:r>
        <w:rPr>
          <w:rFonts w:ascii="Times New Roman" w:hAnsi="Times New Roman"/>
          <w:b/>
          <w:color w:val="000000"/>
          <w:sz w:val="22"/>
        </w:rPr>
        <w:t>Liability</w:t>
      </w:r>
      <w:r>
        <w:rPr>
          <w:rFonts w:ascii="Times New Roman" w:hAnsi="Times New Roman"/>
          <w:color w:val="000000"/>
          <w:sz w:val="20"/>
        </w:rPr>
        <w:t xml:space="preserve">” </w:t>
      </w:r>
      <w:r>
        <w:rPr>
          <w:rFonts w:ascii="Times New Roman" w:hAnsi="Times New Roman"/>
          <w:color w:val="000000"/>
          <w:sz w:val="22"/>
        </w:rPr>
        <w:t>means any and all debts, liabilities and obligations, whether known or unknown, asserted or unasserted, determinable or otherwise, accrued or fixed, absolute or contingent, liquidated or unliquidated, incurred or consequential, or matured or unmatured, including those arising under any Law, Litigation, Order, or Contract.</w:t>
      </w:r>
    </w:p>
    <w:p>
      <w:pPr>
        <w:pStyle w:val="TextBody"/>
        <w:bidi w:val="0"/>
        <w:spacing w:before="0" w:after="240"/>
        <w:ind w:left="0" w:right="0" w:firstLine="1440"/>
        <w:jc w:val="both"/>
        <w:rPr/>
      </w:pPr>
      <w:r>
        <w:rPr>
          <w:color w:val="000000"/>
        </w:rPr>
        <w:t>“</w:t>
      </w:r>
      <w:r>
        <w:rPr>
          <w:rFonts w:ascii="Times New Roman" w:hAnsi="Times New Roman"/>
          <w:b/>
          <w:color w:val="000000"/>
          <w:sz w:val="22"/>
        </w:rPr>
        <w:t>Licensee</w:t>
      </w:r>
      <w:r>
        <w:rPr>
          <w:rFonts w:ascii="Times New Roman" w:hAnsi="Times New Roman"/>
          <w:color w:val="000000"/>
          <w:sz w:val="20"/>
        </w:rPr>
        <w:t xml:space="preserve">” </w:t>
      </w:r>
      <w:r>
        <w:rPr>
          <w:rFonts w:ascii="Times New Roman" w:hAnsi="Times New Roman"/>
          <w:color w:val="000000"/>
          <w:sz w:val="22"/>
        </w:rPr>
        <w:t>means any Third Party to which Buyer grants a license under the Assigned Intellectual Property, a sublicense under Patent Rights or Know-How licensed to Buyer under any of the Assigned Agreements, or a sublicense under any Patent Rights within the Licensed Intellectual Property, for the development, manufacture, use or commercialization of any Product, beyond the mere right to purchase any Product from or to provide services on behalf of Buyer or its Affiliates, but expressly excluding contract manufacturers and contract research or development organizations.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pPr>
      <w:r>
        <w:rPr>
          <w:color w:val="000000"/>
        </w:rPr>
        <w:t>“</w:t>
      </w:r>
      <w:r>
        <w:rPr>
          <w:rFonts w:ascii="Times New Roman" w:hAnsi="Times New Roman"/>
          <w:b/>
          <w:color w:val="000000"/>
          <w:sz w:val="22"/>
        </w:rPr>
        <w:t>Litigation</w:t>
      </w:r>
      <w:r>
        <w:rPr>
          <w:rFonts w:ascii="Times New Roman" w:hAnsi="Times New Roman"/>
          <w:color w:val="000000"/>
          <w:sz w:val="20"/>
        </w:rPr>
        <w:t xml:space="preserve">” </w:t>
      </w:r>
      <w:r>
        <w:rPr>
          <w:rFonts w:ascii="Times New Roman" w:hAnsi="Times New Roman"/>
          <w:color w:val="000000"/>
          <w:sz w:val="22"/>
        </w:rPr>
        <w:t>means any suit, action, arbitration, cause of action, claim, complaint, criminal prosecution, investigation, inquiry, demand letter, judicial, arbitration or other administrative proceeding, whether at law or at equity, before or by any Court, Governmental Entity, arbitrator or other tribunal.</w:t>
      </w:r>
    </w:p>
    <w:p>
      <w:pPr>
        <w:pStyle w:val="TextBody"/>
        <w:bidi w:val="0"/>
        <w:spacing w:before="0" w:after="240"/>
        <w:ind w:left="0" w:right="0" w:firstLine="1440"/>
        <w:jc w:val="both"/>
        <w:rPr/>
      </w:pPr>
      <w:r>
        <w:rPr>
          <w:color w:val="000000"/>
        </w:rPr>
        <w:t>“</w:t>
      </w:r>
      <w:r>
        <w:rPr>
          <w:rFonts w:ascii="Times New Roman" w:hAnsi="Times New Roman"/>
          <w:b/>
          <w:color w:val="000000"/>
          <w:sz w:val="22"/>
        </w:rPr>
        <w:t>Materials</w:t>
      </w:r>
      <w:r>
        <w:rPr>
          <w:rFonts w:ascii="Times New Roman" w:hAnsi="Times New Roman"/>
          <w:color w:val="000000"/>
          <w:sz w:val="20"/>
        </w:rPr>
        <w:t xml:space="preserve">” </w:t>
      </w:r>
      <w:r>
        <w:rPr>
          <w:rFonts w:ascii="Times New Roman" w:hAnsi="Times New Roman"/>
          <w:color w:val="000000"/>
          <w:sz w:val="22"/>
        </w:rPr>
        <w:t xml:space="preserve">means the materials set forth on </w:t>
      </w:r>
      <w:r>
        <w:rPr>
          <w:rFonts w:ascii="Times New Roman" w:hAnsi="Times New Roman"/>
          <w:color w:val="000000"/>
          <w:sz w:val="22"/>
          <w:u w:val="single"/>
        </w:rPr>
        <w:t>Schedule 1.1(c)</w:t>
      </w:r>
      <w:r>
        <w:rPr>
          <w:rFonts w:ascii="Times New Roman" w:hAnsi="Times New Roman"/>
          <w:color w:val="000000"/>
          <w:sz w:val="22"/>
        </w:rPr>
        <w:t>.</w:t>
      </w:r>
    </w:p>
    <w:p>
      <w:pPr>
        <w:pStyle w:val="TextBody"/>
        <w:bidi w:val="0"/>
        <w:spacing w:before="0" w:after="240"/>
        <w:ind w:left="0" w:right="0" w:firstLine="1440"/>
        <w:jc w:val="both"/>
        <w:rPr/>
      </w:pPr>
      <w:r>
        <w:rPr>
          <w:color w:val="000000"/>
        </w:rPr>
        <w:t>“</w:t>
      </w:r>
      <w:r>
        <w:rPr>
          <w:rFonts w:ascii="Times New Roman" w:hAnsi="Times New Roman"/>
          <w:b/>
          <w:color w:val="000000"/>
          <w:sz w:val="22"/>
        </w:rPr>
        <w:t>NDA</w:t>
      </w:r>
      <w:r>
        <w:rPr>
          <w:rFonts w:ascii="Times New Roman" w:hAnsi="Times New Roman"/>
          <w:color w:val="000000"/>
          <w:sz w:val="20"/>
        </w:rPr>
        <w:t xml:space="preserve">” </w:t>
      </w:r>
      <w:r>
        <w:rPr>
          <w:rFonts w:ascii="Times New Roman" w:hAnsi="Times New Roman"/>
          <w:color w:val="000000"/>
          <w:sz w:val="22"/>
        </w:rPr>
        <w:t>means a New Drug Application, as defined in the FDCA, or any successor application or procedure required to sell any Product in the United States.</w:t>
      </w:r>
    </w:p>
    <w:p>
      <w:pPr>
        <w:pStyle w:val="TextBody"/>
        <w:bidi w:val="0"/>
        <w:spacing w:before="0" w:after="240"/>
        <w:ind w:left="0" w:right="0" w:firstLine="1440"/>
        <w:jc w:val="both"/>
        <w:rPr/>
      </w:pPr>
      <w:r>
        <w:rPr>
          <w:color w:val="000000"/>
        </w:rPr>
        <w:t>“</w:t>
      </w:r>
      <w:r>
        <w:rPr>
          <w:rFonts w:ascii="Times New Roman" w:hAnsi="Times New Roman"/>
          <w:b/>
          <w:color w:val="000000"/>
          <w:sz w:val="22"/>
        </w:rPr>
        <w:t>Net Sales</w:t>
      </w:r>
      <w:r>
        <w:rPr>
          <w:rFonts w:ascii="Times New Roman" w:hAnsi="Times New Roman"/>
          <w:color w:val="000000"/>
          <w:sz w:val="20"/>
        </w:rPr>
        <w:t xml:space="preserve">” </w:t>
      </w:r>
      <w:r>
        <w:rPr>
          <w:rFonts w:ascii="Times New Roman" w:hAnsi="Times New Roman"/>
          <w:color w:val="000000"/>
          <w:sz w:val="22"/>
        </w:rPr>
        <w:t>means, with respect to a Product, the gross amount invoiced in a country by Buyer or its Affiliates or Licensees (each of the foregoing Persons, a “</w:t>
      </w:r>
      <w:r>
        <w:rPr>
          <w:rFonts w:ascii="Times New Roman" w:hAnsi="Times New Roman"/>
          <w:b/>
          <w:color w:val="000000"/>
          <w:sz w:val="22"/>
        </w:rPr>
        <w:t>Selling Party</w:t>
      </w:r>
      <w:r>
        <w:rPr>
          <w:rFonts w:ascii="Times New Roman" w:hAnsi="Times New Roman"/>
          <w:color w:val="000000"/>
          <w:sz w:val="20"/>
        </w:rPr>
        <w:t>”</w:t>
      </w:r>
      <w:r>
        <w:rPr>
          <w:rFonts w:ascii="Times New Roman" w:hAnsi="Times New Roman"/>
          <w:color w:val="000000"/>
          <w:sz w:val="22"/>
        </w:rPr>
        <w:t>) for the sale or other disposition of such Product in such country to Third Parties (including contract sales forces and Distributors), less the following deductions calculated in accordance with US GAAP, consistently applied by the relevant Selling Party, to the extent allocated to such Product and actually taken, paid, allowed, or allocated in the gross sales price with respect to such sales, and not otherwise recovered by or reimbursed to the Selling Party, as set forth below:</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Notwithstanding the foregoing, and subject to the remainder of this paragraph, amounts received or invoiced by a Selling Party for the sale of such Product to another Selling Party for resale will not be included in the computation of Net Sales hereunder so long as, if such Product is subsequently resold to a non-Selling Party, such subsequent sale is included in the computation of Net Sales. For purposes of determining Net Sales, a Product will be deemed to be sold when recorded as a sale by the Selling Party, in accordance with US GAAP. For clarity, a particular deduction may only be accounted for once in the calculation of Net Sales.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In the case of any Combination Product sold in a given country in the Territory during a given Calendar Quarter, Net Sales of the Combination Product in such country during such Calendar Quarter will be calculated by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ind w:left="0" w:right="0" w:firstLine="1440"/>
        <w:jc w:val="both"/>
        <w:rPr/>
      </w:pPr>
      <w:r>
        <w:rPr>
          <w:color w:val="000000"/>
        </w:rPr>
        <w:t>“</w:t>
      </w:r>
      <w:r>
        <w:rPr>
          <w:rFonts w:ascii="Times New Roman" w:hAnsi="Times New Roman"/>
          <w:b/>
          <w:color w:val="000000"/>
          <w:sz w:val="22"/>
        </w:rPr>
        <w:t>Order</w:t>
      </w:r>
      <w:r>
        <w:rPr>
          <w:rFonts w:ascii="Times New Roman" w:hAnsi="Times New Roman"/>
          <w:color w:val="000000"/>
          <w:sz w:val="20"/>
        </w:rPr>
        <w:t xml:space="preserve">” </w:t>
      </w:r>
      <w:r>
        <w:rPr>
          <w:rFonts w:ascii="Times New Roman" w:hAnsi="Times New Roman"/>
          <w:color w:val="000000"/>
          <w:sz w:val="22"/>
        </w:rPr>
        <w:t>means any judgment, order, writ, injunction, ruling, stipulation, determination, award or decree of or by, or any settlement under the jurisdiction of, any Court or Governmental Entity.</w:t>
      </w:r>
    </w:p>
    <w:p>
      <w:pPr>
        <w:pStyle w:val="TextBody"/>
        <w:bidi w:val="0"/>
        <w:spacing w:before="0" w:after="240"/>
        <w:ind w:left="0" w:right="0" w:firstLine="1440"/>
        <w:jc w:val="both"/>
        <w:rPr/>
      </w:pPr>
      <w:r>
        <w:rPr>
          <w:color w:val="000000"/>
        </w:rPr>
        <w:t>“</w:t>
      </w:r>
      <w:r>
        <w:rPr>
          <w:rFonts w:ascii="Times New Roman" w:hAnsi="Times New Roman"/>
          <w:b/>
          <w:color w:val="000000"/>
          <w:sz w:val="22"/>
        </w:rPr>
        <w:t>Original Agreement</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ind w:left="0" w:right="0" w:firstLine="1440"/>
        <w:jc w:val="both"/>
        <w:rPr/>
      </w:pPr>
      <w:r>
        <w:rPr>
          <w:color w:val="000000"/>
        </w:rPr>
        <w:t>“</w:t>
      </w:r>
      <w:r>
        <w:rPr>
          <w:rFonts w:ascii="Times New Roman" w:hAnsi="Times New Roman"/>
          <w:b/>
          <w:color w:val="000000"/>
          <w:sz w:val="22"/>
        </w:rPr>
        <w:t>Original Effective Date</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ind w:left="0" w:right="0" w:firstLine="1440"/>
        <w:jc w:val="both"/>
        <w:rPr/>
      </w:pPr>
      <w:r>
        <w:rPr>
          <w:color w:val="000000"/>
        </w:rPr>
        <w:t>“</w:t>
      </w:r>
      <w:r>
        <w:rPr>
          <w:rFonts w:ascii="Times New Roman" w:hAnsi="Times New Roman"/>
          <w:b/>
          <w:color w:val="000000"/>
          <w:sz w:val="22"/>
        </w:rPr>
        <w:t>Patent Assignment Agreement</w:t>
      </w:r>
      <w:r>
        <w:rPr>
          <w:rFonts w:ascii="Times New Roman" w:hAnsi="Times New Roman"/>
          <w:color w:val="000000"/>
          <w:sz w:val="20"/>
        </w:rPr>
        <w:t xml:space="preserve">” </w:t>
      </w:r>
      <w:r>
        <w:rPr>
          <w:rFonts w:ascii="Times New Roman" w:hAnsi="Times New Roman"/>
          <w:color w:val="000000"/>
          <w:sz w:val="22"/>
        </w:rPr>
        <w:t xml:space="preserve">means the patent assignment agreement, substantially in the form attached as </w:t>
      </w:r>
      <w:r>
        <w:rPr>
          <w:rFonts w:ascii="Times New Roman" w:hAnsi="Times New Roman"/>
          <w:color w:val="000000"/>
          <w:sz w:val="22"/>
          <w:u w:val="single"/>
        </w:rPr>
        <w:t>Exhibit B</w:t>
      </w:r>
      <w:r>
        <w:rPr>
          <w:rFonts w:ascii="Times New Roman" w:hAnsi="Times New Roman"/>
          <w:color w:val="000000"/>
          <w:sz w:val="22"/>
        </w:rPr>
        <w:t>.</w:t>
      </w:r>
    </w:p>
    <w:p>
      <w:pPr>
        <w:pStyle w:val="TextBody"/>
        <w:bidi w:val="0"/>
        <w:spacing w:before="0" w:after="240"/>
        <w:ind w:left="0" w:right="0" w:firstLine="1440"/>
        <w:jc w:val="both"/>
        <w:rPr/>
      </w:pPr>
      <w:r>
        <w:rPr>
          <w:color w:val="000000"/>
        </w:rPr>
        <w:t>“</w:t>
      </w:r>
      <w:r>
        <w:rPr>
          <w:rFonts w:ascii="Times New Roman" w:hAnsi="Times New Roman"/>
          <w:b/>
          <w:color w:val="000000"/>
          <w:sz w:val="22"/>
        </w:rPr>
        <w:t>Patent Rights</w:t>
      </w:r>
      <w:r>
        <w:rPr>
          <w:rFonts w:ascii="Times New Roman" w:hAnsi="Times New Roman"/>
          <w:color w:val="000000"/>
          <w:sz w:val="20"/>
        </w:rPr>
        <w:t xml:space="preserve">” </w:t>
      </w:r>
      <w:r>
        <w:rPr>
          <w:rFonts w:ascii="Times New Roman" w:hAnsi="Times New Roman"/>
          <w:color w:val="000000"/>
          <w:sz w:val="22"/>
        </w:rPr>
        <w:t>means the rights and interests in and to issued patents and pending patent applications (which, for purposes of this Agreement, include certificates of invention, applications for certificates of invention and priority rights) in any country or region, including any divisionals, continuations, continuations-in-part, substitutions, patents of addition, reissues, extensions, re-examinations or renewal applications related to, or claiming priority to, the foregoing (including 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supplementary protection certificates) or any confirmation patent or registration patent, and all patents issuing on, and all foreign counterparts of, any of the foregoing.</w:t>
      </w:r>
    </w:p>
    <w:p>
      <w:pPr>
        <w:pStyle w:val="TextBody"/>
        <w:bidi w:val="0"/>
        <w:spacing w:before="0" w:after="240"/>
        <w:ind w:left="0" w:right="0" w:firstLine="1440"/>
        <w:jc w:val="both"/>
        <w:rPr/>
      </w:pPr>
      <w:r>
        <w:rPr>
          <w:color w:val="000000"/>
        </w:rPr>
        <w:t>“</w:t>
      </w:r>
      <w:r>
        <w:rPr>
          <w:rFonts w:ascii="Times New Roman" w:hAnsi="Times New Roman"/>
          <w:b/>
          <w:color w:val="000000"/>
          <w:sz w:val="22"/>
        </w:rPr>
        <w:t>Permitted Encumbrances</w:t>
      </w:r>
      <w:r>
        <w:rPr>
          <w:rFonts w:ascii="Times New Roman" w:hAnsi="Times New Roman"/>
          <w:color w:val="000000"/>
          <w:sz w:val="20"/>
        </w:rPr>
        <w:t xml:space="preserve">” </w:t>
      </w:r>
      <w:r>
        <w:rPr>
          <w:rFonts w:ascii="Times New Roman" w:hAnsi="Times New Roman"/>
          <w:color w:val="000000"/>
          <w:sz w:val="22"/>
        </w:rPr>
        <w:t xml:space="preserve">means (a) statutory liens with respect to the payment of Taxes, in all cases which are not yet due or payable or that are being contested in good faith; (b) statutory liens of landlords, suppliers, mechanics, carriers, materialmen, warehousemen, service providers or workmen and other similar liens imposed by applicable Law created in the ordinary course of business the existence of which do not constitute a default or breach under any of the Assigned Agreements; (c) licenses under the Assigned Intellectual Property and In-Licensed Patent Rights granted as of the Closing Date under the Assigned Agreements, Delayed Assigned Contracts, Related Agreements, and Non-Assignable Contracts; and (d) licenses under later-discovered Assigned Intellectual Property subject to </w:t>
      </w:r>
      <w:r>
        <w:rPr>
          <w:rFonts w:ascii="Times New Roman" w:hAnsi="Times New Roman"/>
          <w:color w:val="000000"/>
          <w:sz w:val="22"/>
          <w:u w:val="single"/>
        </w:rPr>
        <w:t>Section 2.11</w:t>
      </w:r>
      <w:r>
        <w:rPr>
          <w:rFonts w:ascii="Times New Roman" w:hAnsi="Times New Roman"/>
          <w:color w:val="000000"/>
          <w:sz w:val="20"/>
        </w:rPr>
        <w:t xml:space="preserve"> </w:t>
      </w:r>
      <w:r>
        <w:rPr>
          <w:rFonts w:ascii="Times New Roman" w:hAnsi="Times New Roman"/>
          <w:color w:val="000000"/>
          <w:sz w:val="22"/>
        </w:rPr>
        <w:t>under the Assigned Agreements, Related Agreements, and Non-Assignable Contracts; excluding any of the above liens (i) to the extent they relate to any activity prior to the Closing Date, or (ii) constituting Sellers Taxes.</w:t>
      </w:r>
    </w:p>
    <w:p>
      <w:pPr>
        <w:pStyle w:val="TextBody"/>
        <w:bidi w:val="0"/>
        <w:spacing w:before="0" w:after="240"/>
        <w:ind w:left="0" w:right="0" w:firstLine="1440"/>
        <w:jc w:val="both"/>
        <w:rPr/>
      </w:pPr>
      <w:r>
        <w:rPr>
          <w:color w:val="000000"/>
        </w:rPr>
        <w:t>“</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means any natural person, corporation, general partnership, limited partnership, limited liability company, proprietorship, joint venture, other business organization, trust, entity, union, association or Governmental Entity.</w:t>
      </w:r>
    </w:p>
    <w:p>
      <w:pPr>
        <w:pStyle w:val="TextBody"/>
        <w:bidi w:val="0"/>
        <w:spacing w:before="0" w:after="240"/>
        <w:ind w:left="0" w:right="0" w:firstLine="1440"/>
        <w:jc w:val="both"/>
        <w:rPr/>
      </w:pPr>
      <w:r>
        <w:rPr>
          <w:color w:val="000000"/>
        </w:rPr>
        <w:t>“</w:t>
      </w:r>
      <w:r>
        <w:rPr>
          <w:rFonts w:ascii="Times New Roman" w:hAnsi="Times New Roman"/>
          <w:b/>
          <w:color w:val="000000"/>
          <w:sz w:val="22"/>
        </w:rPr>
        <w:t>Post-Closing Tax Period</w:t>
      </w:r>
      <w:r>
        <w:rPr>
          <w:rFonts w:ascii="Times New Roman" w:hAnsi="Times New Roman"/>
          <w:color w:val="000000"/>
          <w:sz w:val="20"/>
        </w:rPr>
        <w:t xml:space="preserve">” </w:t>
      </w:r>
      <w:r>
        <w:rPr>
          <w:rFonts w:ascii="Times New Roman" w:hAnsi="Times New Roman"/>
          <w:color w:val="000000"/>
          <w:sz w:val="22"/>
        </w:rPr>
        <w:t>means any taxable period beginning after the Closing Date, and the portion of any Straddle Period beginning the day after the Closing Date.</w:t>
      </w:r>
    </w:p>
    <w:p>
      <w:pPr>
        <w:pStyle w:val="TextBody"/>
        <w:bidi w:val="0"/>
        <w:spacing w:before="0" w:after="240"/>
        <w:ind w:left="0" w:right="0" w:firstLine="1440"/>
        <w:jc w:val="both"/>
        <w:rPr/>
      </w:pPr>
      <w:r>
        <w:rPr>
          <w:color w:val="000000"/>
        </w:rPr>
        <w:t>“</w:t>
      </w:r>
      <w:r>
        <w:rPr>
          <w:rFonts w:ascii="Times New Roman" w:hAnsi="Times New Roman"/>
          <w:b/>
          <w:color w:val="000000"/>
          <w:sz w:val="22"/>
        </w:rPr>
        <w:t>Pre-Closing Tax Period</w:t>
      </w:r>
      <w:r>
        <w:rPr>
          <w:rFonts w:ascii="Times New Roman" w:hAnsi="Times New Roman"/>
          <w:color w:val="000000"/>
          <w:sz w:val="20"/>
        </w:rPr>
        <w:t xml:space="preserve">” </w:t>
      </w:r>
      <w:r>
        <w:rPr>
          <w:rFonts w:ascii="Times New Roman" w:hAnsi="Times New Roman"/>
          <w:color w:val="000000"/>
          <w:sz w:val="22"/>
        </w:rPr>
        <w:t>means any taxable period (or portion of a Straddle Period) ending on or before the Closing Date.</w:t>
      </w:r>
    </w:p>
    <w:p>
      <w:pPr>
        <w:pStyle w:val="TextBody"/>
        <w:bidi w:val="0"/>
        <w:spacing w:before="0" w:after="240"/>
        <w:ind w:left="0" w:right="0" w:firstLine="1440"/>
        <w:jc w:val="both"/>
        <w:rPr/>
      </w:pPr>
      <w:r>
        <w:rPr>
          <w:color w:val="000000"/>
        </w:rPr>
        <w:t>“</w:t>
      </w:r>
      <w:r>
        <w:rPr>
          <w:rFonts w:ascii="Times New Roman" w:hAnsi="Times New Roman"/>
          <w:b/>
          <w:color w:val="000000"/>
          <w:sz w:val="22"/>
        </w:rPr>
        <w:t>Product</w:t>
      </w:r>
      <w:r>
        <w:rPr>
          <w:rFonts w:ascii="Times New Roman" w:hAnsi="Times New Roman"/>
          <w:color w:val="000000"/>
          <w:sz w:val="20"/>
        </w:rPr>
        <w:t xml:space="preserve">” </w:t>
      </w:r>
      <w:r>
        <w:rPr>
          <w:rFonts w:ascii="Times New Roman" w:hAnsi="Times New Roman"/>
          <w:color w:val="000000"/>
          <w:sz w:val="22"/>
        </w:rPr>
        <w:t>means any product that contains or comprises a Program Molecule, alone or in combination with one or more Additional Active(s), in any formulation or dosage form and for any mode of administration [***].</w:t>
      </w:r>
    </w:p>
    <w:p>
      <w:pPr>
        <w:pStyle w:val="TextBody"/>
        <w:bidi w:val="0"/>
        <w:spacing w:before="0" w:after="240"/>
        <w:ind w:left="0" w:right="0" w:firstLine="1440"/>
        <w:jc w:val="both"/>
        <w:rPr/>
      </w:pPr>
      <w:r>
        <w:rPr>
          <w:color w:val="000000"/>
        </w:rPr>
        <w:t>“</w:t>
      </w:r>
      <w:r>
        <w:rPr>
          <w:rFonts w:ascii="Times New Roman" w:hAnsi="Times New Roman"/>
          <w:b/>
          <w:color w:val="000000"/>
          <w:sz w:val="22"/>
        </w:rPr>
        <w:t>Program</w:t>
      </w:r>
      <w:r>
        <w:rPr>
          <w:rFonts w:ascii="Times New Roman" w:hAnsi="Times New Roman"/>
          <w:color w:val="000000"/>
          <w:sz w:val="20"/>
        </w:rPr>
        <w:t xml:space="preserve">” </w:t>
      </w:r>
      <w:r>
        <w:rPr>
          <w:rFonts w:ascii="Times New Roman" w:hAnsi="Times New Roman"/>
          <w:color w:val="000000"/>
          <w:sz w:val="22"/>
        </w:rPr>
        <w:t>means the Seller’s program, as of the Closing Date, that is focused on developing Program Molecules.</w:t>
      </w:r>
    </w:p>
    <w:p>
      <w:pPr>
        <w:pStyle w:val="TextBody"/>
        <w:bidi w:val="0"/>
        <w:spacing w:before="0" w:after="240"/>
        <w:ind w:left="0" w:right="0" w:firstLine="1440"/>
        <w:jc w:val="both"/>
        <w:rPr/>
      </w:pPr>
      <w:r>
        <w:rPr>
          <w:color w:val="000000"/>
        </w:rPr>
        <w:t>“</w:t>
      </w:r>
      <w:r>
        <w:rPr>
          <w:rFonts w:ascii="Times New Roman" w:hAnsi="Times New Roman"/>
          <w:b/>
          <w:color w:val="000000"/>
          <w:sz w:val="22"/>
        </w:rPr>
        <w:t>Program Molecule</w:t>
      </w:r>
      <w:r>
        <w:rPr>
          <w:rFonts w:ascii="Times New Roman" w:hAnsi="Times New Roman"/>
          <w:color w:val="000000"/>
          <w:sz w:val="20"/>
        </w:rPr>
        <w:t xml:space="preserve">” </w:t>
      </w:r>
      <w:r>
        <w:rPr>
          <w:rFonts w:ascii="Times New Roman" w:hAnsi="Times New Roman"/>
          <w:color w:val="000000"/>
          <w:sz w:val="22"/>
        </w:rPr>
        <w:t xml:space="preserve">means (a) the small molecule internally coded by Seller as TAK-228 (also referred to as sapanisertib), which has the structure set forth on </w:t>
      </w:r>
      <w:r>
        <w:rPr>
          <w:rFonts w:ascii="Times New Roman" w:hAnsi="Times New Roman"/>
          <w:color w:val="000000"/>
          <w:sz w:val="22"/>
          <w:u w:val="single"/>
        </w:rPr>
        <w:t>Schedule 1.1(a)</w:t>
      </w:r>
      <w:r>
        <w:rPr>
          <w:rFonts w:ascii="Times New Roman" w:hAnsi="Times New Roman"/>
          <w:color w:val="000000"/>
          <w:sz w:val="22"/>
        </w:rPr>
        <w:t>, (b) any compound that falls within the scope of the claims, or is otherwise disclosed, in an Assigned Patent Right that also claims or discloses the molecule described in the foregoing clause (a), or (c) any salt, free acid or base, complex, solvate, hydrate, isotope, polymorph, stereoisomer, tautomer, ester, polymorph, stereoisomer, metabolite or prodrug of (a) or (b).</w:t>
      </w:r>
    </w:p>
    <w:p>
      <w:pPr>
        <w:pStyle w:val="TextBody"/>
        <w:bidi w:val="0"/>
        <w:spacing w:before="0" w:after="240"/>
        <w:ind w:left="0" w:right="0" w:firstLine="1440"/>
        <w:jc w:val="both"/>
        <w:rPr/>
      </w:pPr>
      <w:r>
        <w:rPr>
          <w:color w:val="000000"/>
        </w:rPr>
        <w:t>“</w:t>
      </w:r>
      <w:r>
        <w:rPr>
          <w:rFonts w:ascii="Times New Roman" w:hAnsi="Times New Roman"/>
          <w:b/>
          <w:color w:val="000000"/>
          <w:sz w:val="22"/>
        </w:rPr>
        <w:t>Registrational Trial</w:t>
      </w:r>
      <w:r>
        <w:rPr>
          <w:rFonts w:ascii="Times New Roman" w:hAnsi="Times New Roman"/>
          <w:color w:val="000000"/>
          <w:sz w:val="20"/>
        </w:rPr>
        <w:t xml:space="preserve">” </w:t>
      </w:r>
      <w:r>
        <w:rPr>
          <w:rFonts w:ascii="Times New Roman" w:hAnsi="Times New Roman"/>
          <w:color w:val="000000"/>
          <w:sz w:val="22"/>
        </w:rPr>
        <w:t>means a single randomized, placebo or active controlled human clinical trial of a Product on sufficient numbers of patients that is designed to demonstrate statistically that such Product is safe and efficacious for its[ intended use, to evaluate the risk-benefit relationship of such Product, and to define warnings, precautions and adverse reactions that are associated with such Product in the dosage range to be prescribed, as described in 21 C.F.R. §312.21(c) or corresponding foreign regulations, and that is intended to support obtaining Regulatory Approval of such Product, regardless of whether such trial is referred to as a “</w:t>
      </w:r>
      <w:r>
        <w:rPr>
          <w:rFonts w:ascii="Times New Roman" w:hAnsi="Times New Roman"/>
          <w:b/>
          <w:color w:val="000000"/>
          <w:sz w:val="22"/>
        </w:rPr>
        <w:t>Phase 2 Trial</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Phase 2b Trial</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Phase 2[b]/3</w:t>
      </w:r>
      <w:r>
        <w:rPr>
          <w:rFonts w:ascii="Times New Roman" w:hAnsi="Times New Roman"/>
          <w:color w:val="000000"/>
          <w:sz w:val="20"/>
        </w:rPr>
        <w:t xml:space="preserve">” </w:t>
      </w:r>
      <w:r>
        <w:rPr>
          <w:rFonts w:ascii="Times New Roman" w:hAnsi="Times New Roman"/>
          <w:color w:val="000000"/>
          <w:sz w:val="22"/>
        </w:rPr>
        <w:t>or Phase 3 Trial. If a clinical trial of a Product is not initially designed as a Registrational Trial but is later re-designed, converted or expanded into such a trial (an “</w:t>
      </w:r>
      <w:r>
        <w:rPr>
          <w:rFonts w:ascii="Times New Roman" w:hAnsi="Times New Roman"/>
          <w:b/>
          <w:color w:val="000000"/>
          <w:sz w:val="22"/>
        </w:rPr>
        <w:t>Adjusted Registrational Trial</w:t>
      </w:r>
      <w:r>
        <w:rPr>
          <w:rFonts w:ascii="Times New Roman" w:hAnsi="Times New Roman"/>
          <w:color w:val="000000"/>
          <w:sz w:val="20"/>
        </w:rPr>
        <w:t>”</w:t>
      </w:r>
      <w:r>
        <w:rPr>
          <w:rFonts w:ascii="Times New Roman" w:hAnsi="Times New Roman"/>
          <w:color w:val="000000"/>
          <w:sz w:val="22"/>
        </w:rPr>
        <w:t>), then it shall be deemed to be a Registrational Trial hereunder as of the date of such re-design, conversion or expansion.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pPr>
      <w:r>
        <w:rPr>
          <w:color w:val="000000"/>
        </w:rPr>
        <w:t>“</w:t>
      </w:r>
      <w:r>
        <w:rPr>
          <w:rFonts w:ascii="Times New Roman" w:hAnsi="Times New Roman"/>
          <w:b/>
          <w:color w:val="000000"/>
          <w:sz w:val="22"/>
        </w:rPr>
        <w:t>Regulatory Approval</w:t>
      </w:r>
      <w:r>
        <w:rPr>
          <w:rFonts w:ascii="Times New Roman" w:hAnsi="Times New Roman"/>
          <w:color w:val="000000"/>
          <w:sz w:val="20"/>
        </w:rPr>
        <w:t xml:space="preserve">” </w:t>
      </w:r>
      <w:r>
        <w:rPr>
          <w:rFonts w:ascii="Times New Roman" w:hAnsi="Times New Roman"/>
          <w:color w:val="000000"/>
          <w:sz w:val="22"/>
        </w:rPr>
        <w:t>means the approval, license or authorization of the applicable Regulatory Authority necessary for the marketing and sale of a Product for a particular indication, and including the approval by the applicable Regulatory Authority of any expansion or modification of the label for such indication.</w:t>
      </w:r>
    </w:p>
    <w:p>
      <w:pPr>
        <w:pStyle w:val="TextBody"/>
        <w:bidi w:val="0"/>
        <w:spacing w:before="0" w:after="240"/>
        <w:ind w:left="0" w:right="0" w:firstLine="1440"/>
        <w:jc w:val="both"/>
        <w:rPr/>
      </w:pPr>
      <w:r>
        <w:rPr>
          <w:color w:val="000000"/>
        </w:rPr>
        <w:t>“</w:t>
      </w:r>
      <w:r>
        <w:rPr>
          <w:rFonts w:ascii="Times New Roman" w:hAnsi="Times New Roman"/>
          <w:b/>
          <w:color w:val="000000"/>
          <w:sz w:val="22"/>
        </w:rPr>
        <w:t>Regulatory Authority</w:t>
      </w:r>
      <w:r>
        <w:rPr>
          <w:rFonts w:ascii="Times New Roman" w:hAnsi="Times New Roman"/>
          <w:color w:val="000000"/>
          <w:sz w:val="20"/>
        </w:rPr>
        <w:t xml:space="preserve">” </w:t>
      </w:r>
      <w:r>
        <w:rPr>
          <w:rFonts w:ascii="Times New Roman" w:hAnsi="Times New Roman"/>
          <w:color w:val="000000"/>
          <w:sz w:val="22"/>
        </w:rPr>
        <w:t>means any national, supra-national (e.g. the European Commission or the Council of the European Union), regional, state or local regulatory agency, department, bureau, commission, council or other governmental entity with authority over the distribution, importation, exportation, manufacture, production, use, storage, transport, clinical testing, marketing, pricing or sale of a Product in such country or region in the Territory, including the FDA, the EMA, the Japanese Ministry of Health, Labour and Welfare and any successor entity thereto, the Pharmaceuticals and Medical Devices Agency of Japan and any successor entity thereto and the UK Medicines and Healthcare products Regulatory Agency in the United Kingdom and any successor entity thereto.</w:t>
      </w:r>
    </w:p>
    <w:p>
      <w:pPr>
        <w:pStyle w:val="TextBody"/>
        <w:bidi w:val="0"/>
        <w:spacing w:before="0" w:after="240"/>
        <w:ind w:left="0" w:right="0" w:firstLine="1440"/>
        <w:jc w:val="both"/>
        <w:rPr/>
      </w:pPr>
      <w:r>
        <w:rPr>
          <w:color w:val="000000"/>
        </w:rPr>
        <w:t>“</w:t>
      </w:r>
      <w:r>
        <w:rPr>
          <w:rFonts w:ascii="Times New Roman" w:hAnsi="Times New Roman"/>
          <w:b/>
          <w:color w:val="000000"/>
          <w:sz w:val="22"/>
        </w:rPr>
        <w:t>Regulatory Exclusivity</w:t>
      </w:r>
      <w:r>
        <w:rPr>
          <w:rFonts w:ascii="Times New Roman" w:hAnsi="Times New Roman"/>
          <w:color w:val="000000"/>
          <w:sz w:val="20"/>
        </w:rPr>
        <w:t xml:space="preserve">” </w:t>
      </w:r>
      <w:r>
        <w:rPr>
          <w:rFonts w:ascii="Times New Roman" w:hAnsi="Times New Roman"/>
          <w:color w:val="000000"/>
          <w:sz w:val="22"/>
        </w:rPr>
        <w:t>means any exclusive marketing rights or data exclusivity rights conferred by any Governmental Entity with respect to a Product, other than Patent Rights, including rights conferred in the United States to a NDA holder under the Hatch-Waxman Act or the FDA Modernization Act of 1997 (including pediatric exclusivity), or rights similar thereto outside the United States.</w:t>
      </w:r>
    </w:p>
    <w:p>
      <w:pPr>
        <w:pStyle w:val="TextBody"/>
        <w:bidi w:val="0"/>
        <w:spacing w:before="0" w:after="240"/>
        <w:ind w:left="0" w:right="0" w:firstLine="1440"/>
        <w:jc w:val="both"/>
        <w:rPr/>
      </w:pPr>
      <w:r>
        <w:rPr>
          <w:color w:val="000000"/>
        </w:rPr>
        <w:t>“</w:t>
      </w:r>
      <w:r>
        <w:rPr>
          <w:rFonts w:ascii="Times New Roman" w:hAnsi="Times New Roman"/>
          <w:b/>
          <w:color w:val="000000"/>
          <w:sz w:val="22"/>
        </w:rPr>
        <w:t>Regulatory Filing</w:t>
      </w:r>
      <w:r>
        <w:rPr>
          <w:rFonts w:ascii="Times New Roman" w:hAnsi="Times New Roman"/>
          <w:color w:val="000000"/>
          <w:sz w:val="20"/>
        </w:rPr>
        <w:t xml:space="preserve">” </w:t>
      </w:r>
      <w:r>
        <w:rPr>
          <w:rFonts w:ascii="Times New Roman" w:hAnsi="Times New Roman"/>
          <w:color w:val="000000"/>
          <w:sz w:val="22"/>
        </w:rPr>
        <w:t>means, collectively: (a) any IND, Marketing Authorization Application (MAA), drug master file, application for designation as an “</w:t>
      </w:r>
      <w:r>
        <w:rPr>
          <w:rFonts w:ascii="Times New Roman" w:hAnsi="Times New Roman"/>
          <w:b/>
          <w:color w:val="000000"/>
          <w:sz w:val="22"/>
        </w:rPr>
        <w:t>Orphan Drug</w:t>
      </w:r>
      <w:r>
        <w:rPr>
          <w:rFonts w:ascii="Times New Roman" w:hAnsi="Times New Roman"/>
          <w:color w:val="000000"/>
          <w:sz w:val="20"/>
        </w:rPr>
        <w:t xml:space="preserve">” </w:t>
      </w:r>
      <w:r>
        <w:rPr>
          <w:rFonts w:ascii="Times New Roman" w:hAnsi="Times New Roman"/>
          <w:color w:val="000000"/>
          <w:sz w:val="22"/>
        </w:rPr>
        <w:t>under the Orphan Drug Act, for “</w:t>
      </w:r>
      <w:r>
        <w:rPr>
          <w:rFonts w:ascii="Times New Roman" w:hAnsi="Times New Roman"/>
          <w:b/>
          <w:color w:val="000000"/>
          <w:sz w:val="22"/>
        </w:rPr>
        <w:t>Fast Track</w:t>
      </w:r>
      <w:r>
        <w:rPr>
          <w:rFonts w:ascii="Times New Roman" w:hAnsi="Times New Roman"/>
          <w:color w:val="000000"/>
          <w:sz w:val="20"/>
        </w:rPr>
        <w:t xml:space="preserve">” </w:t>
      </w:r>
      <w:r>
        <w:rPr>
          <w:rFonts w:ascii="Times New Roman" w:hAnsi="Times New Roman"/>
          <w:color w:val="000000"/>
          <w:sz w:val="22"/>
        </w:rPr>
        <w:t>status under Section 506 of the FDCA (21 U.S.C. § 356) or for a Special Protocol Assessment under Section 505(b)(4)(B) and (C) of the FDCA (21 U.S.C. § 355(b)(4)(B)) and all other similar filings (including counterparts of any of the foregoing in any country or region in the Territory); (b) all supplements and amendments to any of the foregoing; and (c) all data and other information contained in, and correspondence relating to, any of the foregoing.</w:t>
      </w:r>
    </w:p>
    <w:p>
      <w:pPr>
        <w:pStyle w:val="TextBody"/>
        <w:bidi w:val="0"/>
        <w:spacing w:before="0" w:after="240"/>
        <w:ind w:left="0" w:right="0" w:firstLine="1440"/>
        <w:jc w:val="both"/>
        <w:rPr/>
      </w:pPr>
      <w:r>
        <w:rPr>
          <w:color w:val="000000"/>
        </w:rPr>
        <w:t>“</w:t>
      </w:r>
      <w:r>
        <w:rPr>
          <w:rFonts w:ascii="Times New Roman" w:hAnsi="Times New Roman"/>
          <w:b/>
          <w:color w:val="000000"/>
          <w:sz w:val="22"/>
        </w:rPr>
        <w:t>Regulatory Materials</w:t>
      </w:r>
      <w:r>
        <w:rPr>
          <w:rFonts w:ascii="Times New Roman" w:hAnsi="Times New Roman"/>
          <w:color w:val="000000"/>
          <w:sz w:val="20"/>
        </w:rPr>
        <w:t xml:space="preserve">” </w:t>
      </w:r>
      <w:r>
        <w:rPr>
          <w:rFonts w:ascii="Times New Roman" w:hAnsi="Times New Roman"/>
          <w:color w:val="000000"/>
          <w:sz w:val="22"/>
        </w:rPr>
        <w:t xml:space="preserve">means the materials set forth on </w:t>
      </w:r>
      <w:r>
        <w:rPr>
          <w:rFonts w:ascii="Times New Roman" w:hAnsi="Times New Roman"/>
          <w:color w:val="000000"/>
          <w:sz w:val="22"/>
          <w:u w:val="single"/>
        </w:rPr>
        <w:t>Schedule 1.1(d)</w:t>
      </w:r>
      <w:r>
        <w:rPr>
          <w:rFonts w:ascii="Times New Roman" w:hAnsi="Times New Roman"/>
          <w:color w:val="000000"/>
          <w:sz w:val="22"/>
        </w:rPr>
        <w:t>. For clarity, Regulatory Materials relating to a Program Molecule in combination with a Takeda Compound are explicitly excluded.</w:t>
      </w:r>
    </w:p>
    <w:p>
      <w:pPr>
        <w:pStyle w:val="TextBody"/>
        <w:bidi w:val="0"/>
        <w:spacing w:before="0" w:after="240"/>
        <w:ind w:left="0" w:right="0" w:firstLine="1440"/>
        <w:jc w:val="both"/>
        <w:rPr/>
      </w:pPr>
      <w:r>
        <w:rPr>
          <w:color w:val="000000"/>
        </w:rPr>
        <w:t>“</w:t>
      </w:r>
      <w:r>
        <w:rPr>
          <w:rFonts w:ascii="Times New Roman" w:hAnsi="Times New Roman"/>
          <w:b/>
          <w:color w:val="000000"/>
          <w:sz w:val="22"/>
        </w:rPr>
        <w:t>Seller Taxes</w:t>
      </w:r>
      <w:r>
        <w:rPr>
          <w:rFonts w:ascii="Times New Roman" w:hAnsi="Times New Roman"/>
          <w:color w:val="000000"/>
          <w:sz w:val="20"/>
        </w:rPr>
        <w:t xml:space="preserve">” </w:t>
      </w:r>
      <w:r>
        <w:rPr>
          <w:rFonts w:ascii="Times New Roman" w:hAnsi="Times New Roman"/>
          <w:color w:val="000000"/>
          <w:sz w:val="22"/>
        </w:rPr>
        <w:t xml:space="preserve">means (a) all Taxes of Seller or its Affiliates, or for which the Seller or any of its Affiliates is or are liable (including as a transferee or successor, or by contract or otherwise by operation of Law), for any taxable period (including any Tax of the Seller or any of its Affiliates that becomes a Liability of Buyer under any common law doctrine of de facto merger or transferee or successor liability or otherwise by operation of contract or Law), and (b) all Taxes relating to the ownership of the Acquired Assets for any Pre-Closing Tax Period, including the portion of any Straddle Period ending on the relevant Assignment Date as determined by </w:t>
      </w:r>
      <w:r>
        <w:rPr>
          <w:rFonts w:ascii="Times New Roman" w:hAnsi="Times New Roman"/>
          <w:color w:val="000000"/>
          <w:sz w:val="22"/>
          <w:u w:val="single"/>
        </w:rPr>
        <w:t>Section 5.8.7</w:t>
      </w:r>
      <w:r>
        <w:rPr>
          <w:rFonts w:ascii="Times New Roman" w:hAnsi="Times New Roman"/>
          <w:color w:val="000000"/>
          <w:sz w:val="22"/>
        </w:rPr>
        <w:t>.</w:t>
      </w:r>
    </w:p>
    <w:p>
      <w:pPr>
        <w:pStyle w:val="TextBody"/>
        <w:bidi w:val="0"/>
        <w:spacing w:before="0" w:after="240"/>
        <w:ind w:left="0" w:right="0" w:firstLine="1440"/>
        <w:jc w:val="both"/>
        <w:rPr/>
      </w:pPr>
      <w:r>
        <w:rPr>
          <w:color w:val="000000"/>
        </w:rPr>
        <w:t>“</w:t>
      </w:r>
      <w:r>
        <w:rPr>
          <w:rFonts w:ascii="Times New Roman" w:hAnsi="Times New Roman"/>
          <w:b/>
          <w:color w:val="000000"/>
          <w:sz w:val="22"/>
        </w:rPr>
        <w:t>Straddle Period</w:t>
      </w:r>
      <w:r>
        <w:rPr>
          <w:rFonts w:ascii="Times New Roman" w:hAnsi="Times New Roman"/>
          <w:color w:val="000000"/>
          <w:sz w:val="20"/>
        </w:rPr>
        <w:t xml:space="preserve">” </w:t>
      </w:r>
      <w:r>
        <w:rPr>
          <w:rFonts w:ascii="Times New Roman" w:hAnsi="Times New Roman"/>
          <w:color w:val="000000"/>
          <w:sz w:val="22"/>
        </w:rPr>
        <w:t>means any taxable period that begins on or before but does not end on the relevant Assignment Date.</w:t>
      </w:r>
    </w:p>
    <w:p>
      <w:pPr>
        <w:pStyle w:val="TextBody"/>
        <w:bidi w:val="0"/>
        <w:spacing w:before="0" w:after="240"/>
        <w:ind w:left="0" w:right="0" w:firstLine="1440"/>
        <w:jc w:val="both"/>
        <w:rPr/>
      </w:pPr>
      <w:r>
        <w:rPr>
          <w:color w:val="000000"/>
        </w:rPr>
        <w:t>“</w:t>
      </w:r>
      <w:r>
        <w:rPr>
          <w:rFonts w:ascii="Times New Roman" w:hAnsi="Times New Roman"/>
          <w:b/>
          <w:color w:val="000000"/>
          <w:sz w:val="22"/>
        </w:rPr>
        <w:t>TAK-228</w:t>
      </w:r>
      <w:r>
        <w:rPr>
          <w:rFonts w:ascii="Times New Roman" w:hAnsi="Times New Roman"/>
          <w:color w:val="000000"/>
          <w:sz w:val="20"/>
        </w:rPr>
        <w:t xml:space="preserve">” </w:t>
      </w:r>
      <w:r>
        <w:rPr>
          <w:rFonts w:ascii="Times New Roman" w:hAnsi="Times New Roman"/>
          <w:color w:val="000000"/>
          <w:sz w:val="22"/>
        </w:rPr>
        <w:t xml:space="preserve">means (a) the small molecule internally coded by Seller as TAK-228 (also referred to as sapanisertib [***]), which has the structure set forth on </w:t>
      </w:r>
      <w:r>
        <w:rPr>
          <w:rFonts w:ascii="Times New Roman" w:hAnsi="Times New Roman"/>
          <w:color w:val="000000"/>
          <w:sz w:val="22"/>
          <w:u w:val="single"/>
        </w:rPr>
        <w:t>Schedule 1.1(a)</w:t>
      </w:r>
      <w:r>
        <w:rPr>
          <w:rFonts w:ascii="Times New Roman" w:hAnsi="Times New Roman"/>
          <w:color w:val="000000"/>
          <w:sz w:val="22"/>
        </w:rPr>
        <w:t>, (b) any compound that falls within the scope of the claims, or is otherwise disclosed, in an Assigned Patent Right that also claims or discloses the molecule described in the foregoing clause (a), or (c) any salt, free acid or base, complex, solvate, hydrate, isotope, polymorph, stereoisomer, tautomer, ester, polymorph, stereoisomer, metabolite or prodrug of (a) or (b).</w:t>
      </w:r>
    </w:p>
    <w:p>
      <w:pPr>
        <w:pStyle w:val="TextBody"/>
        <w:bidi w:val="0"/>
        <w:spacing w:before="0" w:after="240"/>
        <w:ind w:left="0" w:right="0" w:firstLine="1440"/>
        <w:jc w:val="both"/>
        <w:rPr/>
      </w:pPr>
      <w:r>
        <w:rPr>
          <w:color w:val="000000"/>
        </w:rPr>
        <w:t>“</w:t>
      </w:r>
      <w:r>
        <w:rPr>
          <w:rFonts w:ascii="Times New Roman" w:hAnsi="Times New Roman"/>
          <w:b/>
          <w:color w:val="000000"/>
          <w:sz w:val="22"/>
        </w:rPr>
        <w:t>TAK-659</w:t>
      </w:r>
      <w:r>
        <w:rPr>
          <w:rFonts w:ascii="Times New Roman" w:hAnsi="Times New Roman"/>
          <w:color w:val="000000"/>
          <w:sz w:val="20"/>
        </w:rPr>
        <w:t xml:space="preserve">” </w:t>
      </w:r>
      <w:r>
        <w:rPr>
          <w:rFonts w:ascii="Times New Roman" w:hAnsi="Times New Roman"/>
          <w:color w:val="000000"/>
          <w:sz w:val="22"/>
        </w:rPr>
        <w:t>means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pPr>
      <w:r>
        <w:rPr>
          <w:color w:val="000000"/>
        </w:rPr>
        <w:t>“</w:t>
      </w:r>
      <w:r>
        <w:rPr>
          <w:rFonts w:ascii="Times New Roman" w:hAnsi="Times New Roman"/>
          <w:b/>
          <w:color w:val="000000"/>
          <w:sz w:val="22"/>
        </w:rPr>
        <w:t>TAK-228 Product</w:t>
      </w:r>
      <w:r>
        <w:rPr>
          <w:rFonts w:ascii="Times New Roman" w:hAnsi="Times New Roman"/>
          <w:color w:val="000000"/>
          <w:sz w:val="20"/>
        </w:rPr>
        <w:t xml:space="preserve">” </w:t>
      </w:r>
      <w:r>
        <w:rPr>
          <w:rFonts w:ascii="Times New Roman" w:hAnsi="Times New Roman"/>
          <w:color w:val="000000"/>
          <w:sz w:val="22"/>
        </w:rPr>
        <w:t xml:space="preserve">means any product that contains or comprises TAK-228, alone or in combination with one or more Additional Active(s), in any formulation or dosage form and for any mode of administration; </w:t>
      </w:r>
      <w:r>
        <w:rPr>
          <w:rFonts w:ascii="Times New Roman" w:hAnsi="Times New Roman"/>
          <w:i/>
          <w:color w:val="000000"/>
          <w:sz w:val="22"/>
        </w:rPr>
        <w:t>provided that</w:t>
      </w:r>
      <w:r>
        <w:rPr>
          <w:rFonts w:ascii="Times New Roman" w:hAnsi="Times New Roman"/>
          <w:color w:val="000000"/>
          <w:sz w:val="22"/>
        </w:rPr>
        <w:t>, in no event will any TAK-228 Product include any Takeda Compounds or TAK-659.</w:t>
      </w:r>
    </w:p>
    <w:p>
      <w:pPr>
        <w:pStyle w:val="TextBody"/>
        <w:bidi w:val="0"/>
        <w:spacing w:before="0" w:after="240"/>
        <w:ind w:left="0" w:right="0" w:firstLine="1440"/>
        <w:jc w:val="both"/>
        <w:rPr/>
      </w:pPr>
      <w:r>
        <w:rPr>
          <w:color w:val="000000"/>
        </w:rPr>
        <w:t>“</w:t>
      </w:r>
      <w:r>
        <w:rPr>
          <w:rFonts w:ascii="Times New Roman" w:hAnsi="Times New Roman"/>
          <w:b/>
          <w:color w:val="000000"/>
          <w:sz w:val="22"/>
        </w:rPr>
        <w:t>TAK-659 Product</w:t>
      </w:r>
      <w:r>
        <w:rPr>
          <w:rFonts w:ascii="Times New Roman" w:hAnsi="Times New Roman"/>
          <w:color w:val="000000"/>
          <w:sz w:val="20"/>
        </w:rPr>
        <w:t xml:space="preserve">” </w:t>
      </w:r>
      <w:r>
        <w:rPr>
          <w:rFonts w:ascii="Times New Roman" w:hAnsi="Times New Roman"/>
          <w:color w:val="000000"/>
          <w:sz w:val="22"/>
        </w:rPr>
        <w:t xml:space="preserve">means any product that contains or comprises TAK-659, alone or in combination with one or more Additional Active(s), in any formulation or dosage form and for any mode of administration; </w:t>
      </w:r>
      <w:r>
        <w:rPr>
          <w:rFonts w:ascii="Times New Roman" w:hAnsi="Times New Roman"/>
          <w:i/>
          <w:color w:val="000000"/>
          <w:sz w:val="22"/>
        </w:rPr>
        <w:t>provided that</w:t>
      </w:r>
      <w:r>
        <w:rPr>
          <w:rFonts w:ascii="Times New Roman" w:hAnsi="Times New Roman"/>
          <w:color w:val="000000"/>
          <w:sz w:val="22"/>
        </w:rPr>
        <w:t>, in no event will any TAK-659 Product include any Takeda Compounds or TAK-228.</w:t>
      </w:r>
    </w:p>
    <w:p>
      <w:pPr>
        <w:pStyle w:val="TextBody"/>
        <w:bidi w:val="0"/>
        <w:spacing w:before="0" w:after="240"/>
        <w:ind w:left="0" w:right="0" w:firstLine="1440"/>
        <w:jc w:val="both"/>
        <w:rPr/>
      </w:pPr>
      <w:r>
        <w:rPr>
          <w:color w:val="000000"/>
        </w:rPr>
        <w:t>“</w:t>
      </w:r>
      <w:r>
        <w:rPr>
          <w:rFonts w:ascii="Times New Roman" w:hAnsi="Times New Roman"/>
          <w:b/>
          <w:color w:val="000000"/>
          <w:sz w:val="22"/>
        </w:rPr>
        <w:t>Takeda Compound</w:t>
      </w:r>
      <w:r>
        <w:rPr>
          <w:rFonts w:ascii="Times New Roman" w:hAnsi="Times New Roman"/>
          <w:color w:val="000000"/>
          <w:sz w:val="20"/>
        </w:rPr>
        <w:t xml:space="preserve">” </w:t>
      </w:r>
      <w:r>
        <w:rPr>
          <w:rFonts w:ascii="Times New Roman" w:hAnsi="Times New Roman"/>
          <w:color w:val="000000"/>
          <w:sz w:val="22"/>
        </w:rPr>
        <w:t>means any compound or molecule owned or Controlled by Seller or its Affiliates (including TAK-659 and any such compound or molecule that has been exclusively licensed by Seller or its Affiliates) but excluding any Program Molecule.</w:t>
      </w:r>
    </w:p>
    <w:p>
      <w:pPr>
        <w:pStyle w:val="TextBody"/>
        <w:bidi w:val="0"/>
        <w:spacing w:before="0" w:after="240"/>
        <w:ind w:left="0" w:right="0" w:firstLine="1440"/>
        <w:jc w:val="both"/>
        <w:rPr/>
      </w:pPr>
      <w:r>
        <w:rPr>
          <w:color w:val="000000"/>
        </w:rPr>
        <w:t>“</w:t>
      </w:r>
      <w:r>
        <w:rPr>
          <w:rFonts w:ascii="Times New Roman" w:hAnsi="Times New Roman"/>
          <w:b/>
          <w:color w:val="000000"/>
          <w:sz w:val="22"/>
        </w:rPr>
        <w:t>Tax</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Taxes</w:t>
      </w:r>
      <w:r>
        <w:rPr>
          <w:rFonts w:ascii="Times New Roman" w:hAnsi="Times New Roman"/>
          <w:color w:val="000000"/>
          <w:sz w:val="20"/>
        </w:rPr>
        <w:t xml:space="preserve">” </w:t>
      </w:r>
      <w:r>
        <w:rPr>
          <w:rFonts w:ascii="Times New Roman" w:hAnsi="Times New Roman"/>
          <w:color w:val="000000"/>
          <w:sz w:val="22"/>
        </w:rPr>
        <w:t>means any federal, state, local or foreign income, gross receipts, branch profits, license, payroll, employment, excise, severance, stamp, occupation, premium, windfall profits, escheat, environmental, customs duties, capital stock, franchise, profits, withholding, social security, unemployment, disability, real property, personal property, sales, use, transfer, registration, ad valorem, value added, alternative or add-on minimum or estimated tax or other tax of any kind whatsoever, including any interest, penalty or addition thereto, whether disputed or not and including any obligation to indemnify or otherwise assume or succeed to the tax liability of any other Person by Law, by Contract or otherwise.</w:t>
      </w:r>
    </w:p>
    <w:p>
      <w:pPr>
        <w:pStyle w:val="TextBody"/>
        <w:bidi w:val="0"/>
        <w:spacing w:before="0" w:after="240"/>
        <w:ind w:left="0" w:right="0" w:firstLine="1440"/>
        <w:jc w:val="both"/>
        <w:rPr/>
      </w:pPr>
      <w:r>
        <w:rPr>
          <w:color w:val="000000"/>
        </w:rPr>
        <w:t>“</w:t>
      </w:r>
      <w:r>
        <w:rPr>
          <w:rFonts w:ascii="Times New Roman" w:hAnsi="Times New Roman"/>
          <w:b/>
          <w:color w:val="000000"/>
          <w:sz w:val="22"/>
        </w:rPr>
        <w:t>Tax Return</w:t>
      </w:r>
      <w:r>
        <w:rPr>
          <w:rFonts w:ascii="Times New Roman" w:hAnsi="Times New Roman"/>
          <w:color w:val="000000"/>
          <w:sz w:val="20"/>
        </w:rPr>
        <w:t xml:space="preserve">” </w:t>
      </w:r>
      <w:r>
        <w:rPr>
          <w:rFonts w:ascii="Times New Roman" w:hAnsi="Times New Roman"/>
          <w:color w:val="000000"/>
          <w:sz w:val="22"/>
        </w:rPr>
        <w:t>means any return, declaration, notice, statement, claim for refund, report or form (including any schedule or attachment thereto) or other document filed or required to be filed with respect to Taxes and including all amendments or supplements thereof.</w:t>
      </w:r>
    </w:p>
    <w:p>
      <w:pPr>
        <w:pStyle w:val="TextBody"/>
        <w:bidi w:val="0"/>
        <w:spacing w:before="0" w:after="240"/>
        <w:ind w:left="0" w:right="0" w:firstLine="1440"/>
        <w:jc w:val="both"/>
        <w:rPr/>
      </w:pPr>
      <w:r>
        <w:rPr>
          <w:color w:val="000000"/>
        </w:rPr>
        <w:t>“</w:t>
      </w:r>
      <w:r>
        <w:rPr>
          <w:rFonts w:ascii="Times New Roman" w:hAnsi="Times New Roman"/>
          <w:b/>
          <w:color w:val="000000"/>
          <w:sz w:val="22"/>
        </w:rPr>
        <w:t>Territory</w:t>
      </w:r>
      <w:r>
        <w:rPr>
          <w:rFonts w:ascii="Times New Roman" w:hAnsi="Times New Roman"/>
          <w:color w:val="000000"/>
          <w:sz w:val="20"/>
        </w:rPr>
        <w:t xml:space="preserve">” </w:t>
      </w:r>
      <w:r>
        <w:rPr>
          <w:rFonts w:ascii="Times New Roman" w:hAnsi="Times New Roman"/>
          <w:color w:val="000000"/>
          <w:sz w:val="22"/>
        </w:rPr>
        <w:t>means worldwide.</w:t>
      </w:r>
    </w:p>
    <w:p>
      <w:pPr>
        <w:pStyle w:val="TextBody"/>
        <w:bidi w:val="0"/>
        <w:spacing w:before="0" w:after="240"/>
        <w:ind w:left="0" w:right="0" w:firstLine="1440"/>
        <w:jc w:val="both"/>
        <w:rPr/>
      </w:pPr>
      <w:r>
        <w:rPr>
          <w:color w:val="000000"/>
        </w:rPr>
        <w:t>“</w:t>
      </w:r>
      <w:r>
        <w:rPr>
          <w:rFonts w:ascii="Times New Roman" w:hAnsi="Times New Roman"/>
          <w:b/>
          <w:color w:val="000000"/>
          <w:sz w:val="22"/>
        </w:rPr>
        <w:t>Third Party</w:t>
      </w:r>
      <w:r>
        <w:rPr>
          <w:rFonts w:ascii="Times New Roman" w:hAnsi="Times New Roman"/>
          <w:color w:val="000000"/>
          <w:sz w:val="20"/>
        </w:rPr>
        <w:t xml:space="preserve">” </w:t>
      </w:r>
      <w:r>
        <w:rPr>
          <w:rFonts w:ascii="Times New Roman" w:hAnsi="Times New Roman"/>
          <w:color w:val="000000"/>
          <w:sz w:val="22"/>
        </w:rPr>
        <w:t>means a Person other than Buyer, Seller or their respective Affiliates.</w:t>
      </w:r>
    </w:p>
    <w:p>
      <w:pPr>
        <w:pStyle w:val="TextBody"/>
        <w:bidi w:val="0"/>
        <w:spacing w:before="0" w:after="240"/>
        <w:ind w:left="0" w:right="0" w:firstLine="1440"/>
        <w:jc w:val="both"/>
        <w:rPr/>
      </w:pPr>
      <w:r>
        <w:rPr>
          <w:color w:val="000000"/>
        </w:rPr>
        <w:t>“</w:t>
      </w:r>
      <w:r>
        <w:rPr>
          <w:rFonts w:ascii="Times New Roman" w:hAnsi="Times New Roman"/>
          <w:b/>
          <w:color w:val="000000"/>
          <w:sz w:val="22"/>
        </w:rPr>
        <w:t>US GAAP</w:t>
      </w:r>
      <w:r>
        <w:rPr>
          <w:rFonts w:ascii="Times New Roman" w:hAnsi="Times New Roman"/>
          <w:color w:val="000000"/>
          <w:sz w:val="20"/>
        </w:rPr>
        <w:t xml:space="preserve">” </w:t>
      </w:r>
      <w:r>
        <w:rPr>
          <w:rFonts w:ascii="Times New Roman" w:hAnsi="Times New Roman"/>
          <w:color w:val="000000"/>
          <w:sz w:val="22"/>
        </w:rPr>
        <w:t>means United States Generally Accepted Accounting Principles.</w:t>
      </w:r>
    </w:p>
    <w:p>
      <w:pPr>
        <w:pStyle w:val="TextBody"/>
        <w:bidi w:val="0"/>
        <w:spacing w:before="0" w:after="240"/>
        <w:ind w:left="0" w:right="0" w:firstLine="1440"/>
        <w:jc w:val="both"/>
        <w:rPr/>
      </w:pPr>
      <w:r>
        <w:rPr>
          <w:color w:val="000000"/>
        </w:rPr>
        <w:t>“</w:t>
      </w:r>
      <w:r>
        <w:rPr>
          <w:rFonts w:ascii="Times New Roman" w:hAnsi="Times New Roman"/>
          <w:b/>
          <w:color w:val="000000"/>
          <w:sz w:val="22"/>
        </w:rPr>
        <w:t>Valid Claim</w:t>
      </w:r>
      <w:r>
        <w:rPr>
          <w:rFonts w:ascii="Times New Roman" w:hAnsi="Times New Roman"/>
          <w:color w:val="000000"/>
          <w:sz w:val="20"/>
        </w:rPr>
        <w:t xml:space="preserve">” </w:t>
      </w:r>
      <w:r>
        <w:rPr>
          <w:rFonts w:ascii="Times New Roman" w:hAnsi="Times New Roman"/>
          <w:color w:val="000000"/>
          <w:sz w:val="22"/>
        </w:rPr>
        <w:t>means (a) any claim of an issued and unexpired patent within the Assigned Patent Rights, [***] or In-Licensed Patent Rights that has not been held unpatentable, invalid or unenforceable by a decision of a Court or other Governmental Entity of competent jurisdiction, unappealable or unappealed within the time allowed for appeal, and which has not been cancelled, withdrawn, revoked, abandoned or admitted to be invalid or unenforceable through reissue, disclaimer or otherwise, or (b) a claim of a pending patent application included within the Assigned Patent Rights, [***] or In-Licensed Patent Rights that is being prosecuted in good faith and has not lapsed, been abandoned, been cancelled or revoked, or been deemed unenforceable or invalid by a non-appealable decision or an appealable decision from which no appeal was taken within the time allowed for such appeal of a Court or other Governmental Entity of competent jurisdiction, which claim has not been pending for more than [***] from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1.2 Additional Definitions.</w:t>
      </w:r>
      <w:r>
        <w:rPr>
          <w:rFonts w:ascii="Times New Roman" w:hAnsi="Times New Roman"/>
          <w:color w:val="000000"/>
          <w:sz w:val="20"/>
        </w:rPr>
        <w:t xml:space="preserve"> </w:t>
      </w:r>
      <w:r>
        <w:rPr>
          <w:rFonts w:ascii="Times New Roman" w:hAnsi="Times New Roman"/>
          <w:color w:val="000000"/>
          <w:sz w:val="22"/>
        </w:rPr>
        <w:t>In addition, each of the following definitions shall have the respective meanings set forth in the section of this Agreement indicated below:</w:t>
      </w:r>
    </w:p>
    <w:tbl>
      <w:tblPr>
        <w:tblW w:w="5912" w:type="dxa"/>
        <w:jc w:val="left"/>
        <w:tblInd w:w="0" w:type="dxa"/>
        <w:tblLayout w:type="fixed"/>
        <w:tblCellMar>
          <w:top w:w="28" w:type="dxa"/>
          <w:left w:w="28" w:type="dxa"/>
          <w:bottom w:w="28" w:type="dxa"/>
          <w:right w:w="28" w:type="dxa"/>
        </w:tblCellMar>
      </w:tblPr>
      <w:tblGrid>
        <w:gridCol w:w="2806"/>
        <w:gridCol w:w="3106"/>
      </w:tblGrid>
      <w:tr>
        <w:trPr/>
        <w:tc>
          <w:tcPr>
            <w:tcW w:w="2806"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Definition</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Acquired Assets</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2.3</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Adjusted Registrational Trial</w:t>
            </w:r>
          </w:p>
        </w:tc>
        <w:tc>
          <w:tcPr>
            <w:tcW w:w="31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Registrational Trial” definition</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Agreed Claims</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9.5.5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tbl>
      <w:tblPr>
        <w:tblW w:w="5417" w:type="dxa"/>
        <w:jc w:val="left"/>
        <w:tblInd w:w="0" w:type="dxa"/>
        <w:tblLayout w:type="fixed"/>
        <w:tblCellMar>
          <w:top w:w="28" w:type="dxa"/>
          <w:left w:w="28" w:type="dxa"/>
          <w:bottom w:w="28" w:type="dxa"/>
          <w:right w:w="28" w:type="dxa"/>
        </w:tblCellMar>
      </w:tblPr>
      <w:tblGrid>
        <w:gridCol w:w="3226"/>
        <w:gridCol w:w="2191"/>
      </w:tblGrid>
      <w:tr>
        <w:trPr/>
        <w:tc>
          <w:tcPr>
            <w:tcW w:w="322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Agreement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Allocation Schedule</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5.8.6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3.3.2</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Assignment Consent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3.7</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Assignment Date</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3.9</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Bankruptcy Laws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8.2.2(b)</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Breaching Party</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8.2.1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Buyer</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Buyer Indemnified Parties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9.3</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CDA Effective Date</w:t>
            </w:r>
          </w:p>
        </w:tc>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CDA” definition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Claim Certificate</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9.5.1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Claims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9.2</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 Date</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Code</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5.8.6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Confidential Information</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Cure Period</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8.2.1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Deductible</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9.4.1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Delayed Assigned Contract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3.9</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Development Milestone Event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5.3</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Development Milestone Payment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5.3</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Excluded Assets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2.4</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Excluded Liabilities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2.8</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Indemnifying Party</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9.5.1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Indication</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5.3</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5.2.4</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Licensed Intellectual Property</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Losses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9.2</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Non-Breaching Party</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8.2.1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Non-Assignable Contract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3.7</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Party/Parties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Post-Closing Liabilities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2.7</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4.1.3</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Related Agreements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Report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3.3.1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Sales Milestone Event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5.4</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Sales Milestone Payment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5.4</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2.5(b) IP</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2.5</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Seller</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Seller Indemnified Parties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9.2</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Selling Party</w:t>
            </w:r>
          </w:p>
        </w:tc>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Net Sales” definition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Third-Party Claim</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9.5.1</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Transaction IP</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4.3</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Transfer Taxes</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5.8.4</w:t>
            </w:r>
          </w:p>
        </w:tc>
      </w:tr>
    </w:tbl>
    <w:p>
      <w:pPr>
        <w:pStyle w:val="TextBody"/>
        <w:bidi w:val="0"/>
        <w:spacing w:before="240" w:after="240"/>
        <w:ind w:left="0" w:right="0" w:firstLine="720"/>
        <w:jc w:val="both"/>
        <w:rPr>
          <w:rFonts w:ascii="Times New Roman" w:hAnsi="Times New Roman"/>
          <w:sz w:val="20"/>
        </w:rPr>
      </w:pPr>
      <w:r>
        <w:rPr>
          <w:rFonts w:ascii="Times New Roman" w:hAnsi="Times New Roman"/>
          <w:b/>
          <w:color w:val="000000"/>
          <w:sz w:val="22"/>
        </w:rPr>
        <w:t>1.3 Construction of Certain Terms and Phrases.</w:t>
      </w:r>
      <w:r>
        <w:rPr>
          <w:rFonts w:ascii="Times New Roman" w:hAnsi="Times New Roman"/>
          <w:color w:val="000000"/>
          <w:sz w:val="20"/>
        </w:rPr>
        <w:t xml:space="preserve"> </w:t>
      </w:r>
      <w:r>
        <w:rPr>
          <w:rFonts w:ascii="Times New Roman" w:hAnsi="Times New Roman"/>
          <w:color w:val="000000"/>
          <w:sz w:val="22"/>
        </w:rPr>
        <w:t>Unless the context of this Agreement otherwise requires: (a) words of any gender include each other gender; (b) words using the singular or plural number also include the plural or singular number, respectively; (c) the terms “hereof,” “herein,” “hereby” and derivative or similar words refer to this entire Agreement; (d) the terms “Article” or “Section” refer to the specified Article or Section of this Agreement; (e) the term “or” has, except where otherwise indicated,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the inclusive meaning represented by the phrase “and/or”; (f) the term “including” means “including without limitation”; and (g) whenever this Agreement refers to a number of days, such number shall refer to calendar days unless Business Days are specified.</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2</w:t>
      </w:r>
      <w:r>
        <w:rPr>
          <w:rFonts w:ascii="Times New Roman" w:hAnsi="Times New Roman"/>
          <w:color w:val="000000"/>
          <w:sz w:val="22"/>
        </w:rPr>
        <w:br/>
        <w:br/>
      </w:r>
      <w:r>
        <w:rPr>
          <w:rFonts w:ascii="Times New Roman" w:hAnsi="Times New Roman"/>
          <w:b/>
          <w:color w:val="000000"/>
          <w:sz w:val="22"/>
        </w:rPr>
        <w:t>PURCHASE AND SALE OF ASSETS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2.1 Closing.</w:t>
      </w:r>
      <w:r>
        <w:rPr>
          <w:rFonts w:ascii="Times New Roman" w:hAnsi="Times New Roman"/>
          <w:color w:val="000000"/>
          <w:sz w:val="20"/>
        </w:rPr>
        <w:t xml:space="preserve"> </w:t>
      </w:r>
      <w:r>
        <w:rPr>
          <w:rFonts w:ascii="Times New Roman" w:hAnsi="Times New Roman"/>
          <w:color w:val="000000"/>
          <w:sz w:val="22"/>
        </w:rPr>
        <w:t>The Parties acknowledge that the consummation (the “</w:t>
      </w:r>
      <w:r>
        <w:rPr>
          <w:rFonts w:ascii="Times New Roman" w:hAnsi="Times New Roman"/>
          <w:b/>
          <w:color w:val="000000"/>
          <w:sz w:val="22"/>
        </w:rPr>
        <w:t>Closing</w:t>
      </w:r>
      <w:r>
        <w:rPr>
          <w:rFonts w:ascii="Times New Roman" w:hAnsi="Times New Roman"/>
          <w:color w:val="000000"/>
          <w:sz w:val="20"/>
        </w:rPr>
        <w:t>”</w:t>
      </w:r>
      <w:r>
        <w:rPr>
          <w:rFonts w:ascii="Times New Roman" w:hAnsi="Times New Roman"/>
          <w:color w:val="000000"/>
          <w:sz w:val="22"/>
        </w:rPr>
        <w:t>) of the transactions contemplated by the Original Agreement and the Ancillary Agreements took place remotely via the exchange of documents and signatures on the Original Effective Date. The date on which the Closing occurred is referred to herein as the “</w:t>
      </w:r>
      <w:r>
        <w:rPr>
          <w:rFonts w:ascii="Times New Roman" w:hAnsi="Times New Roman"/>
          <w:b/>
          <w:color w:val="000000"/>
          <w:sz w:val="22"/>
        </w:rPr>
        <w:t>Closing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2.2 Closing Deliveries.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2.2.1 </w:t>
      </w:r>
      <w:r>
        <w:rPr>
          <w:rFonts w:ascii="Times New Roman" w:hAnsi="Times New Roman"/>
          <w:color w:val="000000"/>
          <w:sz w:val="22"/>
        </w:rPr>
        <w:t>The Parties acknowledge that, on or prior to the Closing Date, Seller delivered to Buyer the following:</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Bill of Sale, duly executed by Seller;</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the Equity Agreement, duly executed by Seller;</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2"/>
        </w:rPr>
        <w:t>the Patent Assignment Agreement, duly executed by Seller; and</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(d) </w:t>
      </w:r>
      <w:r>
        <w:rPr>
          <w:rFonts w:ascii="Times New Roman" w:hAnsi="Times New Roman"/>
          <w:color w:val="000000"/>
          <w:sz w:val="22"/>
        </w:rPr>
        <w:t>such other documents and instruments of transfer as Buyer and Seller mutually agreed were necessary to evidence or effectuate the transactions contemplated by the Original Agreement and the Ancillary Agreements.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2.2.2 </w:t>
      </w:r>
      <w:r>
        <w:rPr>
          <w:rFonts w:ascii="Times New Roman" w:hAnsi="Times New Roman"/>
          <w:color w:val="000000"/>
          <w:sz w:val="22"/>
        </w:rPr>
        <w:t>The Parties acknowledge that, on or prior to the Closing Date, Buyer delivered to Seller the following:</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Bill of Sale, duly executed by Buyer;</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the Patent Assignment Agreement, duly executed by Buyer;</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2"/>
        </w:rPr>
        <w:t>the Equity Agreement, duly executed by Buyer; and</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(d) </w:t>
      </w:r>
      <w:r>
        <w:rPr>
          <w:rFonts w:ascii="Times New Roman" w:hAnsi="Times New Roman"/>
          <w:color w:val="000000"/>
          <w:sz w:val="22"/>
        </w:rPr>
        <w:t>such other documents and instruments of transfer as Buyer and Seller mutually agreed were necessary to evidence or effectuate the transactions contemplated by the Original Agreement and the Ancillary Agreements.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2.3 Purchase and Sale of Assets.</w:t>
      </w:r>
      <w:r>
        <w:rPr>
          <w:rFonts w:ascii="Times New Roman" w:hAnsi="Times New Roman"/>
          <w:color w:val="000000"/>
          <w:sz w:val="20"/>
        </w:rPr>
        <w:t xml:space="preserve"> </w:t>
      </w:r>
      <w:r>
        <w:rPr>
          <w:rFonts w:ascii="Times New Roman" w:hAnsi="Times New Roman"/>
          <w:color w:val="000000"/>
          <w:sz w:val="22"/>
        </w:rPr>
        <w:t xml:space="preserve">Subject to the terms and conditions set forth in the Original Agreement and this Agreement, effective on the Closing Date, Seller hereby sells, conveys, assigns, transfers and delivers to, and shall cause its Affiliates to sell, convey, assign, transfer and deliver to, Buyer, and Buyer hereby purchases and acquires from each of Seller or its Affiliates, as the case may be, all of Seller’s and its Affiliates’ right, title and interest in and to the assets described or set forth on </w:t>
      </w:r>
      <w:r>
        <w:rPr>
          <w:rFonts w:ascii="Times New Roman" w:hAnsi="Times New Roman"/>
          <w:color w:val="000000"/>
          <w:sz w:val="22"/>
          <w:u w:val="single"/>
        </w:rPr>
        <w:t>Schedule 2.3</w:t>
      </w:r>
      <w:r>
        <w:rPr>
          <w:rFonts w:ascii="Times New Roman" w:hAnsi="Times New Roman"/>
          <w:color w:val="000000"/>
          <w:sz w:val="20"/>
        </w:rPr>
        <w:t xml:space="preserve"> </w:t>
      </w:r>
      <w:r>
        <w:rPr>
          <w:rFonts w:ascii="Times New Roman" w:hAnsi="Times New Roman"/>
          <w:color w:val="000000"/>
          <w:sz w:val="22"/>
        </w:rPr>
        <w:t>attached hereto (collectively, the “</w:t>
      </w:r>
      <w:r>
        <w:rPr>
          <w:rFonts w:ascii="Times New Roman" w:hAnsi="Times New Roman"/>
          <w:b/>
          <w:color w:val="000000"/>
          <w:sz w:val="22"/>
        </w:rPr>
        <w:t>Acquired Assets</w:t>
      </w:r>
      <w:r>
        <w:rPr>
          <w:rFonts w:ascii="Times New Roman" w:hAnsi="Times New Roman"/>
          <w:color w:val="000000"/>
          <w:sz w:val="20"/>
        </w:rPr>
        <w:t>”</w:t>
      </w:r>
      <w:r>
        <w:rPr>
          <w:rFonts w:ascii="Times New Roman" w:hAnsi="Times New Roman"/>
          <w:color w:val="000000"/>
          <w:sz w:val="22"/>
        </w:rPr>
        <w:t>), free and clear of all Encumbrances (other than Permitted Encumbrances).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2.4 Excluded Assets.</w:t>
      </w:r>
      <w:r>
        <w:rPr>
          <w:rFonts w:ascii="Times New Roman" w:hAnsi="Times New Roman"/>
          <w:color w:val="000000"/>
          <w:sz w:val="20"/>
        </w:rPr>
        <w:t xml:space="preserve"> </w:t>
      </w:r>
      <w:r>
        <w:rPr>
          <w:rFonts w:ascii="Times New Roman" w:hAnsi="Times New Roman"/>
          <w:color w:val="000000"/>
          <w:sz w:val="22"/>
        </w:rPr>
        <w:t>No right, title or interest is being sold, assigned, transferred, conveyed or delivered to Buyer in or to (a) any of the property and assets of Seller other than the Acquired Assets,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(b) any rights or claims of Seller under this Agreement (collectively, the “</w:t>
      </w:r>
      <w:r>
        <w:rPr>
          <w:rFonts w:ascii="Times New Roman" w:hAnsi="Times New Roman"/>
          <w:b/>
          <w:color w:val="000000"/>
          <w:sz w:val="22"/>
        </w:rPr>
        <w:t>Excluded Assets</w:t>
      </w:r>
      <w:r>
        <w:rPr>
          <w:rFonts w:ascii="Times New Roman" w:hAnsi="Times New Roman"/>
          <w:color w:val="000000"/>
          <w:sz w:val="20"/>
        </w:rPr>
        <w:t>”</w:t>
      </w:r>
      <w:r>
        <w:rPr>
          <w:rFonts w:ascii="Times New Roman" w:hAnsi="Times New Roman"/>
          <w:color w:val="000000"/>
          <w:sz w:val="22"/>
        </w:rPr>
        <w:t xml:space="preserve">). For the avoidance of doubt, Excluded Assets include the assets set forth in </w:t>
      </w:r>
      <w:r>
        <w:rPr>
          <w:rFonts w:ascii="Times New Roman" w:hAnsi="Times New Roman"/>
          <w:color w:val="000000"/>
          <w:sz w:val="22"/>
          <w:u w:val="single"/>
        </w:rPr>
        <w:t>Schedule 2.4</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2.5 License Back.</w:t>
      </w:r>
      <w:r>
        <w:rPr>
          <w:rFonts w:ascii="Times New Roman" w:hAnsi="Times New Roman"/>
          <w:color w:val="000000"/>
          <w:sz w:val="20"/>
        </w:rPr>
        <w:t xml:space="preserve"> </w:t>
      </w:r>
      <w:r>
        <w:rPr>
          <w:rFonts w:ascii="Times New Roman" w:hAnsi="Times New Roman"/>
          <w:color w:val="000000"/>
          <w:sz w:val="22"/>
        </w:rPr>
        <w:t xml:space="preserve">Buyer hereby grants Seller and its Affiliates (a) a non-exclusive, non-transferable, royalty-free, fully paid-up license under the Assigned Intellectual Property, with the right to sublicense solely to those counterparties to the Related Agreements and Non-Assignable Contracts to whom Seller had granted a license under the Assigned Intellectual Property prior to the Closing Date, solely as necessary for Seller or its Affiliate to perform Seller’s obligations under this Agreement and any Ancillary Agreement (including the continued performance of any Related Agreement or Non-Assignable Contract), and (b) a non-exclusive, irrevocable royalty-free, fully paid-up license, with the right to sublicense to service providers and the like conducting activities on behalf of Seller or its Affiliate, under the Assigned Intellectual Property for non-clinical, internal research purposes. Each sublicense shall be consistent with the terms and conditions of this Agreement, including requiring each such sublicensee to assign or license Transaction IP to Seller and to protect and keep confidential any Confidential Information of the Parties in accordance with </w:t>
      </w:r>
      <w:r>
        <w:rPr>
          <w:rFonts w:ascii="Times New Roman" w:hAnsi="Times New Roman"/>
          <w:color w:val="000000"/>
          <w:sz w:val="22"/>
          <w:u w:val="single"/>
        </w:rPr>
        <w:t>Article 7</w:t>
      </w:r>
      <w:r>
        <w:rPr>
          <w:rFonts w:ascii="Times New Roman" w:hAnsi="Times New Roman"/>
          <w:color w:val="000000"/>
          <w:sz w:val="20"/>
        </w:rPr>
        <w:t xml:space="preserve"> </w:t>
      </w:r>
      <w:r>
        <w:rPr>
          <w:rFonts w:ascii="Times New Roman" w:hAnsi="Times New Roman"/>
          <w:color w:val="000000"/>
          <w:sz w:val="22"/>
        </w:rPr>
        <w:t>of this Agreement. For clarity, the license in the foregoing clause (a) includes the right to manufacture until [***], Product that is necessary to perform Seller’s supply obligations existing as of the Closing Date under Related Agreements and Non-Assignable Contracts. If Seller requires a sublicense under any intellectual property licensed under an Assigned Agreement to perform its obligations under this Agreement or any Ancillary Agreement, the Parties will enter into a separate sublicense agreement. Any Know-How or Patent Rights that arise from the practice of the license granted pursuant to clause (b) above shall be referred to as “</w:t>
      </w:r>
      <w:r>
        <w:rPr>
          <w:rFonts w:ascii="Times New Roman" w:hAnsi="Times New Roman"/>
          <w:b/>
          <w:color w:val="000000"/>
          <w:sz w:val="22"/>
        </w:rPr>
        <w:t>Section 2.5(b) IP</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2.6 Licensed Intellectual Property.</w:t>
      </w:r>
      <w:r>
        <w:rPr>
          <w:rFonts w:ascii="Times New Roman" w:hAnsi="Times New Roman"/>
          <w:color w:val="000000"/>
          <w:sz w:val="20"/>
        </w:rPr>
        <w:t xml:space="preserve"> </w:t>
      </w:r>
      <w:r>
        <w:rPr>
          <w:rFonts w:ascii="Times New Roman" w:hAnsi="Times New Roman"/>
          <w:color w:val="000000"/>
          <w:sz w:val="22"/>
        </w:rPr>
        <w:t xml:space="preserve">To the extent Seller or its Affiliate Controls any Patent Rights or Know-How (a) as of the Closing Date; or (b) on or after the Closing Date and (A) included in the Transaction IP, (B) Controlled pursuant to a Non-Assignable Contract or Related Agreement, in each case (A) and (B) pursuant to </w:t>
      </w:r>
      <w:r>
        <w:rPr>
          <w:rFonts w:ascii="Times New Roman" w:hAnsi="Times New Roman"/>
          <w:color w:val="000000"/>
          <w:sz w:val="22"/>
          <w:u w:val="single"/>
        </w:rPr>
        <w:t>Section 4.3</w:t>
      </w:r>
      <w:r>
        <w:rPr>
          <w:rFonts w:ascii="Times New Roman" w:hAnsi="Times New Roman"/>
          <w:color w:val="000000"/>
          <w:sz w:val="22"/>
        </w:rPr>
        <w:t xml:space="preserve">, or (C) constituting </w:t>
      </w:r>
      <w:r>
        <w:rPr>
          <w:rFonts w:ascii="Times New Roman" w:hAnsi="Times New Roman"/>
          <w:color w:val="000000"/>
          <w:sz w:val="22"/>
          <w:u w:val="single"/>
        </w:rPr>
        <w:t>Section 2.5(b)</w:t>
      </w:r>
      <w:r>
        <w:rPr>
          <w:rFonts w:ascii="Times New Roman" w:hAnsi="Times New Roman"/>
          <w:color w:val="000000"/>
          <w:sz w:val="20"/>
        </w:rPr>
        <w:t xml:space="preserve"> </w:t>
      </w:r>
      <w:r>
        <w:rPr>
          <w:rFonts w:ascii="Times New Roman" w:hAnsi="Times New Roman"/>
          <w:color w:val="000000"/>
          <w:sz w:val="22"/>
        </w:rPr>
        <w:t>IP, that in each case (a) and (b) are necessary to research and develop, make, have made, use, sell, offer for sale, and import Products (including researching, developing, and making Program Molecules for the purpose of exercising such license with respect to Products) in the Field in the Territory and that are not included in Assigned Intellectual Property or licensed under the Assigned Agreements (“</w:t>
      </w:r>
      <w:r>
        <w:rPr>
          <w:rFonts w:ascii="Times New Roman" w:hAnsi="Times New Roman"/>
          <w:b/>
          <w:color w:val="000000"/>
          <w:sz w:val="22"/>
        </w:rPr>
        <w:t>Licensed Intellectual Property</w:t>
      </w:r>
      <w:r>
        <w:rPr>
          <w:rFonts w:ascii="Times New Roman" w:hAnsi="Times New Roman"/>
          <w:color w:val="000000"/>
          <w:sz w:val="20"/>
        </w:rPr>
        <w:t>”</w:t>
      </w:r>
      <w:r>
        <w:rPr>
          <w:rFonts w:ascii="Times New Roman" w:hAnsi="Times New Roman"/>
          <w:color w:val="000000"/>
          <w:sz w:val="22"/>
        </w:rPr>
        <w:t xml:space="preserve">), Seller hereby grants Buyer a non-exclusive license under and to such Licensed Intellectual Property, with the right to grant sublicenses through multiple tiers, for the sole purpose of researching, developing, making, having made, using and importing Program Molecules and researching and developing, making, having made, using, selling, offering for sale, and importing Products in the Field in the Territory; provided, that Licensed Intellectual Property does not include any Patent Rights or Know-How that relate to a Program Molecule or Product in combination with a Takeda Compound. Each sublicense shall be consistent with the terms and conditions of this Agreement, including requiring each such sublicensee to protect and keep confidential any Confidential Information of the Parties in accordance with </w:t>
      </w:r>
      <w:r>
        <w:rPr>
          <w:rFonts w:ascii="Times New Roman" w:hAnsi="Times New Roman"/>
          <w:color w:val="000000"/>
          <w:sz w:val="22"/>
          <w:u w:val="single"/>
        </w:rPr>
        <w:t>Article 7</w:t>
      </w:r>
      <w:r>
        <w:rPr>
          <w:rFonts w:ascii="Times New Roman" w:hAnsi="Times New Roman"/>
          <w:color w:val="000000"/>
          <w:sz w:val="20"/>
        </w:rPr>
        <w:t xml:space="preserve"> </w:t>
      </w:r>
      <w:r>
        <w:rPr>
          <w:rFonts w:ascii="Times New Roman" w:hAnsi="Times New Roman"/>
          <w:color w:val="000000"/>
          <w:sz w:val="22"/>
        </w:rPr>
        <w:t xml:space="preserve">of this Agreement. For clarity, Licensed Intellectual Property, other than </w:t>
      </w:r>
      <w:r>
        <w:rPr>
          <w:rFonts w:ascii="Times New Roman" w:hAnsi="Times New Roman"/>
          <w:color w:val="000000"/>
          <w:sz w:val="22"/>
          <w:u w:val="single"/>
        </w:rPr>
        <w:t>Section 2.5(b)</w:t>
      </w:r>
      <w:r>
        <w:rPr>
          <w:rFonts w:ascii="Times New Roman" w:hAnsi="Times New Roman"/>
          <w:color w:val="000000"/>
          <w:sz w:val="20"/>
        </w:rPr>
        <w:t xml:space="preserve"> </w:t>
      </w:r>
      <w:r>
        <w:rPr>
          <w:rFonts w:ascii="Times New Roman" w:hAnsi="Times New Roman"/>
          <w:color w:val="000000"/>
          <w:sz w:val="22"/>
        </w:rPr>
        <w:t xml:space="preserve">IP, does not include Patent Rights or Know-How owned by Seller or its Affiliate that solely relate to any Program Molecule, which is included in Assigned Intellectual Property. </w:t>
      </w:r>
      <w:r>
        <w:rPr>
          <w:rFonts w:ascii="Times New Roman" w:hAnsi="Times New Roman"/>
          <w:color w:val="000000"/>
          <w:sz w:val="22"/>
          <w:u w:val="single"/>
        </w:rPr>
        <w:t>Schedule 2.6</w:t>
      </w:r>
      <w:r>
        <w:rPr>
          <w:rFonts w:ascii="Times New Roman" w:hAnsi="Times New Roman"/>
          <w:color w:val="000000"/>
          <w:sz w:val="20"/>
        </w:rPr>
        <w:t xml:space="preserve"> </w:t>
      </w:r>
      <w:r>
        <w:rPr>
          <w:rFonts w:ascii="Times New Roman" w:hAnsi="Times New Roman"/>
          <w:color w:val="000000"/>
          <w:sz w:val="22"/>
        </w:rPr>
        <w:t xml:space="preserve">sets forth the Licensed Intellectual Property as of the Closing Date; such schedule may be updated by the Parties from time to time. Without limiting the foregoing, with respect to Patent Rights included in </w:t>
      </w:r>
      <w:r>
        <w:rPr>
          <w:rFonts w:ascii="Times New Roman" w:hAnsi="Times New Roman"/>
          <w:color w:val="000000"/>
          <w:sz w:val="22"/>
          <w:u w:val="single"/>
        </w:rPr>
        <w:t>Section 2.5(b)</w:t>
      </w:r>
      <w:r>
        <w:rPr>
          <w:rFonts w:ascii="Times New Roman" w:hAnsi="Times New Roman"/>
          <w:color w:val="000000"/>
          <w:sz w:val="20"/>
        </w:rPr>
        <w:t xml:space="preserve"> </w:t>
      </w:r>
      <w:r>
        <w:rPr>
          <w:rFonts w:ascii="Times New Roman" w:hAnsi="Times New Roman"/>
          <w:color w:val="000000"/>
          <w:sz w:val="22"/>
        </w:rPr>
        <w:t>IP, Buyer shall have the right to notify Seller that it desires to obtain an exclusive license with respect thereto for the sole purpose of researching, developing, making, have made, using and importing Program Molecules and researching and developing, making, having made, using, selling, offering for sale, and importing Products in the Field in the Territory, and upon receipt of any such notification the Parties shall negotiate in good faith [***] for such an exclusive license to the extent that Seller has the right and ability to grant such a license; provided that neither Party has an obligation to enter into any such exclusive license.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2.7 Post-Closing Liabilities.</w:t>
      </w:r>
      <w:r>
        <w:rPr>
          <w:rFonts w:ascii="Times New Roman" w:hAnsi="Times New Roman"/>
          <w:color w:val="000000"/>
          <w:sz w:val="20"/>
        </w:rPr>
        <w:t xml:space="preserve"> </w:t>
      </w:r>
      <w:r>
        <w:rPr>
          <w:rFonts w:ascii="Times New Roman" w:hAnsi="Times New Roman"/>
          <w:color w:val="000000"/>
          <w:sz w:val="22"/>
        </w:rPr>
        <w:t xml:space="preserve">Subject to the terms and conditions of this Agreement, including </w:t>
      </w:r>
      <w:r>
        <w:rPr>
          <w:rFonts w:ascii="Times New Roman" w:hAnsi="Times New Roman"/>
          <w:color w:val="000000"/>
          <w:sz w:val="22"/>
          <w:u w:val="single"/>
        </w:rPr>
        <w:t>Section 3.5.3</w:t>
      </w:r>
      <w:r>
        <w:rPr>
          <w:rFonts w:ascii="Times New Roman" w:hAnsi="Times New Roman"/>
          <w:color w:val="000000"/>
          <w:sz w:val="22"/>
        </w:rPr>
        <w:t xml:space="preserve">, on the Closing Date, Buyer shall assume and, in any event, otherwise agrees to pay, perform and discharge all Liabilities arising (a) under the Assigned Agreements on or after the applicable Assignment Date as a result of activities performed under any such Assigned Agreements on or after the applicable Assignment Date, (b) or resulting from the research, development, making, having made, using, and importing or other exploitation of the Products or other Acquired Assets by or on behalf of Buyer, to the extent that such Liability arises from any event, condition or circumstance occurring on or after the Closing Date, and (c) or resulting from Buyer’s breach of </w:t>
      </w:r>
      <w:r>
        <w:rPr>
          <w:rFonts w:ascii="Times New Roman" w:hAnsi="Times New Roman"/>
          <w:color w:val="000000"/>
          <w:sz w:val="22"/>
          <w:u w:val="single"/>
        </w:rPr>
        <w:t>Section 3.6</w:t>
      </w:r>
      <w:r>
        <w:rPr>
          <w:rFonts w:ascii="Times New Roman" w:hAnsi="Times New Roman"/>
          <w:color w:val="000000"/>
          <w:sz w:val="20"/>
        </w:rPr>
        <w:t xml:space="preserve"> </w:t>
      </w:r>
      <w:r>
        <w:rPr>
          <w:rFonts w:ascii="Times New Roman" w:hAnsi="Times New Roman"/>
          <w:color w:val="000000"/>
          <w:sz w:val="22"/>
        </w:rPr>
        <w:t>with respect to Related Agreements, except in each case (a), (b) and (c) to the extent such Liabilities arise or result from the Seller’s or its Affiliate’s or its or their (sub)licensee’s (other than Buyer’s or its Affiliate’s or its or their (sub)licensee’s) act or omission] (the “</w:t>
      </w:r>
      <w:r>
        <w:rPr>
          <w:rFonts w:ascii="Times New Roman" w:hAnsi="Times New Roman"/>
          <w:b/>
          <w:color w:val="000000"/>
          <w:sz w:val="22"/>
        </w:rPr>
        <w:t>Post-Closing Liabilities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2.8 Excluded Liabilities.</w:t>
      </w:r>
      <w:r>
        <w:rPr>
          <w:rFonts w:ascii="Times New Roman" w:hAnsi="Times New Roman"/>
          <w:color w:val="000000"/>
          <w:sz w:val="20"/>
        </w:rPr>
        <w:t xml:space="preserve"> </w:t>
      </w:r>
      <w:r>
        <w:rPr>
          <w:rFonts w:ascii="Times New Roman" w:hAnsi="Times New Roman"/>
          <w:color w:val="000000"/>
          <w:sz w:val="22"/>
        </w:rPr>
        <w:t xml:space="preserve">Subject to the terms and conditions of this Agreement, including </w:t>
      </w:r>
      <w:r>
        <w:rPr>
          <w:rFonts w:ascii="Times New Roman" w:hAnsi="Times New Roman"/>
          <w:color w:val="000000"/>
          <w:sz w:val="22"/>
          <w:u w:val="single"/>
        </w:rPr>
        <w:t>Section 3.5.3</w:t>
      </w:r>
      <w:r>
        <w:rPr>
          <w:rFonts w:ascii="Times New Roman" w:hAnsi="Times New Roman"/>
          <w:color w:val="000000"/>
          <w:sz w:val="22"/>
        </w:rPr>
        <w:t>, on the Closing Date Seller shall retain, and shall be responsible for paying, performing and discharging when due, and Buyer shall not assume or have any responsibility for paying, performing or discharging, any Liabilities of Seller and its Affiliates other than the Post-Closing Liabilities to the extent that such Liabilities do not arise or result from the Seller’s or its Affiliate’s or its Affiliate’s or its or their (sub)licensee’s acts or omissions (the “</w:t>
      </w:r>
      <w:r>
        <w:rPr>
          <w:rFonts w:ascii="Times New Roman" w:hAnsi="Times New Roman"/>
          <w:b/>
          <w:color w:val="000000"/>
          <w:sz w:val="22"/>
        </w:rPr>
        <w:t>Excluded Liabilities</w:t>
      </w:r>
      <w:r>
        <w:rPr>
          <w:rFonts w:ascii="Times New Roman" w:hAnsi="Times New Roman"/>
          <w:color w:val="000000"/>
          <w:sz w:val="20"/>
        </w:rPr>
        <w:t>”</w:t>
      </w:r>
      <w:r>
        <w:rPr>
          <w:rFonts w:ascii="Times New Roman" w:hAnsi="Times New Roman"/>
          <w:color w:val="000000"/>
          <w:sz w:val="22"/>
        </w:rPr>
        <w:t>). Without limiting the foregoing, neither Buyer nor its Affiliates shall be obligated to assume, and none of them do assume, and each of them hereby disclaims responsibility for, any of the following Liabilities of Seller and its Affiliates to the extent that such Liabilities do not arise or result from the Buyer’s or its Affiliate’s or its or their (sub)licensee’s (other than Seller’s or its Affiliate’s or its or their (sub)licensee’s) acts or omissions: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2.8.1 </w:t>
      </w:r>
      <w:r>
        <w:rPr>
          <w:rFonts w:ascii="Times New Roman" w:hAnsi="Times New Roman"/>
          <w:color w:val="000000"/>
          <w:sz w:val="22"/>
        </w:rPr>
        <w:t>any Liabilities of Seller or any of its Affiliates attributable to any asset, property or right that is not included in the Acquired Assets or Licensed Intellectual Property;</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2.8.2 </w:t>
      </w:r>
      <w:r>
        <w:rPr>
          <w:rFonts w:ascii="Times New Roman" w:hAnsi="Times New Roman"/>
          <w:color w:val="000000"/>
          <w:sz w:val="22"/>
        </w:rPr>
        <w:t>any Liabilities of Seller or any of its Affiliates attributable to the research, development, making, having made, using, and importing or other activity by Seller or any Affiliate related to the Acquired Assets on or prior to the Closing Date (except for Assigned Agreements, which will be on or prior to the applicable Assignment Date), including any obligations to pay for goods and services incurred in the ordinary course of the Program as a result of activities performed or failed to be performed prior to the Closing Date (or the applicable Assignment Date);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2.8.3 </w:t>
      </w:r>
      <w:r>
        <w:rPr>
          <w:rFonts w:ascii="Times New Roman" w:hAnsi="Times New Roman"/>
          <w:color w:val="000000"/>
          <w:sz w:val="22"/>
        </w:rPr>
        <w:t xml:space="preserve">any Liabilities of Seller or any of its Affiliates attributable to its use or exercise of the licenses set forth in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2.8.4 </w:t>
      </w:r>
      <w:r>
        <w:rPr>
          <w:rFonts w:ascii="Times New Roman" w:hAnsi="Times New Roman"/>
          <w:color w:val="000000"/>
          <w:sz w:val="22"/>
        </w:rPr>
        <w:t>all Liabilities of Seller or any of its Affiliates for Seller Taxes;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2.8.5 </w:t>
      </w:r>
      <w:r>
        <w:rPr>
          <w:rFonts w:ascii="Times New Roman" w:hAnsi="Times New Roman"/>
          <w:color w:val="000000"/>
          <w:sz w:val="22"/>
        </w:rPr>
        <w:t>all Liabilities of Seller or any of its Affiliates arising under the Related Agreements; and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2.8.6 </w:t>
      </w:r>
      <w:r>
        <w:rPr>
          <w:rFonts w:ascii="Times New Roman" w:hAnsi="Times New Roman"/>
          <w:color w:val="000000"/>
          <w:sz w:val="22"/>
        </w:rPr>
        <w:t>all Liabilities of Seller or any of its Affiliates accrued under the Assigned Agreements as a result of activities performed under any such Assigned Agreements prior to the applicable Assignment Date or as a result of any failure to perform any obligations of Seller or any of its Affiliates under any such Assigned Agreements prior to the applicable Assignment Date to the extent that such Liabilities are not attributable to any failure by Buyer or any of its Affiliates to comply with the terms thereof on or after the applicable Assignment Date.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2.9 Adverse Events.</w:t>
      </w:r>
      <w:r>
        <w:rPr>
          <w:rFonts w:ascii="Times New Roman" w:hAnsi="Times New Roman"/>
          <w:color w:val="000000"/>
          <w:sz w:val="20"/>
        </w:rPr>
        <w:t xml:space="preserve"> </w:t>
      </w:r>
      <w:r>
        <w:rPr>
          <w:rFonts w:ascii="Times New Roman" w:hAnsi="Times New Roman"/>
          <w:color w:val="000000"/>
          <w:sz w:val="22"/>
        </w:rPr>
        <w:t>From and after the transfer of the IND and the global safety database for the Products, which occurred on [***], Buyer assumed all responsibility for reporting adverse events involving the Products arising on or after such transfer or otherwise known to Buyer to the applicable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Governmental Entity as promptly as practicable and in any event in the timeframe required by Law. Following the Closing Date, the Parties entered into the memorandum of understanding attached hereto as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to facilitate the exchange of safety data from studies relating to a Program Molecule to the extent necessary to permit each Party to satisfy applicable reporting obligations; provided, that, safety data [***]; provided, further, however, that if Buyer (or its Affiliate or its or their (sub)licensee) is required by a Regulatory Authority to report any safety data relating solely to a Program Molecule [***], Seller will cooperate with Buyer to make such information available to such Regulatory Authority. For further clarity, it is anticipated that any such agreement will only be required for so long as any applicable data or information is required or generated in connection with any Related Agreement or Non-Assignable Contract. In the event Buyer (or its Affiliate or Licensee) is required by a Regulatory Authority to report any safety data relating to a Program Molecule that was the subject of a combination study, the pharmacovigilance / safety data exchange agreement will provide for Seller to cooperate with Buyer to make such information available to Buyer and to such Regulatory Authority.</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2.10 [INTENTIONALLY OMITTED].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 xml:space="preserve">2.11 </w:t>
      </w:r>
      <w:r>
        <w:rPr>
          <w:rFonts w:ascii="Times New Roman" w:hAnsi="Times New Roman"/>
          <w:color w:val="000000"/>
          <w:sz w:val="22"/>
        </w:rPr>
        <w:t>Later-Discovered Assigned Intellectual Property, Assigned Agreements and Licensed Intellectual Property. If at any time after the Closing Date, either Party becomes aware of any Assigned Intellectual Property or Licensed Intellectual Property that was not included on the schedules hereto or was not transferred to Buyer, or any Contract to which Seller or its Affiliate is a Party that relates solely to the Program and is not included in the Assigned Agreements (and is not otherwise expressly identified as a Related Agreement), such Party shall notify the other Party, and Seller shall promptly thereafter take actions reasonably necessary to transfer such Assigned Intellectual Property to Buyer, to assign such Contract to Buyer and with respect to Licensed Intellectual Property, to enable Buyer to exploit its rights thereto pursuant to this Agreement. Any such assigned Contract will be deemed an Assigned Agreement. If at any time after the Closing Date, either Party becomes aware of any asset that was transferred to Buyer as an Acquired Asset but is ultimately determined to be an Excluded Asset, or Buyer is found to be in possession of any Excluded Asset, such Party shall notify the other Party, and Buyer shall promptly thereafter take actions reasonably necessary to transfer such Excluded Asset(s) to Seller.</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 xml:space="preserve">2.12 </w:t>
      </w:r>
      <w:r>
        <w:rPr>
          <w:rFonts w:ascii="Times New Roman" w:hAnsi="Times New Roman"/>
          <w:color w:val="000000"/>
          <w:sz w:val="22"/>
        </w:rPr>
        <w:t>Approval [***]. Prior to [***] Buyer shall not [***], without Seller’s prior written approval of [***], which shall not be unreasonably withheld, conditioned or delayed. From and after the second anniversary of the Closing Date, Seller will no longer have such approval right.</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3</w:t>
      </w:r>
      <w:r>
        <w:rPr>
          <w:rFonts w:ascii="Times New Roman" w:hAnsi="Times New Roman"/>
          <w:color w:val="000000"/>
          <w:sz w:val="22"/>
        </w:rPr>
        <w:br/>
        <w:br/>
      </w:r>
      <w:r>
        <w:rPr>
          <w:rFonts w:ascii="Times New Roman" w:hAnsi="Times New Roman"/>
          <w:b/>
          <w:color w:val="000000"/>
          <w:sz w:val="22"/>
        </w:rPr>
        <w:t>DEVELOPMENT AND COMMERCIALIZATION OF PRODUCTS; ONGOING OBLIGATIONS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3.1 Responsibility.</w:t>
      </w:r>
      <w:r>
        <w:rPr>
          <w:rFonts w:ascii="Times New Roman" w:hAnsi="Times New Roman"/>
          <w:color w:val="000000"/>
          <w:sz w:val="20"/>
        </w:rPr>
        <w:t xml:space="preserve"> </w:t>
      </w:r>
      <w:r>
        <w:rPr>
          <w:rFonts w:ascii="Times New Roman" w:hAnsi="Times New Roman"/>
          <w:color w:val="000000"/>
          <w:sz w:val="22"/>
        </w:rPr>
        <w:t>Buyer shall have the sole right and responsibility, at its sole cost and expense, for the conduct, itself or with or through any Affiliate or Licensee, of all research, development, regulatory, manufacturing and commercialization activities applicable to the Program Molecule or any Product for use in the Field and in the Territory after the Closing Date.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3.2 Diligence.</w:t>
      </w:r>
      <w:r>
        <w:rPr>
          <w:rFonts w:ascii="Times New Roman" w:hAnsi="Times New Roman"/>
          <w:color w:val="000000"/>
          <w:sz w:val="20"/>
        </w:rPr>
        <w:t xml:space="preserve"> </w:t>
      </w:r>
      <w:r>
        <w:rPr>
          <w:rFonts w:ascii="Times New Roman" w:hAnsi="Times New Roman"/>
          <w:color w:val="000000"/>
          <w:sz w:val="22"/>
        </w:rPr>
        <w:t xml:space="preserve">Buyer shall use Commercially Reasonable Efforts to research and develop, including to obtain Regulatory Approval for, and upon obtaining Regulatory Approval to commercialize at least one (1) Product in each of the United States, Japan and at least three (3) of the EU 5 Countries. Buyer shall (a) perform its obligations in good scientific manner and in compliance with all applicable Law in all material respects and (b) notify Seller in writing if it and its Affiliates and Licensees (i) have determined to permanently discontinue, or (ii) plan to halt for [***] or realize that a [***] halt has occurred with respect to, all research, development and/or commercialization activities and efforts with respect to all Products. Seller may deliver Buyer a written notice if it believes Buyer has breached its obligation under this </w:t>
      </w:r>
      <w:r>
        <w:rPr>
          <w:rFonts w:ascii="Times New Roman" w:hAnsi="Times New Roman"/>
          <w:color w:val="000000"/>
          <w:sz w:val="22"/>
          <w:u w:val="single"/>
        </w:rPr>
        <w:t>Section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u w:val="single"/>
        </w:rPr>
        <w:t>3.2</w:t>
      </w:r>
      <w:r>
        <w:rPr>
          <w:rFonts w:ascii="Times New Roman" w:hAnsi="Times New Roman"/>
          <w:color w:val="000000"/>
          <w:sz w:val="22"/>
        </w:rPr>
        <w:t xml:space="preserve">, setting forth the basis for such belief, and Buyer shall respond to such notice with a written description of the activities it is conducting with respect to its obligations under this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within [***] of receipt of such notice.</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3.3 Reports.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3.3.1 Records; Reports.</w:t>
      </w:r>
      <w:r>
        <w:rPr>
          <w:rFonts w:ascii="Times New Roman" w:hAnsi="Times New Roman"/>
          <w:color w:val="000000"/>
          <w:sz w:val="20"/>
        </w:rPr>
        <w:t xml:space="preserve"> </w:t>
      </w:r>
      <w:r>
        <w:rPr>
          <w:rFonts w:ascii="Times New Roman" w:hAnsi="Times New Roman"/>
          <w:color w:val="000000"/>
          <w:sz w:val="22"/>
        </w:rPr>
        <w:t>Buyer shall (a) maintain records of its research, development, manufacture and commercialization activities with respect to the Program Molecules and Products under this Agreement in sufficient detail and in good scientific manner, which shall reflect work performed and results achieved in the conduct of such research, development, manufacture and commercialization activities, and (b) keep Seller reasonably informed regarding the research, development and manufacturing activities conducted with respect to Program Molecules and Products by providing Seller with [***]) reports until [***] summarizing the activities undertaken by Buyer, its Affiliates and its Licensees since the last report and providing the then-current Development Plan with respect to its future research and development to be undertaken (each, a “</w:t>
      </w:r>
      <w:r>
        <w:rPr>
          <w:rFonts w:ascii="Times New Roman" w:hAnsi="Times New Roman"/>
          <w:b/>
          <w:color w:val="000000"/>
          <w:sz w:val="22"/>
        </w:rPr>
        <w:t>Report</w:t>
      </w:r>
      <w:r>
        <w:rPr>
          <w:rFonts w:ascii="Times New Roman" w:hAnsi="Times New Roman"/>
          <w:color w:val="000000"/>
          <w:sz w:val="20"/>
        </w:rPr>
        <w:t>”</w:t>
      </w:r>
      <w:r>
        <w:rPr>
          <w:rFonts w:ascii="Times New Roman" w:hAnsi="Times New Roman"/>
          <w:color w:val="000000"/>
          <w:sz w:val="22"/>
        </w:rPr>
        <w:t xml:space="preserve">); provided that, at Seller’s sole discretion, Seller may provide written notice to Buyer prior to the due date of any Report that it does not wish to receive such Report and Buyer shall cease providing Reports until such time, if ever, that Seller provides written notice Buyer that it desires to start receiving the Reports again, at which time Buyer shall again begin providing Reports in accordance with this </w:t>
      </w:r>
      <w:r>
        <w:rPr>
          <w:rFonts w:ascii="Times New Roman" w:hAnsi="Times New Roman"/>
          <w:color w:val="000000"/>
          <w:sz w:val="22"/>
          <w:u w:val="single"/>
        </w:rPr>
        <w:t>Section 3.3.1</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3.3.2 Content of Reports.</w:t>
      </w:r>
      <w:r>
        <w:rPr>
          <w:rFonts w:ascii="Times New Roman" w:hAnsi="Times New Roman"/>
          <w:color w:val="000000"/>
          <w:sz w:val="20"/>
        </w:rPr>
        <w:t xml:space="preserve"> </w:t>
      </w:r>
      <w:r>
        <w:rPr>
          <w:rFonts w:ascii="Times New Roman" w:hAnsi="Times New Roman"/>
          <w:color w:val="000000"/>
          <w:sz w:val="22"/>
        </w:rPr>
        <w:t xml:space="preserve">Each Report provided pursuant to </w:t>
      </w:r>
      <w:r>
        <w:rPr>
          <w:rFonts w:ascii="Times New Roman" w:hAnsi="Times New Roman"/>
          <w:color w:val="000000"/>
          <w:sz w:val="22"/>
          <w:u w:val="single"/>
        </w:rPr>
        <w:t>Section 3.3.1</w:t>
      </w:r>
      <w:r>
        <w:rPr>
          <w:rFonts w:ascii="Times New Roman" w:hAnsi="Times New Roman"/>
          <w:color w:val="000000"/>
          <w:sz w:val="20"/>
        </w:rPr>
        <w:t xml:space="preserve"> </w:t>
      </w:r>
      <w:r>
        <w:rPr>
          <w:rFonts w:ascii="Times New Roman" w:hAnsi="Times New Roman"/>
          <w:color w:val="000000"/>
          <w:sz w:val="22"/>
        </w:rPr>
        <w:t>will include at least information regarding: (a) completed activities with respect to the research and development of Program Molecules and Products during the applicable reporting period [***]; and (b) the [***] actual date, as applicable, of the First Commercial Sale of each Product in each country of the Territory. In addition, on a Product-by-Product basis, on an annual basis commencing on or about [***] of the first Calendar Year following the first Calendar Year during [***].</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3.3.3 </w:t>
      </w:r>
      <w:r>
        <w:rPr>
          <w:rFonts w:ascii="Times New Roman" w:hAnsi="Times New Roman"/>
          <w:color w:val="000000"/>
          <w:sz w:val="22"/>
        </w:rPr>
        <w:t>At least [***] prior to initiating (or publicly announcing, if earlier) any clinical trial of a Product sponsored by Buyer, its Affiliate or its Licensee, or sponsored by a Third Party and for which Buyer, its Affiliate or its Licensee supplies Program Molecule, that involves one (1) or more of Seller’s or its Affiliate’s products (marketed or otherwise), Buyer shall report to Seller in writing of such intention and name the relevant product(s) and the Product(s) it intends to use in such clinical trial.</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3.4 Audit.</w:t>
      </w:r>
      <w:r>
        <w:rPr>
          <w:rFonts w:ascii="Times New Roman" w:hAnsi="Times New Roman"/>
          <w:color w:val="000000"/>
          <w:sz w:val="20"/>
        </w:rPr>
        <w:t xml:space="preserve"> </w:t>
      </w:r>
      <w:r>
        <w:rPr>
          <w:rFonts w:ascii="Times New Roman" w:hAnsi="Times New Roman"/>
          <w:color w:val="000000"/>
          <w:sz w:val="22"/>
        </w:rPr>
        <w:t xml:space="preserve">Buyer will keep complete and accurate records of Buyer and its Affiliates in reasonably sufficient detail to permit Seller to confirm the accuracy of the calculation of earn-out payments under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and Sales Milestone Payments under </w:t>
      </w:r>
      <w:r>
        <w:rPr>
          <w:rFonts w:ascii="Times New Roman" w:hAnsi="Times New Roman"/>
          <w:color w:val="000000"/>
          <w:sz w:val="22"/>
          <w:u w:val="single"/>
        </w:rPr>
        <w:t>Section 5.4</w:t>
      </w:r>
      <w:r>
        <w:rPr>
          <w:rFonts w:ascii="Times New Roman" w:hAnsi="Times New Roman"/>
          <w:color w:val="000000"/>
          <w:sz w:val="20"/>
        </w:rPr>
        <w:t xml:space="preserve"> </w:t>
      </w:r>
      <w:r>
        <w:rPr>
          <w:rFonts w:ascii="Times New Roman" w:hAnsi="Times New Roman"/>
          <w:color w:val="000000"/>
          <w:sz w:val="22"/>
        </w:rPr>
        <w:t xml:space="preserve">for [***] years after the Calendar Year to which such records pertain. At the request of Seller, Buyer shall permit an independent auditor designated by Seller and reasonably acceptable to Buyer, at reasonable times and upon reasonable notice, to audit the books and records maintained pursuant to the preceding sentence to ensure the accuracy of all financial reports and payments made hereunder. Such examinations may not be conducted more than once in any [***] period (unless a previous audit during such [***] period revealed a failure to pay Sales Milestone Payments or an underpayment of more than [***] from the reported amounts with respect to such period) and may not include records previously audited under this </w:t>
      </w:r>
      <w:r>
        <w:rPr>
          <w:rFonts w:ascii="Times New Roman" w:hAnsi="Times New Roman"/>
          <w:color w:val="000000"/>
          <w:sz w:val="22"/>
          <w:u w:val="single"/>
        </w:rPr>
        <w:t>Section 3.4</w:t>
      </w:r>
      <w:r>
        <w:rPr>
          <w:rFonts w:ascii="Times New Roman" w:hAnsi="Times New Roman"/>
          <w:color w:val="000000"/>
          <w:sz w:val="20"/>
        </w:rPr>
        <w:t xml:space="preserve"> </w:t>
      </w:r>
      <w:r>
        <w:rPr>
          <w:rFonts w:ascii="Times New Roman" w:hAnsi="Times New Roman"/>
          <w:color w:val="000000"/>
          <w:sz w:val="22"/>
        </w:rPr>
        <w:t>(unless such previously audited records revealed a failure to pay Sales Milestone Payments or an underpayment of more than [***] from the reported amounts with respect to such period). Such auditor shall enter into a confidentiality agreement with Buyer and shall not disclose Buyer’s confidential information, except (a) to disclose the findings and results of the audit to Seller and (b) to the extent such disclosure is necessary to verify the accuracy of the financial reports furnished by Buyer or the amounts of such payments due by Buyer under this Agreement. Except as provided below, the cost of this audit shall be borne by Seller, unless the audit reveals an under-reporting by Buyer of more than [***] from the amounts due for the audited period, in which case Buyer shall bear the cost of the audit.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3.5 Assumption of Rights and Obligations under Assigned Agreements.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3.5.1 </w:t>
      </w:r>
      <w:r>
        <w:rPr>
          <w:rFonts w:ascii="Times New Roman" w:hAnsi="Times New Roman"/>
          <w:color w:val="000000"/>
          <w:sz w:val="22"/>
        </w:rPr>
        <w:t>Buyer acknowledges that certain intellectual property is in-licensed under the Assigned Agreements and that the practice of such in-licensed intellectual property will be subject to the terms and conditions of the applicable Assigned Agreement.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3.5.2 </w:t>
      </w:r>
      <w:r>
        <w:rPr>
          <w:rFonts w:ascii="Times New Roman" w:hAnsi="Times New Roman"/>
          <w:color w:val="000000"/>
          <w:sz w:val="22"/>
        </w:rPr>
        <w:t>Buyer acknowledges and agrees that [***].</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3.5.3 </w:t>
      </w:r>
      <w:r>
        <w:rPr>
          <w:rFonts w:ascii="Times New Roman" w:hAnsi="Times New Roman"/>
          <w:color w:val="000000"/>
          <w:sz w:val="22"/>
        </w:rPr>
        <w:t>[INTENTIONALLY OMITTED].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3.6 Related Agreements.</w:t>
      </w:r>
      <w:r>
        <w:rPr>
          <w:rFonts w:ascii="Times New Roman" w:hAnsi="Times New Roman"/>
          <w:color w:val="000000"/>
          <w:sz w:val="20"/>
        </w:rPr>
        <w:t xml:space="preserve"> </w:t>
      </w:r>
      <w:r>
        <w:rPr>
          <w:rFonts w:ascii="Times New Roman" w:hAnsi="Times New Roman"/>
          <w:color w:val="000000"/>
          <w:sz w:val="22"/>
        </w:rPr>
        <w:t xml:space="preserve">Agreements to which Seller or its Affiliate is a party that relate to a Program Molecule but that are not included in the Assigned Agreements are referred to herein as “Related Agreements” and are, to the extent Known by Seller to have been identified by Seller as of the Closing Date, set forth in </w:t>
      </w:r>
      <w:r>
        <w:rPr>
          <w:rFonts w:ascii="Times New Roman" w:hAnsi="Times New Roman"/>
          <w:color w:val="000000"/>
          <w:sz w:val="22"/>
          <w:u w:val="single"/>
        </w:rPr>
        <w:t>Schedule 3.6</w:t>
      </w:r>
      <w:r>
        <w:rPr>
          <w:rFonts w:ascii="Times New Roman" w:hAnsi="Times New Roman"/>
          <w:color w:val="000000"/>
          <w:sz w:val="22"/>
        </w:rPr>
        <w:t>. Seller shall provide to Buyer, promptly after receipt thereof, all data related to any Program Molecule that is generated under the Related Agreements and that Seller receives from a given counterparty to any such Related Agreement, which data will be included in the Assigned Know-How or Licensed Intellectual Property, as applicable; provided, that except as follows, Seller shall not be obligated to provide any data involving [***]. Upon Buyer’s request, Seller will provide to Buyer copies of any data Controlled by Seller that is related to a Program Molecule [***]. In addition, Seller shall use commercially reasonable efforts to maintain the Related Agreements in full force and effect in accordance with their terms and conditions and without any further amendment that would adversely affect the rights of Buyer as contemplated herein, except with Buyer’s prior written consent. Buyer shall assist Seller in Seller’s performance of the Related Agreements, as and to the extent reasonably requested by Seller, including supplying Product; provided, that if Seller requests Buyer’s assistance in excess of [***], then Seller shall reimburse Buyer for internal costs (calculated by reference to the number of hours of support provided at the hourly FTE Rate) incurred by Buyer or its Affiliates to provide such excess assistance. Seller shall pay such costs as such may be invoiced by Buyer to Seller from time-to-time within [***] of receipt of such an invoice. If Buyer reasonably requests that Seller supply Product for purposes of performing Seller’s obligations under the Related Agreement, then the Parties shall promptly negotiate appropriate terms and conditions to govern such supply (including providing such Product at no charge).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3.7 Non-Assignable Contract.</w:t>
      </w:r>
      <w:r>
        <w:rPr>
          <w:rFonts w:ascii="Times New Roman" w:hAnsi="Times New Roman"/>
          <w:color w:val="000000"/>
          <w:sz w:val="20"/>
        </w:rPr>
        <w:t xml:space="preserve"> </w:t>
      </w:r>
      <w:r>
        <w:rPr>
          <w:rFonts w:ascii="Times New Roman" w:hAnsi="Times New Roman"/>
          <w:color w:val="000000"/>
          <w:sz w:val="22"/>
        </w:rPr>
        <w:t>If any Contract that solely relates to the Program (other than Related Agreements) is not assignable or transferable (each, a “</w:t>
      </w:r>
      <w:r>
        <w:rPr>
          <w:rFonts w:ascii="Times New Roman" w:hAnsi="Times New Roman"/>
          <w:b/>
          <w:color w:val="000000"/>
          <w:sz w:val="22"/>
        </w:rPr>
        <w:t>Non-Assignable Contract</w:t>
      </w:r>
      <w:r>
        <w:rPr>
          <w:rFonts w:ascii="Times New Roman" w:hAnsi="Times New Roman"/>
          <w:color w:val="000000"/>
          <w:sz w:val="20"/>
        </w:rPr>
        <w:t>”</w:t>
      </w:r>
      <w:r>
        <w:rPr>
          <w:rFonts w:ascii="Times New Roman" w:hAnsi="Times New Roman"/>
          <w:color w:val="000000"/>
          <w:sz w:val="22"/>
        </w:rPr>
        <w:t>) without the consent of, or waiver by, a Third Party or action by a Governmental Entity (each, an “</w:t>
      </w:r>
      <w:r>
        <w:rPr>
          <w:rFonts w:ascii="Times New Roman" w:hAnsi="Times New Roman"/>
          <w:b/>
          <w:color w:val="000000"/>
          <w:sz w:val="22"/>
        </w:rPr>
        <w:t>Assignment Consent</w:t>
      </w:r>
      <w:r>
        <w:rPr>
          <w:rFonts w:ascii="Times New Roman" w:hAnsi="Times New Roman"/>
          <w:color w:val="000000"/>
          <w:sz w:val="20"/>
        </w:rPr>
        <w:t>”</w:t>
      </w:r>
      <w:r>
        <w:rPr>
          <w:rFonts w:ascii="Times New Roman" w:hAnsi="Times New Roman"/>
          <w:color w:val="000000"/>
          <w:sz w:val="22"/>
        </w:rPr>
        <w:t>), either as a result of the provisions thereof or applicable Laws, and any such Assignment Consent is not obtained on or prior to the Closing Date, then this Agreement and the related instruments of transfer shall not constitute an assignment or transfer of such Non-Assignable Contract and such Non-Assignable Contract shall not be included in the Acquired Assets unless and until such Assignment Consent is obtained. To the extent such Assignment Consent is obtained, Seller hereby sells, conveys, assigns, transfers and delivers to, and shall cause its Affiliates to sell, convey, assign, transfer and deliver to, Buyer, and Buyer hereby purchases and acquires from each of Seller or its Affiliates, such Non-Assignable Contract. Following any such assignment, such Non-Assignable Contract shall be deemed an Assigned Agreement and Acquired Asset for purposes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3.8 Cooperation in Combination Clinical Study(ies).</w:t>
      </w:r>
      <w:r>
        <w:rPr>
          <w:rFonts w:ascii="Times New Roman" w:hAnsi="Times New Roman"/>
          <w:color w:val="000000"/>
          <w:sz w:val="20"/>
        </w:rPr>
        <w:t xml:space="preserve"> </w:t>
      </w:r>
      <w:r>
        <w:rPr>
          <w:rFonts w:ascii="Times New Roman" w:hAnsi="Times New Roman"/>
          <w:color w:val="000000"/>
          <w:sz w:val="22"/>
        </w:rPr>
        <w:t>Upon Seller’s request, the Parties shall negotiate in good faith the terms under which the Parties would conduct one (1) or more combination clinical study(ies) involving a Product and one (1) or more products of Seller, such terms to include, unless otherwise agreed by the Parties, rights of access to, ownership of and terms related to data ownership and use (which will not be subject to the terms of this Agreement), having Seller be the sponsor of such combination clinical study(ies), terms for the supply of Product by Buyer and applicable products of Seller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grant of the appropriate licenses in order to conduct such study(ies). Buyer shall not be obligated to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3.9 Delayed Assignment of Contracts for Clinical Studies.</w:t>
      </w:r>
      <w:r>
        <w:rPr>
          <w:rFonts w:ascii="Times New Roman" w:hAnsi="Times New Roman"/>
          <w:color w:val="000000"/>
          <w:sz w:val="20"/>
        </w:rPr>
        <w:t xml:space="preserve"> </w:t>
      </w:r>
      <w:r>
        <w:rPr>
          <w:rFonts w:ascii="Times New Roman" w:hAnsi="Times New Roman"/>
          <w:color w:val="000000"/>
          <w:sz w:val="22"/>
        </w:rPr>
        <w:t xml:space="preserve">The Parties agree that any Contract listed on </w:t>
      </w:r>
      <w:r>
        <w:rPr>
          <w:rFonts w:ascii="Times New Roman" w:hAnsi="Times New Roman"/>
          <w:color w:val="000000"/>
          <w:sz w:val="22"/>
          <w:u w:val="single"/>
        </w:rPr>
        <w:t>Schedule 3.9</w:t>
      </w:r>
      <w:r>
        <w:rPr>
          <w:rFonts w:ascii="Times New Roman" w:hAnsi="Times New Roman"/>
          <w:color w:val="000000"/>
          <w:sz w:val="20"/>
        </w:rPr>
        <w:t xml:space="preserve"> </w:t>
      </w:r>
      <w:r>
        <w:rPr>
          <w:rFonts w:ascii="Times New Roman" w:hAnsi="Times New Roman"/>
          <w:color w:val="000000"/>
          <w:sz w:val="22"/>
        </w:rPr>
        <w:t>(a “</w:t>
      </w:r>
      <w:r>
        <w:rPr>
          <w:rFonts w:ascii="Times New Roman" w:hAnsi="Times New Roman"/>
          <w:b/>
          <w:color w:val="000000"/>
          <w:sz w:val="22"/>
        </w:rPr>
        <w:t>Delayed Assigned Contract</w:t>
      </w:r>
      <w:r>
        <w:rPr>
          <w:rFonts w:ascii="Times New Roman" w:hAnsi="Times New Roman"/>
          <w:color w:val="000000"/>
          <w:sz w:val="20"/>
        </w:rPr>
        <w:t>”</w:t>
      </w:r>
      <w:r>
        <w:rPr>
          <w:rFonts w:ascii="Times New Roman" w:hAnsi="Times New Roman"/>
          <w:color w:val="000000"/>
          <w:sz w:val="22"/>
        </w:rPr>
        <w:t>) has been assigned to Buyer as of the date on which the IND for such Program Molecule was transferred to Buyer (the “</w:t>
      </w:r>
      <w:r>
        <w:rPr>
          <w:rFonts w:ascii="Times New Roman" w:hAnsi="Times New Roman"/>
          <w:b/>
          <w:color w:val="000000"/>
          <w:sz w:val="22"/>
        </w:rPr>
        <w:t>Assignment Date</w:t>
      </w:r>
      <w:r>
        <w:rPr>
          <w:rFonts w:ascii="Times New Roman" w:hAnsi="Times New Roman"/>
          <w:color w:val="000000"/>
          <w:sz w:val="20"/>
        </w:rPr>
        <w:t xml:space="preserve">” </w:t>
      </w:r>
      <w:r>
        <w:rPr>
          <w:rFonts w:ascii="Times New Roman" w:hAnsi="Times New Roman"/>
          <w:color w:val="000000"/>
          <w:sz w:val="22"/>
        </w:rPr>
        <w:t>for such Assigned Agreement). Seller hereby sells, conveys, assigns, transfers and delivers to, and shall cause its Affiliates to sell, convey, assign, transfer and deliver to, Buyer, and Buyer hereby purchases and acquires from each of Seller or its Affiliates, as of the applicable Assignment Date, each Delayed Assigned Contract. From and after the Assignment Date for any Delayed Assigned Contract, such Delayed Assigned Contract shall be deemed an Assigned Agreement. For any Assigned Agreement that is assigned on the Closing Date, the Assignment Date for such Assigned Agreement will be the Closing Date.</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4</w:t>
      </w:r>
      <w:r>
        <w:rPr>
          <w:rFonts w:ascii="Times New Roman" w:hAnsi="Times New Roman"/>
          <w:color w:val="000000"/>
          <w:sz w:val="22"/>
        </w:rPr>
        <w:br/>
        <w:br/>
      </w:r>
      <w:r>
        <w:rPr>
          <w:rFonts w:ascii="Times New Roman" w:hAnsi="Times New Roman"/>
          <w:b/>
          <w:color w:val="000000"/>
          <w:sz w:val="22"/>
        </w:rPr>
        <w:t>CONTROL OF ASSIGNED PATENT RIGHTS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4.1 Control of Assigned Patent Rights.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4.1.1 </w:t>
      </w:r>
      <w:r>
        <w:rPr>
          <w:rFonts w:ascii="Times New Roman" w:hAnsi="Times New Roman"/>
          <w:color w:val="000000"/>
          <w:sz w:val="22"/>
        </w:rPr>
        <w:t>From and after the Closing, Buyer, acting through patent counsel or agents of its choice, shall be solely responsible, in its sole discretion, for the preparation, filing, prosecution, maintenance, defense and enforcement of all Assigned Patent Rights throughout the Territory. All patent costs and expenses incurred by Buyer in connection with the preparation, filing, prosecution, maintenance, defense and/or enforcement of such Assigned Patent Rights shall be the sole responsibility of Buyer.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4.1.2 </w:t>
      </w:r>
      <w:r>
        <w:rPr>
          <w:rFonts w:ascii="Times New Roman" w:hAnsi="Times New Roman"/>
          <w:color w:val="000000"/>
          <w:sz w:val="22"/>
        </w:rPr>
        <w:t xml:space="preserve">Buyer shall provide Seller at least [***] an updated </w:t>
      </w:r>
      <w:r>
        <w:rPr>
          <w:rFonts w:ascii="Times New Roman" w:hAnsi="Times New Roman"/>
          <w:color w:val="000000"/>
          <w:sz w:val="22"/>
          <w:u w:val="single"/>
        </w:rPr>
        <w:t>Schedule 1.1(h) – Part 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Schedule 1.1(h) – Part 2</w:t>
      </w:r>
      <w:r>
        <w:rPr>
          <w:rFonts w:ascii="Times New Roman" w:hAnsi="Times New Roman"/>
          <w:color w:val="000000"/>
          <w:sz w:val="20"/>
        </w:rPr>
        <w:t xml:space="preserve"> </w:t>
      </w:r>
      <w:r>
        <w:rPr>
          <w:rFonts w:ascii="Times New Roman" w:hAnsi="Times New Roman"/>
          <w:color w:val="000000"/>
          <w:sz w:val="22"/>
        </w:rPr>
        <w:t>showing the status of all Assigned Patent Rights and In-Licensed Patent Rights, respectively.</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4.1.3 </w:t>
      </w:r>
      <w:r>
        <w:rPr>
          <w:rFonts w:ascii="Times New Roman" w:hAnsi="Times New Roman"/>
          <w:color w:val="000000"/>
          <w:sz w:val="22"/>
        </w:rPr>
        <w:t>If Buyer decides to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 xml:space="preserve">4.2 </w:t>
      </w:r>
      <w:r>
        <w:rPr>
          <w:rFonts w:ascii="Times New Roman" w:hAnsi="Times New Roman"/>
          <w:color w:val="000000"/>
          <w:sz w:val="22"/>
        </w:rPr>
        <w:t>Control of Licensed Intellectual Property. Buyer will have no review, comment or step-in rights with respect to preparation, filing, prosecution, maintenance, defense or enforcement of any Licensed Intellectual Property. Seller shall be solely responsible, in its sole discretion, for such activities with respect to any Licensed Intellectual Property. If Seller discontinues the prosecution or maintenance of a patent application or patent within the Licensed Intellectual Property in any country or jurisdiction, then Seller shall provide Buyer with notice of such decision via [***] update (as and to the extent such update is needed to provide notice of any such discontinuance).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 xml:space="preserve">4.3 </w:t>
      </w:r>
      <w:r>
        <w:rPr>
          <w:rFonts w:ascii="Times New Roman" w:hAnsi="Times New Roman"/>
          <w:color w:val="000000"/>
          <w:sz w:val="22"/>
        </w:rPr>
        <w:t xml:space="preserve">Ownership of Transaction IP. Ownership of any discovery or invention and intellectual property rights with respect thereto, developed through, or obtained in connection with, the performance of this Agreement or any Ancillary Agreements, but excluding any such discovery, invention and intellectual property rights that arise from the practice of the license granted pursuant to clause (b) of </w:t>
      </w:r>
      <w:r>
        <w:rPr>
          <w:rFonts w:ascii="Times New Roman" w:hAnsi="Times New Roman"/>
          <w:color w:val="000000"/>
          <w:sz w:val="22"/>
          <w:u w:val="single"/>
        </w:rPr>
        <w:t>Section 2.5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color w:val="000000"/>
          <w:sz w:val="22"/>
        </w:rPr>
        <w:t>Transaction IP</w:t>
      </w:r>
      <w:r>
        <w:rPr>
          <w:rFonts w:ascii="Times New Roman" w:hAnsi="Times New Roman"/>
          <w:color w:val="000000"/>
          <w:sz w:val="20"/>
        </w:rPr>
        <w:t>”</w:t>
      </w:r>
      <w:r>
        <w:rPr>
          <w:rFonts w:ascii="Times New Roman" w:hAnsi="Times New Roman"/>
          <w:color w:val="000000"/>
          <w:sz w:val="22"/>
        </w:rPr>
        <w:t xml:space="preserve">) will be allocated based on inventorship in accordance with United States patent law. Seller’s or its Affiliate’s interest in any Transaction IP, and Seller’s or its Affiliate’s interest in any Know-How or Patent Rights it Controls pursuant to a Non-Assignable Contract or Related Agreement, shall be deemed to be either (a) Assigned Intellectual Property, to the extent owned by Seller or its Affiliate and solely relating to any Program Molecule (and thus assigned to Buyer pursuant to this Agreement), or (b) Licensed Intellectual Property, to the extent not solely relating to any Program Molecule (and thus licensed to Buyer pursuant to </w:t>
      </w:r>
      <w:r>
        <w:rPr>
          <w:rFonts w:ascii="Times New Roman" w:hAnsi="Times New Roman"/>
          <w:color w:val="000000"/>
          <w:sz w:val="22"/>
          <w:u w:val="single"/>
        </w:rPr>
        <w:t>Section 2.6</w:t>
      </w:r>
      <w:r>
        <w:rPr>
          <w:rFonts w:ascii="Times New Roman" w:hAnsi="Times New Roman"/>
          <w:color w:val="000000"/>
          <w:sz w:val="20"/>
        </w:rPr>
        <w:t xml:space="preserve"> </w:t>
      </w:r>
      <w:r>
        <w:rPr>
          <w:rFonts w:ascii="Times New Roman" w:hAnsi="Times New Roman"/>
          <w:color w:val="000000"/>
          <w:sz w:val="22"/>
        </w:rPr>
        <w:t>of this Agreement) or in-licensed by Seller or its Affiliate.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5</w:t>
      </w:r>
      <w:r>
        <w:rPr>
          <w:rFonts w:ascii="Times New Roman" w:hAnsi="Times New Roman"/>
          <w:color w:val="000000"/>
          <w:sz w:val="22"/>
        </w:rPr>
        <w:br/>
        <w:br/>
      </w:r>
      <w:r>
        <w:rPr>
          <w:rFonts w:ascii="Times New Roman" w:hAnsi="Times New Roman"/>
          <w:b/>
          <w:color w:val="000000"/>
          <w:sz w:val="22"/>
        </w:rPr>
        <w:t>PURCHASE PRICE AND OTHER PAYMENTS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5.1 Upfront Consideration Acknowledgement.</w:t>
      </w:r>
      <w:r>
        <w:rPr>
          <w:rFonts w:ascii="Times New Roman" w:hAnsi="Times New Roman"/>
          <w:color w:val="000000"/>
          <w:sz w:val="20"/>
        </w:rPr>
        <w:t xml:space="preserve"> </w:t>
      </w:r>
      <w:r>
        <w:rPr>
          <w:rFonts w:ascii="Times New Roman" w:hAnsi="Times New Roman"/>
          <w:color w:val="000000"/>
          <w:sz w:val="22"/>
        </w:rPr>
        <w:t>In partial consideration for the rights granted herein and under the amended and restated agreement between the parties (as of the same date as this Agreement) pertaining to the TAK-659 Product, including rights to the Acquired Assets, Buyer (a) paid Seller on the Closing Date an amount in cash equal to Ten Million Dollars ($10,000,000) by wire transfer of immediately available funds to the account(s) designated by Seller, and [***].</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5.2 Payment of Earn-out Payments; Earn-Out Rates.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5.2.1 Earn-out Payment.</w:t>
      </w:r>
      <w:r>
        <w:rPr>
          <w:rFonts w:ascii="Times New Roman" w:hAnsi="Times New Roman"/>
          <w:color w:val="000000"/>
          <w:sz w:val="20"/>
        </w:rPr>
        <w:t xml:space="preserve"> </w:t>
      </w:r>
      <w:r>
        <w:rPr>
          <w:rFonts w:ascii="Times New Roman" w:hAnsi="Times New Roman"/>
          <w:color w:val="000000"/>
          <w:sz w:val="22"/>
        </w:rPr>
        <w:t>From and after the Closing, Buyer shall pay Seller an earn-out payment on the Annual Net Sales of all Products by or on behalf of Buyer, its Affiliates, or Licensees in a given Calendar Year (or partial Calendar Year), on a Product-by-Product basis, commencing with the First Commercial Sale of such Product in any country in the Territory, at the following rates:</w:t>
      </w:r>
    </w:p>
    <w:tbl>
      <w:tblPr>
        <w:tblW w:w="10205" w:type="dxa"/>
        <w:jc w:val="left"/>
        <w:tblInd w:w="0" w:type="dxa"/>
        <w:tblLayout w:type="fixed"/>
        <w:tblCellMar>
          <w:top w:w="28" w:type="dxa"/>
          <w:left w:w="28" w:type="dxa"/>
          <w:bottom w:w="28" w:type="dxa"/>
          <w:right w:w="28" w:type="dxa"/>
        </w:tblCellMar>
      </w:tblPr>
      <w:tblGrid>
        <w:gridCol w:w="8051"/>
        <w:gridCol w:w="2154"/>
      </w:tblGrid>
      <w:tr>
        <w:trPr/>
        <w:tc>
          <w:tcPr>
            <w:tcW w:w="805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r>
      <w:tr>
        <w:trPr/>
        <w:tc>
          <w:tcPr>
            <w:tcW w:w="80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Annual Net Sales Increment</w:t>
            </w:r>
          </w:p>
        </w:tc>
        <w:tc>
          <w:tcPr>
            <w:tcW w:w="215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Earn-Out Payment Rate (%)</w:t>
            </w:r>
          </w:p>
        </w:tc>
      </w:tr>
      <w:tr>
        <w:trPr/>
        <w:tc>
          <w:tcPr>
            <w:tcW w:w="80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 the portion of the Annual Net Sales of such Product in any given Calendar Year which is less than or equal to [***]</w:t>
            </w:r>
          </w:p>
        </w:tc>
        <w:tc>
          <w:tcPr>
            <w:tcW w:w="21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w:t>
            </w:r>
          </w:p>
        </w:tc>
      </w:tr>
      <w:tr>
        <w:trPr/>
        <w:tc>
          <w:tcPr>
            <w:tcW w:w="80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 the portion of the Annual Net Sales of such Product in any given Calendar Year which is greater than [***] but less than or equal to [***]</w:t>
            </w:r>
          </w:p>
        </w:tc>
        <w:tc>
          <w:tcPr>
            <w:tcW w:w="21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w:t>
            </w:r>
          </w:p>
        </w:tc>
      </w:tr>
      <w:tr>
        <w:trPr/>
        <w:tc>
          <w:tcPr>
            <w:tcW w:w="80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 the portion of the Annual Net Sales of such Product in any given Calendar Year which is greater than [***] but less than or equal to [***]</w:t>
            </w:r>
          </w:p>
        </w:tc>
        <w:tc>
          <w:tcPr>
            <w:tcW w:w="21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w:t>
            </w:r>
          </w:p>
        </w:tc>
      </w:tr>
      <w:tr>
        <w:trPr/>
        <w:tc>
          <w:tcPr>
            <w:tcW w:w="80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 the portion of the Annual Net Sales of such Product in any given Calendar Year which is greater than [***] but less than or equal to [***]</w:t>
            </w:r>
          </w:p>
        </w:tc>
        <w:tc>
          <w:tcPr>
            <w:tcW w:w="21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w:t>
            </w:r>
          </w:p>
        </w:tc>
      </w:tr>
      <w:tr>
        <w:trPr/>
        <w:tc>
          <w:tcPr>
            <w:tcW w:w="80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 the portion of the Annual Net Sales of such Product in any given Calendar Year which is greater than [***]</w:t>
            </w:r>
          </w:p>
        </w:tc>
        <w:tc>
          <w:tcPr>
            <w:tcW w:w="21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w:t>
            </w:r>
          </w:p>
        </w:tc>
      </w:tr>
    </w:tbl>
    <w:p>
      <w:pPr>
        <w:pStyle w:val="TextBody"/>
        <w:bidi w:val="0"/>
        <w:spacing w:before="360" w:after="240"/>
        <w:ind w:left="0" w:right="0" w:firstLine="720"/>
        <w:jc w:val="both"/>
        <w:rPr>
          <w:rFonts w:ascii="Times New Roman" w:hAnsi="Times New Roman"/>
          <w:sz w:val="20"/>
        </w:rPr>
      </w:pPr>
      <w:r>
        <w:rPr>
          <w:rFonts w:ascii="Times New Roman" w:hAnsi="Times New Roman"/>
          <w:color w:val="000000"/>
          <w:sz w:val="22"/>
        </w:rPr>
        <w:t xml:space="preserve">For purposes of clarity, (a) each earn-out payment rate will only apply to the corresponding tier of Annual Net Sales, and (b) the determination of the earn-out payment rate under this </w:t>
      </w:r>
      <w:r>
        <w:rPr>
          <w:rFonts w:ascii="Times New Roman" w:hAnsi="Times New Roman"/>
          <w:color w:val="000000"/>
          <w:sz w:val="22"/>
          <w:u w:val="single"/>
        </w:rPr>
        <w:t>Section 5.2.1</w:t>
      </w:r>
      <w:r>
        <w:rPr>
          <w:rFonts w:ascii="Times New Roman" w:hAnsi="Times New Roman"/>
          <w:color w:val="000000"/>
          <w:sz w:val="20"/>
        </w:rPr>
        <w:t xml:space="preserve"> </w:t>
      </w:r>
      <w:r>
        <w:rPr>
          <w:rFonts w:ascii="Times New Roman" w:hAnsi="Times New Roman"/>
          <w:color w:val="000000"/>
          <w:sz w:val="22"/>
        </w:rPr>
        <w:t>shall be based on aggregate, worldwide Annual Net Sales of the relevant Products in each Calendar Year.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5.2.2 Expiration of Earn-Out Payments.</w:t>
      </w:r>
      <w:r>
        <w:rPr>
          <w:rFonts w:ascii="Times New Roman" w:hAnsi="Times New Roman"/>
          <w:color w:val="000000"/>
          <w:sz w:val="20"/>
        </w:rPr>
        <w:t xml:space="preserve"> </w:t>
      </w:r>
      <w:r>
        <w:rPr>
          <w:rFonts w:ascii="Times New Roman" w:hAnsi="Times New Roman"/>
          <w:color w:val="000000"/>
          <w:sz w:val="22"/>
        </w:rPr>
        <w:t>Such earn-out payments shall be payable on a Product-by-Product and country-by-country basis commencing upon the First Commercial Sale of such Product in such country in the Territory and continuing until the latest of (a) the expiration of the last-to-expire Valid Claim of the Assigned Patent Rights, [***] and the In-Licensed Patent Rights covering or claiming such Product in such country, (b) expiration of Regulatory Exclusivity for such Product in such country, and (c) ten (10) years after First Commercial Sale of such Product in such country. Upon the expiration of the earn-out payment term with respect to a Product and a country, the license to Buyer under the Licensed Intellectual Property for such Product and in such country shall become fully-paid, perpetual and irrevocable.</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5.2.3 Earn-Out Payment Reduction.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On a Product-by-Product and country-by-country basis, if a Product is sold in a country in a Calendar Quarter when one (1) or more Generic Products for such Product are being sold in such country and such Generic Products account for at least [***] of the total [***] of both such Generic Products and such Product in such country for such Calendar Quarter, then, subject to </w:t>
      </w:r>
      <w:r>
        <w:rPr>
          <w:rFonts w:ascii="Times New Roman" w:hAnsi="Times New Roman"/>
          <w:color w:val="000000"/>
          <w:sz w:val="22"/>
          <w:u w:val="single"/>
        </w:rPr>
        <w:t>Section 5.2.3(c)</w:t>
      </w:r>
      <w:r>
        <w:rPr>
          <w:rFonts w:ascii="Times New Roman" w:hAnsi="Times New Roman"/>
          <w:color w:val="000000"/>
          <w:sz w:val="20"/>
        </w:rPr>
        <w:t xml:space="preserve"> </w:t>
      </w:r>
      <w:r>
        <w:rPr>
          <w:rFonts w:ascii="Times New Roman" w:hAnsi="Times New Roman"/>
          <w:color w:val="000000"/>
          <w:sz w:val="22"/>
        </w:rPr>
        <w:t>below, the earn-out payment applicable to the Net Sales of such Product sold in such Calendar Quarter shall be reduced by [***]. The determination of the units of the Generic Product(s) sold shall be based upon data provided by IQVIA (formerly IMS Health) or another mutually acceptable and reputable provider.</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 xml:space="preserve">Buyer shall bear all costs associated with securing licenses (that are in addition to any licenses under an Assigned Agreement) to any Third Party Patent Rights necessary to research and develop, make, have made, use, sell, offer for sale, or use any Product in the Territory. If it is necessary for Buyer to obtain or maintain a license from a Third Party to any Patent Rights owned by such Third Party (that are in addition to any licenses under an Assigned Agreement) in order to avoid infringement of such Patent Right [***] in the research and development, making, having made, using, selling, offering for sale, or importing or other exploitation of any Program Molecule or Product (excluding the part of a Combination Product that is not a Program Molecule or Product) in a country in the Territory and Buyer obtains or maintains such a license, then, subject to </w:t>
      </w:r>
      <w:r>
        <w:rPr>
          <w:rFonts w:ascii="Times New Roman" w:hAnsi="Times New Roman"/>
          <w:color w:val="000000"/>
          <w:sz w:val="22"/>
          <w:u w:val="single"/>
        </w:rPr>
        <w:t>Section 5.2.3(c)</w:t>
      </w:r>
      <w:r>
        <w:rPr>
          <w:rFonts w:ascii="Times New Roman" w:hAnsi="Times New Roman"/>
          <w:color w:val="000000"/>
          <w:sz w:val="20"/>
        </w:rPr>
        <w:t xml:space="preserve"> </w:t>
      </w:r>
      <w:r>
        <w:rPr>
          <w:rFonts w:ascii="Times New Roman" w:hAnsi="Times New Roman"/>
          <w:color w:val="000000"/>
          <w:sz w:val="22"/>
        </w:rPr>
        <w:t xml:space="preserve">below, Buyer shall have the right to deduct, from the earn-out payment that would otherwise have been due pursuant to </w:t>
      </w:r>
      <w:r>
        <w:rPr>
          <w:rFonts w:ascii="Times New Roman" w:hAnsi="Times New Roman"/>
          <w:color w:val="000000"/>
          <w:sz w:val="22"/>
          <w:u w:val="single"/>
        </w:rPr>
        <w:t>Section 5.2.1</w:t>
      </w:r>
      <w:r>
        <w:rPr>
          <w:rFonts w:ascii="Times New Roman" w:hAnsi="Times New Roman"/>
          <w:color w:val="000000"/>
          <w:sz w:val="20"/>
        </w:rPr>
        <w:t xml:space="preserve"> </w:t>
      </w:r>
      <w:r>
        <w:rPr>
          <w:rFonts w:ascii="Times New Roman" w:hAnsi="Times New Roman"/>
          <w:color w:val="000000"/>
          <w:sz w:val="22"/>
        </w:rPr>
        <w:t xml:space="preserve">with respect to Net Sales of such Product in such country in a particular Calendar Quarter, an amount equal to [***] of the royalties paid by or on behalf of Buyer to such Third Party pursuant to such license on account of the sale of the Product in such country during such Calendar Quarter, provided that Buyer shall have the right to carry forward to subsequent Calendar Quarters any unused balance of such reductions that is not used in a given Calendar Quarter as a result of </w:t>
      </w:r>
      <w:r>
        <w:rPr>
          <w:rFonts w:ascii="Times New Roman" w:hAnsi="Times New Roman"/>
          <w:color w:val="000000"/>
          <w:sz w:val="22"/>
          <w:u w:val="single"/>
        </w:rPr>
        <w:t>Section 5.2.3(c)</w:t>
      </w:r>
      <w:r>
        <w:rPr>
          <w:rFonts w:ascii="Times New Roman" w:hAnsi="Times New Roman"/>
          <w:color w:val="000000"/>
          <w:sz w:val="22"/>
        </w:rPr>
        <w:t xml:space="preserve">. Notwithstanding the foregoing, for any Calendar Quarter in which the reduction under </w:t>
      </w:r>
      <w:r>
        <w:rPr>
          <w:rFonts w:ascii="Times New Roman" w:hAnsi="Times New Roman"/>
          <w:color w:val="000000"/>
          <w:sz w:val="22"/>
          <w:u w:val="single"/>
        </w:rPr>
        <w:t>Section 5.2.3(a)</w:t>
      </w:r>
      <w:r>
        <w:rPr>
          <w:rFonts w:ascii="Times New Roman" w:hAnsi="Times New Roman"/>
          <w:color w:val="000000"/>
          <w:sz w:val="20"/>
        </w:rPr>
        <w:t xml:space="preserve"> </w:t>
      </w:r>
      <w:r>
        <w:rPr>
          <w:rFonts w:ascii="Times New Roman" w:hAnsi="Times New Roman"/>
          <w:color w:val="000000"/>
          <w:sz w:val="22"/>
        </w:rPr>
        <w:t xml:space="preserve">applies, the reduction under this </w:t>
      </w:r>
      <w:r>
        <w:rPr>
          <w:rFonts w:ascii="Times New Roman" w:hAnsi="Times New Roman"/>
          <w:color w:val="000000"/>
          <w:sz w:val="22"/>
          <w:u w:val="single"/>
        </w:rPr>
        <w:t>Section 5.2.3(b)</w:t>
      </w:r>
      <w:r>
        <w:rPr>
          <w:rFonts w:ascii="Times New Roman" w:hAnsi="Times New Roman"/>
          <w:color w:val="000000"/>
          <w:sz w:val="20"/>
        </w:rPr>
        <w:t xml:space="preserve"> </w:t>
      </w:r>
      <w:r>
        <w:rPr>
          <w:rFonts w:ascii="Times New Roman" w:hAnsi="Times New Roman"/>
          <w:color w:val="000000"/>
          <w:sz w:val="22"/>
        </w:rPr>
        <w:t xml:space="preserve">for Third Party royalties paid during such Calendar Quarter may not be taken (on account of the floor under </w:t>
      </w:r>
      <w:r>
        <w:rPr>
          <w:rFonts w:ascii="Times New Roman" w:hAnsi="Times New Roman"/>
          <w:color w:val="000000"/>
          <w:sz w:val="22"/>
          <w:u w:val="single"/>
        </w:rPr>
        <w:t>Section 5.2.3(c)</w:t>
      </w:r>
      <w:r>
        <w:rPr>
          <w:rFonts w:ascii="Times New Roman" w:hAnsi="Times New Roman"/>
          <w:color w:val="000000"/>
          <w:sz w:val="22"/>
        </w:rPr>
        <w:t xml:space="preserve">) and may not be carried forward to subsequent Calendar Quarters. For clarity, payments under any Assigned Agreement are not deductible under this </w:t>
      </w:r>
      <w:r>
        <w:rPr>
          <w:rFonts w:ascii="Times New Roman" w:hAnsi="Times New Roman"/>
          <w:color w:val="000000"/>
          <w:sz w:val="22"/>
          <w:u w:val="single"/>
        </w:rPr>
        <w:t>Section 5.2.3(b)</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2"/>
        </w:rPr>
        <w:t xml:space="preserve">Notwithstanding the foregoing </w:t>
      </w:r>
      <w:r>
        <w:rPr>
          <w:rFonts w:ascii="Times New Roman" w:hAnsi="Times New Roman"/>
          <w:color w:val="000000"/>
          <w:sz w:val="22"/>
          <w:u w:val="single"/>
        </w:rPr>
        <w:t>Sections 5.2.3(a)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5.2.3(b)</w:t>
      </w:r>
      <w:r>
        <w:rPr>
          <w:rFonts w:ascii="Times New Roman" w:hAnsi="Times New Roman"/>
          <w:color w:val="000000"/>
          <w:sz w:val="22"/>
        </w:rPr>
        <w:t xml:space="preserve">, in no event shall the aggregate earn-out payments payable under this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in a given Calendar Quarter with respect to a Product be reduced pursuant to </w:t>
      </w:r>
      <w:r>
        <w:rPr>
          <w:rFonts w:ascii="Times New Roman" w:hAnsi="Times New Roman"/>
          <w:color w:val="000000"/>
          <w:sz w:val="22"/>
          <w:u w:val="single"/>
        </w:rPr>
        <w:t>Sections 5.2.3(a)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5.2.3(b)</w:t>
      </w:r>
      <w:r>
        <w:rPr>
          <w:rFonts w:ascii="Times New Roman" w:hAnsi="Times New Roman"/>
          <w:color w:val="000000"/>
          <w:sz w:val="20"/>
        </w:rPr>
        <w:t xml:space="preserve"> </w:t>
      </w:r>
      <w:r>
        <w:rPr>
          <w:rFonts w:ascii="Times New Roman" w:hAnsi="Times New Roman"/>
          <w:color w:val="000000"/>
          <w:sz w:val="22"/>
        </w:rPr>
        <w:t>by more than [***] cumulatively from the amounts that would otherwise be due if no such reductions applied.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5.2.4 Earn-Out Payments and Reporting.</w:t>
      </w:r>
      <w:r>
        <w:rPr>
          <w:rFonts w:ascii="Times New Roman" w:hAnsi="Times New Roman"/>
          <w:color w:val="000000"/>
          <w:sz w:val="20"/>
        </w:rPr>
        <w:t xml:space="preserve"> </w:t>
      </w:r>
      <w:r>
        <w:rPr>
          <w:rFonts w:ascii="Times New Roman" w:hAnsi="Times New Roman"/>
          <w:color w:val="000000"/>
          <w:sz w:val="22"/>
        </w:rPr>
        <w:t xml:space="preserve">Buyer shall calculate all amounts payable to Seller pursuant to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at the end of each Calendar Quarter. Buyer will deliver to Seller (a) [***] and (b) within [***] after the end of each Calendar Quarter, a written report setting forth the actual Net Sales for such Calendar Quarter and including the following information for such Calendar Quarter: [***] (each, an “</w:t>
      </w:r>
      <w:r>
        <w:rPr>
          <w:rFonts w:ascii="Times New Roman" w:hAnsi="Times New Roman"/>
          <w:b/>
          <w:color w:val="000000"/>
          <w:sz w:val="22"/>
        </w:rPr>
        <w:t>Earn-Out Report</w:t>
      </w:r>
      <w:r>
        <w:rPr>
          <w:rFonts w:ascii="Times New Roman" w:hAnsi="Times New Roman"/>
          <w:color w:val="000000"/>
          <w:sz w:val="20"/>
        </w:rPr>
        <w:t>”</w:t>
      </w:r>
      <w:r>
        <w:rPr>
          <w:rFonts w:ascii="Times New Roman" w:hAnsi="Times New Roman"/>
          <w:color w:val="000000"/>
          <w:sz w:val="22"/>
        </w:rPr>
        <w:t xml:space="preserve">). Upon receipt of such Earn-Out Report, Seller will issue an invoice to Buyer for the amount of the earn-out payments payable under this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set forth in such Earn-Out Report, which invoice will specify the amount of the earn-out payments payable under this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that should be made to Seller. Buyer will pay all earn-out payments payable under this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for a Calendar Quarter set forth in any such invoice within [***] after receipt of such invoice.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5.3 Development Milestone Payments</w:t>
      </w:r>
      <w:r>
        <w:rPr>
          <w:rFonts w:ascii="Times New Roman" w:hAnsi="Times New Roman"/>
          <w:color w:val="000000"/>
          <w:sz w:val="22"/>
        </w:rPr>
        <w:t>. From and after the Closing, following the first achievement of each development milestone event set forth in the table below (each such event, a “</w:t>
      </w:r>
      <w:r>
        <w:rPr>
          <w:rFonts w:ascii="Times New Roman" w:hAnsi="Times New Roman"/>
          <w:b/>
          <w:color w:val="000000"/>
          <w:sz w:val="22"/>
        </w:rPr>
        <w:t>Development Milestone Event</w:t>
      </w:r>
      <w:r>
        <w:rPr>
          <w:rFonts w:ascii="Times New Roman" w:hAnsi="Times New Roman"/>
          <w:color w:val="000000"/>
          <w:sz w:val="20"/>
        </w:rPr>
        <w:t>”</w:t>
      </w:r>
      <w:r>
        <w:rPr>
          <w:rFonts w:ascii="Times New Roman" w:hAnsi="Times New Roman"/>
          <w:color w:val="000000"/>
          <w:sz w:val="22"/>
        </w:rPr>
        <w:t>), Buyer shall pay, or cause to be paid, to Seller a one-time, non-refundable and non-creditable corresponding milestone payment (each, a “</w:t>
      </w:r>
      <w:r>
        <w:rPr>
          <w:rFonts w:ascii="Times New Roman" w:hAnsi="Times New Roman"/>
          <w:b/>
          <w:color w:val="000000"/>
          <w:sz w:val="22"/>
        </w:rPr>
        <w:t>Development Milestone Payment</w:t>
      </w:r>
      <w:r>
        <w:rPr>
          <w:rFonts w:ascii="Times New Roman" w:hAnsi="Times New Roman"/>
          <w:color w:val="000000"/>
          <w:sz w:val="20"/>
        </w:rPr>
        <w:t>”</w:t>
      </w:r>
      <w:r>
        <w:rPr>
          <w:rFonts w:ascii="Times New Roman" w:hAnsi="Times New Roman"/>
          <w:color w:val="000000"/>
          <w:sz w:val="22"/>
        </w:rPr>
        <w:t>) within [***] after receipt of invoice from Seller issued on or after the first achievement of such Development Milestone Event. Buyer shall notify Seller within [***] after each Development Milestone Event is first achieved. For the avoidance of doubt, each Development Milestone Payment shall be payable one (1) time only for all Products upon the first achievement of the corresponding Development Milestone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Event, regardless of the number of times such Development Milestone Event may be achieved by the same or different Products. As used in the table below, “Indication” means an individual, separate and distinct disease or medical condition for which (a) at least one clinical trial is required to support inclusion of such disease or condition in the indication statement of a package insert approved by a Regulatory Authority for a Product or (b) a separate Marketing Authorization Application (or amendment or supplement thereto) must be filed. Indications of the same cancer type shall be deemed the same Indication unless they (i) have different organs of origin (e.g., gastric cancer and renal cancer would be different Indications), or (ii) are for a different hematological malignancy as classified by IDC10 codes (e.g., acute lymphoblastic leukemia, chronic myelogenous leukemia, non-Hodgkin’s lymphoma, multiple myeloma, Hodgkin’s disease, chronic lymphocytic leukemia and acute myeloid leukemia are all different Indications); provided that [***]</w:t>
      </w:r>
    </w:p>
    <w:tbl>
      <w:tblPr>
        <w:tblW w:w="4353" w:type="dxa"/>
        <w:jc w:val="left"/>
        <w:tblInd w:w="0" w:type="dxa"/>
        <w:tblLayout w:type="fixed"/>
        <w:tblCellMar>
          <w:top w:w="28" w:type="dxa"/>
          <w:left w:w="28" w:type="dxa"/>
          <w:bottom w:w="28" w:type="dxa"/>
          <w:right w:w="28" w:type="dxa"/>
        </w:tblCellMar>
      </w:tblPr>
      <w:tblGrid>
        <w:gridCol w:w="3076"/>
        <w:gridCol w:w="616"/>
        <w:gridCol w:w="661"/>
      </w:tblGrid>
      <w:tr>
        <w:trPr/>
        <w:tc>
          <w:tcPr>
            <w:tcW w:w="307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Development Milestone Payments</w:t>
            </w:r>
          </w:p>
        </w:tc>
      </w:tr>
      <w:tr>
        <w:trPr/>
        <w:tc>
          <w:tcPr>
            <w:tcW w:w="30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Development Milestone Event</w:t>
            </w:r>
          </w:p>
        </w:tc>
        <w:tc>
          <w:tcPr>
            <w:tcW w:w="6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b/>
                <w:color w:val="000000"/>
                <w:sz w:val="22"/>
              </w:rPr>
            </w:pPr>
            <w:r>
              <w:rPr>
                <w:rFonts w:ascii="Times New Roman" w:hAnsi="Times New Roman"/>
                <w:b/>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b/>
                <w:color w:val="000000"/>
                <w:sz w:val="22"/>
              </w:rPr>
            </w:pPr>
            <w:r>
              <w:rPr>
                <w:rFonts w:ascii="Times New Roman" w:hAnsi="Times New Roman"/>
                <w:b/>
                <w:color w:val="000000"/>
                <w:sz w:val="22"/>
              </w:rPr>
              <w:t>[***]</w:t>
            </w:r>
          </w:p>
        </w:tc>
      </w:tr>
      <w:tr>
        <w:trPr/>
        <w:tc>
          <w:tcPr>
            <w:tcW w:w="30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w:t>
            </w:r>
          </w:p>
        </w:tc>
        <w:tc>
          <w:tcPr>
            <w:tcW w:w="6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r>
      <w:tr>
        <w:trPr/>
        <w:tc>
          <w:tcPr>
            <w:tcW w:w="30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w:t>
            </w:r>
          </w:p>
        </w:tc>
        <w:tc>
          <w:tcPr>
            <w:tcW w:w="6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r>
      <w:tr>
        <w:trPr/>
        <w:tc>
          <w:tcPr>
            <w:tcW w:w="30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w:t>
            </w:r>
          </w:p>
        </w:tc>
        <w:tc>
          <w:tcPr>
            <w:tcW w:w="6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r>
      <w:tr>
        <w:trPr/>
        <w:tc>
          <w:tcPr>
            <w:tcW w:w="30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w:t>
            </w:r>
          </w:p>
        </w:tc>
        <w:tc>
          <w:tcPr>
            <w:tcW w:w="6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r>
      <w:tr>
        <w:trPr/>
        <w:tc>
          <w:tcPr>
            <w:tcW w:w="30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left"/>
              <w:rPr>
                <w:rFonts w:ascii="Times New Roman" w:hAnsi="Times New Roman"/>
                <w:b/>
                <w:color w:val="000000"/>
                <w:sz w:val="22"/>
              </w:rPr>
            </w:pPr>
            <w:r>
              <w:rPr>
                <w:rFonts w:ascii="Times New Roman" w:hAnsi="Times New Roman"/>
                <w:b/>
                <w:color w:val="000000"/>
                <w:sz w:val="22"/>
              </w:rPr>
              <w:t>Total Development Milestones</w:t>
            </w:r>
          </w:p>
        </w:tc>
        <w:tc>
          <w:tcPr>
            <w:tcW w:w="1277" w:type="dxa"/>
            <w:gridSpan w:val="2"/>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Times New Roman" w:hAnsi="Times New Roman"/>
                <w:b/>
                <w:color w:val="000000"/>
                <w:sz w:val="22"/>
              </w:rPr>
            </w:pPr>
            <w:r>
              <w:rPr>
                <w:rFonts w:ascii="Times New Roman" w:hAnsi="Times New Roman"/>
                <w:b/>
                <w:color w:val="000000"/>
                <w:sz w:val="22"/>
              </w:rPr>
              <w:t>[***]</w:t>
            </w:r>
          </w:p>
        </w:tc>
      </w:tr>
    </w:tbl>
    <w:p>
      <w:pPr>
        <w:pStyle w:val="TextBody"/>
        <w:bidi w:val="0"/>
        <w:spacing w:before="24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5.4 Sales Milestone Payments.</w:t>
      </w:r>
      <w:r>
        <w:rPr>
          <w:rFonts w:ascii="Times New Roman" w:hAnsi="Times New Roman"/>
          <w:color w:val="000000"/>
          <w:sz w:val="20"/>
        </w:rPr>
        <w:t xml:space="preserve"> </w:t>
      </w:r>
      <w:r>
        <w:rPr>
          <w:rFonts w:ascii="Times New Roman" w:hAnsi="Times New Roman"/>
          <w:color w:val="000000"/>
          <w:sz w:val="22"/>
        </w:rPr>
        <w:t>From and after the Closing, following the first achievement of each sales milestone event set forth in the applicable table below with respect to aggregate Annual Net Sales of all Products (each such event, a “</w:t>
      </w:r>
      <w:r>
        <w:rPr>
          <w:rFonts w:ascii="Times New Roman" w:hAnsi="Times New Roman"/>
          <w:b/>
          <w:color w:val="000000"/>
          <w:sz w:val="22"/>
        </w:rPr>
        <w:t>Sales Milestone Event</w:t>
      </w:r>
      <w:r>
        <w:rPr>
          <w:rFonts w:ascii="Times New Roman" w:hAnsi="Times New Roman"/>
          <w:color w:val="000000"/>
          <w:sz w:val="20"/>
        </w:rPr>
        <w:t>”</w:t>
      </w:r>
      <w:r>
        <w:rPr>
          <w:rFonts w:ascii="Times New Roman" w:hAnsi="Times New Roman"/>
          <w:color w:val="000000"/>
          <w:sz w:val="22"/>
        </w:rPr>
        <w:t>), Buyer shall pay, or cause to be paid, to Seller a one-time, non-refundable and non-creditable corresponding milestone payment (each, a “</w:t>
      </w:r>
      <w:r>
        <w:rPr>
          <w:rFonts w:ascii="Times New Roman" w:hAnsi="Times New Roman"/>
          <w:b/>
          <w:color w:val="000000"/>
          <w:sz w:val="22"/>
        </w:rPr>
        <w:t>Sales Milestone Payment</w:t>
      </w:r>
      <w:r>
        <w:rPr>
          <w:rFonts w:ascii="Times New Roman" w:hAnsi="Times New Roman"/>
          <w:color w:val="000000"/>
          <w:sz w:val="20"/>
        </w:rPr>
        <w:t>”</w:t>
      </w:r>
      <w:r>
        <w:rPr>
          <w:rFonts w:ascii="Times New Roman" w:hAnsi="Times New Roman"/>
          <w:color w:val="000000"/>
          <w:sz w:val="22"/>
        </w:rPr>
        <w:t xml:space="preserve">). The [***] and the Earn-Out Report to be issued pursuant to </w:t>
      </w:r>
      <w:r>
        <w:rPr>
          <w:rFonts w:ascii="Times New Roman" w:hAnsi="Times New Roman"/>
          <w:color w:val="000000"/>
          <w:sz w:val="22"/>
          <w:u w:val="single"/>
        </w:rPr>
        <w:t>Section 5.2.4</w:t>
      </w:r>
      <w:r>
        <w:rPr>
          <w:rFonts w:ascii="Times New Roman" w:hAnsi="Times New Roman"/>
          <w:color w:val="000000"/>
          <w:sz w:val="20"/>
        </w:rPr>
        <w:t xml:space="preserve"> </w:t>
      </w:r>
      <w:r>
        <w:rPr>
          <w:rFonts w:ascii="Times New Roman" w:hAnsi="Times New Roman"/>
          <w:color w:val="000000"/>
          <w:sz w:val="22"/>
        </w:rPr>
        <w:t xml:space="preserve">shall each indicate whether any Sales Milestone Event was achieved during the Calendar Quarter covered by such report. Upon receipt of an Earn-Out Report indicating that a Sales Milestone Event was achieved, Seller will issue an invoice to Buyer for the Sales Milestone Payment payable under this </w:t>
      </w:r>
      <w:r>
        <w:rPr>
          <w:rFonts w:ascii="Times New Roman" w:hAnsi="Times New Roman"/>
          <w:color w:val="000000"/>
          <w:sz w:val="22"/>
          <w:u w:val="single"/>
        </w:rPr>
        <w:t>Section 5.4</w:t>
      </w:r>
      <w:r>
        <w:rPr>
          <w:rFonts w:ascii="Times New Roman" w:hAnsi="Times New Roman"/>
          <w:color w:val="000000"/>
          <w:sz w:val="22"/>
        </w:rPr>
        <w:t xml:space="preserve">. Buyer will pay all Sales Milestone Payments payable under this </w:t>
      </w:r>
      <w:r>
        <w:rPr>
          <w:rFonts w:ascii="Times New Roman" w:hAnsi="Times New Roman"/>
          <w:color w:val="000000"/>
          <w:sz w:val="22"/>
          <w:u w:val="single"/>
        </w:rPr>
        <w:t>Section 5.4</w:t>
      </w:r>
      <w:r>
        <w:rPr>
          <w:rFonts w:ascii="Times New Roman" w:hAnsi="Times New Roman"/>
          <w:color w:val="000000"/>
          <w:sz w:val="20"/>
        </w:rPr>
        <w:t xml:space="preserve"> </w:t>
      </w:r>
      <w:r>
        <w:rPr>
          <w:rFonts w:ascii="Times New Roman" w:hAnsi="Times New Roman"/>
          <w:color w:val="000000"/>
          <w:sz w:val="22"/>
        </w:rPr>
        <w:t>within [***] after receipt of such invoice. For the avoidance of doubt, each Sales Milestone Payment shall be payable one time upon the first achievement of the corresponding Sales Milestone Event, regardless of the number of times such Sales Milestone Event may be achieved.</w:t>
      </w:r>
    </w:p>
    <w:tbl>
      <w:tblPr>
        <w:tblW w:w="8682" w:type="dxa"/>
        <w:jc w:val="left"/>
        <w:tblInd w:w="0" w:type="dxa"/>
        <w:tblLayout w:type="fixed"/>
        <w:tblCellMar>
          <w:top w:w="28" w:type="dxa"/>
          <w:left w:w="28" w:type="dxa"/>
          <w:bottom w:w="28" w:type="dxa"/>
          <w:right w:w="28" w:type="dxa"/>
        </w:tblCellMar>
      </w:tblPr>
      <w:tblGrid>
        <w:gridCol w:w="5781"/>
        <w:gridCol w:w="2901"/>
      </w:tblGrid>
      <w:tr>
        <w:trPr/>
        <w:tc>
          <w:tcPr>
            <w:tcW w:w="5781"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8682"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120"/>
              <w:jc w:val="center"/>
              <w:rPr>
                <w:rFonts w:ascii="Times New Roman" w:hAnsi="Times New Roman"/>
                <w:b/>
                <w:color w:val="000000"/>
                <w:sz w:val="22"/>
                <w:u w:val="single"/>
              </w:rPr>
            </w:pPr>
            <w:r>
              <w:rPr>
                <w:rFonts w:ascii="Times New Roman" w:hAnsi="Times New Roman"/>
                <w:b/>
                <w:color w:val="000000"/>
                <w:sz w:val="22"/>
                <w:u w:val="single"/>
              </w:rPr>
              <w:t>Sales Milestones</w:t>
            </w:r>
          </w:p>
        </w:tc>
      </w:tr>
      <w:tr>
        <w:trPr/>
        <w:tc>
          <w:tcPr>
            <w:tcW w:w="57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center"/>
              <w:rPr>
                <w:rFonts w:ascii="Times New Roman" w:hAnsi="Times New Roman"/>
                <w:b/>
                <w:color w:val="000000"/>
                <w:sz w:val="22"/>
              </w:rPr>
            </w:pPr>
            <w:r>
              <w:rPr>
                <w:rFonts w:ascii="Times New Roman" w:hAnsi="Times New Roman"/>
                <w:b/>
                <w:color w:val="000000"/>
                <w:sz w:val="22"/>
              </w:rPr>
              <w:t>Sales Milestone Event</w:t>
            </w:r>
          </w:p>
        </w:tc>
        <w:tc>
          <w:tcPr>
            <w:tcW w:w="2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ind w:left="0" w:right="0" w:firstLine="335"/>
              <w:jc w:val="center"/>
              <w:rPr>
                <w:rFonts w:ascii="Times New Roman" w:hAnsi="Times New Roman"/>
                <w:b/>
                <w:color w:val="000000"/>
                <w:sz w:val="22"/>
              </w:rPr>
            </w:pPr>
            <w:r>
              <w:rPr>
                <w:rFonts w:ascii="Times New Roman" w:hAnsi="Times New Roman"/>
                <w:b/>
                <w:color w:val="000000"/>
                <w:sz w:val="22"/>
              </w:rPr>
              <w:t>Sales Milestone Payment</w:t>
            </w:r>
          </w:p>
        </w:tc>
      </w:tr>
      <w:tr>
        <w:trPr/>
        <w:tc>
          <w:tcPr>
            <w:tcW w:w="57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ind w:left="335" w:right="0" w:firstLine="335"/>
              <w:jc w:val="left"/>
              <w:rPr>
                <w:rFonts w:ascii="Times New Roman" w:hAnsi="Times New Roman"/>
                <w:color w:val="000000"/>
                <w:sz w:val="22"/>
              </w:rPr>
            </w:pPr>
            <w:r>
              <w:rPr>
                <w:rFonts w:ascii="Times New Roman" w:hAnsi="Times New Roman"/>
                <w:color w:val="000000"/>
                <w:sz w:val="22"/>
              </w:rPr>
              <w:t>Annual Net Sales of all Products equals or exceeds [***]</w:t>
            </w:r>
          </w:p>
        </w:tc>
        <w:tc>
          <w:tcPr>
            <w:tcW w:w="2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ind w:left="0" w:right="0" w:firstLine="335"/>
              <w:jc w:val="center"/>
              <w:rPr>
                <w:rFonts w:ascii="Times New Roman" w:hAnsi="Times New Roman"/>
                <w:color w:val="000000"/>
                <w:sz w:val="22"/>
              </w:rPr>
            </w:pPr>
            <w:r>
              <w:rPr>
                <w:rFonts w:ascii="Times New Roman" w:hAnsi="Times New Roman"/>
                <w:color w:val="000000"/>
                <w:sz w:val="22"/>
              </w:rPr>
              <w:t>[***]</w:t>
            </w:r>
          </w:p>
        </w:tc>
      </w:tr>
      <w:tr>
        <w:trPr/>
        <w:tc>
          <w:tcPr>
            <w:tcW w:w="57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ind w:left="335" w:right="0" w:firstLine="335"/>
              <w:jc w:val="left"/>
              <w:rPr>
                <w:rFonts w:ascii="Times New Roman" w:hAnsi="Times New Roman"/>
                <w:color w:val="000000"/>
                <w:sz w:val="22"/>
              </w:rPr>
            </w:pPr>
            <w:r>
              <w:rPr>
                <w:rFonts w:ascii="Times New Roman" w:hAnsi="Times New Roman"/>
                <w:color w:val="000000"/>
                <w:sz w:val="22"/>
              </w:rPr>
              <w:t>Annual Net Sales of all Products equals or exceeds [***]</w:t>
            </w:r>
          </w:p>
        </w:tc>
        <w:tc>
          <w:tcPr>
            <w:tcW w:w="2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tbl>
      <w:tblPr>
        <w:tblW w:w="6777" w:type="dxa"/>
        <w:jc w:val="left"/>
        <w:tblInd w:w="0" w:type="dxa"/>
        <w:tblLayout w:type="fixed"/>
        <w:tblCellMar>
          <w:top w:w="28" w:type="dxa"/>
          <w:left w:w="28" w:type="dxa"/>
          <w:bottom w:w="28" w:type="dxa"/>
          <w:right w:w="28" w:type="dxa"/>
        </w:tblCellMar>
      </w:tblPr>
      <w:tblGrid>
        <w:gridCol w:w="5781"/>
        <w:gridCol w:w="996"/>
      </w:tblGrid>
      <w:tr>
        <w:trPr/>
        <w:tc>
          <w:tcPr>
            <w:tcW w:w="578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ind w:left="0" w:right="0" w:firstLine="335"/>
              <w:jc w:val="left"/>
              <w:rPr>
                <w:sz w:val="4"/>
                <w:szCs w:val="4"/>
              </w:rPr>
            </w:pPr>
            <w:r>
              <w:rPr>
                <w:sz w:val="4"/>
                <w:szCs w:val="4"/>
              </w:rPr>
            </w:r>
          </w:p>
        </w:tc>
      </w:tr>
      <w:tr>
        <w:trPr/>
        <w:tc>
          <w:tcPr>
            <w:tcW w:w="57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120"/>
              <w:ind w:left="335" w:right="0" w:firstLine="335"/>
              <w:jc w:val="left"/>
              <w:rPr>
                <w:rFonts w:ascii="Times New Roman" w:hAnsi="Times New Roman"/>
                <w:color w:val="000000"/>
                <w:sz w:val="22"/>
              </w:rPr>
            </w:pPr>
            <w:r>
              <w:rPr>
                <w:rFonts w:ascii="Times New Roman" w:hAnsi="Times New Roman"/>
                <w:color w:val="000000"/>
                <w:sz w:val="22"/>
              </w:rPr>
              <w:t>Annual Net Sales of all Products equals or exceeds [***]</w:t>
            </w:r>
          </w:p>
        </w:tc>
        <w:tc>
          <w:tcPr>
            <w:tcW w:w="9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ind w:left="0" w:right="0" w:firstLine="335"/>
              <w:jc w:val="center"/>
              <w:rPr>
                <w:rFonts w:ascii="Times New Roman" w:hAnsi="Times New Roman"/>
                <w:color w:val="000000"/>
                <w:sz w:val="22"/>
              </w:rPr>
            </w:pPr>
            <w:r>
              <w:rPr>
                <w:rFonts w:ascii="Times New Roman" w:hAnsi="Times New Roman"/>
                <w:color w:val="000000"/>
                <w:sz w:val="22"/>
              </w:rPr>
              <w:t>[***]</w:t>
            </w:r>
          </w:p>
        </w:tc>
      </w:tr>
      <w:tr>
        <w:trPr/>
        <w:tc>
          <w:tcPr>
            <w:tcW w:w="57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ind w:left="335" w:right="0" w:firstLine="335"/>
              <w:jc w:val="left"/>
              <w:rPr>
                <w:rFonts w:ascii="Times New Roman" w:hAnsi="Times New Roman"/>
                <w:color w:val="000000"/>
                <w:sz w:val="22"/>
              </w:rPr>
            </w:pPr>
            <w:r>
              <w:rPr>
                <w:rFonts w:ascii="Times New Roman" w:hAnsi="Times New Roman"/>
                <w:color w:val="000000"/>
                <w:sz w:val="22"/>
              </w:rPr>
              <w:t>Annual Net Sales of all Products equals or exceeds [***]</w:t>
            </w:r>
          </w:p>
        </w:tc>
        <w:tc>
          <w:tcPr>
            <w:tcW w:w="9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5.5 Payments in Dollars.</w:t>
      </w:r>
      <w:r>
        <w:rPr>
          <w:rFonts w:ascii="Times New Roman" w:hAnsi="Times New Roman"/>
          <w:color w:val="000000"/>
          <w:sz w:val="20"/>
        </w:rPr>
        <w:t xml:space="preserve"> </w:t>
      </w:r>
      <w:r>
        <w:rPr>
          <w:rFonts w:ascii="Times New Roman" w:hAnsi="Times New Roman"/>
          <w:color w:val="000000"/>
          <w:sz w:val="22"/>
        </w:rPr>
        <w:t xml:space="preserve">All payments made by Buyer under this </w:t>
      </w:r>
      <w:r>
        <w:rPr>
          <w:rFonts w:ascii="Times New Roman" w:hAnsi="Times New Roman"/>
          <w:color w:val="000000"/>
          <w:sz w:val="22"/>
          <w:u w:val="single"/>
        </w:rPr>
        <w:t>Article 5</w:t>
      </w:r>
      <w:r>
        <w:rPr>
          <w:rFonts w:ascii="Times New Roman" w:hAnsi="Times New Roman"/>
          <w:color w:val="000000"/>
          <w:sz w:val="20"/>
        </w:rPr>
        <w:t xml:space="preserve"> </w:t>
      </w:r>
      <w:r>
        <w:rPr>
          <w:rFonts w:ascii="Times New Roman" w:hAnsi="Times New Roman"/>
          <w:color w:val="000000"/>
          <w:sz w:val="22"/>
        </w:rPr>
        <w:t>shall be made by wire transfer from a banking institution in Dollars in accordance with instructions given in writing from time to time by Seller.</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5.6 Foreign Currency Exchange.</w:t>
      </w:r>
      <w:r>
        <w:rPr>
          <w:rFonts w:ascii="Times New Roman" w:hAnsi="Times New Roman"/>
          <w:color w:val="000000"/>
          <w:sz w:val="20"/>
        </w:rPr>
        <w:t xml:space="preserve"> </w:t>
      </w:r>
      <w:r>
        <w:rPr>
          <w:rFonts w:ascii="Times New Roman" w:hAnsi="Times New Roman"/>
          <w:color w:val="000000"/>
          <w:sz w:val="22"/>
        </w:rPr>
        <w:t>For the purpose of calculating any sums due under, or otherwise reimbursable pursuant to this Agreement (including the calculation of Net Sales) expressed in currencies other than Dollars, Buyer shall convert any amount expressed in a foreign currency into Dollar equivalents using the exchange rate used by Buyer in its financial reporting in accordance with U.S. GAAP.</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5.7 Overdue Payments.</w:t>
      </w:r>
      <w:r>
        <w:rPr>
          <w:rFonts w:ascii="Times New Roman" w:hAnsi="Times New Roman"/>
          <w:color w:val="000000"/>
          <w:sz w:val="20"/>
        </w:rPr>
        <w:t xml:space="preserve"> </w:t>
      </w:r>
      <w:r>
        <w:rPr>
          <w:rFonts w:ascii="Times New Roman" w:hAnsi="Times New Roman"/>
          <w:color w:val="000000"/>
          <w:sz w:val="22"/>
        </w:rPr>
        <w:t>Any amounts not paid by Buyer when due shall be subject to interest from and including the date payment is due, through and including the actual date of payment by Buyer, at a rate equal to the sum of [***], plus [***]</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5.8 Taxes.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5.8.1 Taxes on Income.</w:t>
      </w:r>
      <w:r>
        <w:rPr>
          <w:rFonts w:ascii="Times New Roman" w:hAnsi="Times New Roman"/>
          <w:color w:val="000000"/>
          <w:sz w:val="20"/>
        </w:rPr>
        <w:t xml:space="preserve"> </w:t>
      </w:r>
      <w:r>
        <w:rPr>
          <w:rFonts w:ascii="Times New Roman" w:hAnsi="Times New Roman"/>
          <w:color w:val="000000"/>
          <w:sz w:val="22"/>
        </w:rPr>
        <w:t>Each Party shall be solely responsible for, and shall hold the other Party harmless in respect of, the payment of all Taxes, fees, duties, levies or similar amounts imposed on its share of income arising directly or indirectly from the activities of the Parties under this Agreement.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5.8.2 Tax Withholding.</w:t>
      </w:r>
      <w:r>
        <w:rPr>
          <w:rFonts w:ascii="Times New Roman" w:hAnsi="Times New Roman"/>
          <w:color w:val="000000"/>
          <w:sz w:val="20"/>
        </w:rPr>
        <w:t xml:space="preserve"> </w:t>
      </w:r>
      <w:r>
        <w:rPr>
          <w:rFonts w:ascii="Times New Roman" w:hAnsi="Times New Roman"/>
          <w:color w:val="000000"/>
          <w:sz w:val="22"/>
        </w:rPr>
        <w:t>To the extent Buyer is required by applicable Law to deduct and withhold Taxes from the consideration otherwise payable pursuant to this Agreement to Seller, Buyer shall pay the amounts of such Taxes to the proper Governmental Entity in a timely manner and promptly transmit to Seller an official tax certificate or other evidence of such payment sufficient to enable Seller to claim such payment of Taxes within [***] following receipt of such evidence; provided, that prior to withholding any Taxes from consideration otherwise payable pursuant to this Agreement, Buyer shall use commercially reasonable efforts to notify Seller of the requirement to so withhold and to cooperate with Seller in Seller’s reasonable efforts to eliminate, or mitigate, the amount of such withholding. To the extent that amounts are so withheld and paid to the proper Governmental Authority, such withheld amounts shall be treated for all purposes of this Agreement as having been paid to Seller.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5.8.3 Redomicile, Assignment or Sublicense.</w:t>
      </w:r>
      <w:r>
        <w:rPr>
          <w:rFonts w:ascii="Times New Roman" w:hAnsi="Times New Roman"/>
          <w:color w:val="000000"/>
          <w:sz w:val="20"/>
        </w:rPr>
        <w:t xml:space="preserve"> </w:t>
      </w:r>
      <w:r>
        <w:rPr>
          <w:rFonts w:ascii="Times New Roman" w:hAnsi="Times New Roman"/>
          <w:color w:val="000000"/>
          <w:sz w:val="22"/>
        </w:rPr>
        <w:t>Notwithstanding anything in this Agreement to the contrary, the Parties acknowledge and agree that if either Party redomiciles, or assigns or sublicenses its rights or obligations under this Agreement (including an assignment of this Agreement as permitted under this Agreement), and such action leads to the imposition of Tax liability, including withholding or value added tax liability, on the other Party that would not have been imposed in the absence of such action or in an increase in such liability above the liability that would have been imposed in the absence of such action, then if such Party is Buyer, Buyer will increase such payment by the amount necessary to ensure that Seller receives an amount equal to the amount it would have received had no such action occurred.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5.8.4 Transfer Taxes</w:t>
      </w:r>
      <w:r>
        <w:rPr>
          <w:rFonts w:ascii="Times New Roman" w:hAnsi="Times New Roman"/>
          <w:color w:val="000000"/>
          <w:sz w:val="22"/>
        </w:rPr>
        <w:t>. Unless otherwise agreed by the Parties in writing, the amounts payable under this Agreement are exclusive of all documentary, bulk transfer, sales or use, goods and services, value-added, gross receipts, stamp, registration or other similar transfer taxes, including all recording or filing fees, notarial fees and other similar costs, that may be imposed, payable, collectible or incurred in connection with the transfer and sale of the Acquired Assets as contemplated by the terms of this Agreement (“</w:t>
      </w:r>
      <w:r>
        <w:rPr>
          <w:rFonts w:ascii="Times New Roman" w:hAnsi="Times New Roman"/>
          <w:b/>
          <w:color w:val="000000"/>
          <w:sz w:val="22"/>
        </w:rPr>
        <w:t>Transfer Taxes</w:t>
      </w:r>
      <w:r>
        <w:rPr>
          <w:rFonts w:ascii="Times New Roman" w:hAnsi="Times New Roman"/>
          <w:color w:val="000000"/>
          <w:sz w:val="20"/>
        </w:rPr>
        <w:t>”</w:t>
      </w:r>
      <w:r>
        <w:rPr>
          <w:rFonts w:ascii="Times New Roman" w:hAnsi="Times New Roman"/>
          <w:color w:val="000000"/>
          <w:sz w:val="22"/>
        </w:rPr>
        <w:t>). Such Transfer Taxes shall be borne [***]. Where such amounts are subject to Transfer Taxes, Seller shall promptly furnish Buyer with valid Tax invoices pursuant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applicable Law and remit the amounts of such Taxes to the proper Governmental Entity in a timely manner. Buyer shall settle all undisputed amounts, including any applicable Transfer Taxes, in accordance with </w:t>
      </w:r>
      <w:r>
        <w:rPr>
          <w:rFonts w:ascii="Times New Roman" w:hAnsi="Times New Roman"/>
          <w:color w:val="000000"/>
          <w:sz w:val="22"/>
          <w:u w:val="single"/>
        </w:rPr>
        <w:t>Section 9.5</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5.8.5 Tax Cooperation</w:t>
      </w:r>
      <w:r>
        <w:rPr>
          <w:rFonts w:ascii="Times New Roman" w:hAnsi="Times New Roman"/>
          <w:color w:val="000000"/>
          <w:sz w:val="22"/>
        </w:rPr>
        <w:t>. The Parties agree to cooperate with one another as may be reasonably necessary for the filing of Tax Returns, the making of any election with respect to Taxes, the preparation for any audit by any taxing authority and the prosecution or defense of any action relating to any Tax, and to use reasonable efforts to avoid or reduce Tax withholding, Transfer Taxes, or similar obligations in respect of the payments made by a Party under this Agreement, as permitted by applicable Law. On or prior to the Closing Date, Seller shall deliver to Buyer a properly completed IRS Form W-9 or applicable successor form.</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5.8.6 Allocation</w:t>
      </w:r>
      <w:r>
        <w:rPr>
          <w:rFonts w:ascii="Times New Roman" w:hAnsi="Times New Roman"/>
          <w:color w:val="000000"/>
          <w:sz w:val="22"/>
        </w:rPr>
        <w:t xml:space="preserve">. To the extent required for United States federal income Tax purposes, the Parties agreed in good faith on the manner in which the consideration referred to in </w:t>
      </w:r>
      <w:r>
        <w:rPr>
          <w:rFonts w:ascii="Times New Roman" w:hAnsi="Times New Roman"/>
          <w:color w:val="000000"/>
          <w:sz w:val="22"/>
          <w:u w:val="single"/>
        </w:rPr>
        <w:t>Section 5.1</w:t>
      </w:r>
      <w:r>
        <w:rPr>
          <w:rFonts w:ascii="Times New Roman" w:hAnsi="Times New Roman"/>
          <w:color w:val="000000"/>
          <w:sz w:val="20"/>
        </w:rPr>
        <w:t xml:space="preserve"> </w:t>
      </w:r>
      <w:r>
        <w:rPr>
          <w:rFonts w:ascii="Times New Roman" w:hAnsi="Times New Roman"/>
          <w:color w:val="000000"/>
          <w:sz w:val="22"/>
        </w:rPr>
        <w:t>was allocated among the Acquired Assets and the assets acquired under the amended and restated agreement between the parties (as of the same date as this Agreement) pertaining to the TAK-659 Product (the “</w:t>
      </w:r>
      <w:r>
        <w:rPr>
          <w:rFonts w:ascii="Times New Roman" w:hAnsi="Times New Roman"/>
          <w:b/>
          <w:color w:val="000000"/>
          <w:sz w:val="22"/>
        </w:rPr>
        <w:t>Allocation Schedule</w:t>
      </w:r>
      <w:r>
        <w:rPr>
          <w:rFonts w:ascii="Times New Roman" w:hAnsi="Times New Roman"/>
          <w:color w:val="000000"/>
          <w:sz w:val="20"/>
        </w:rPr>
        <w:t>”</w:t>
      </w:r>
      <w:r>
        <w:rPr>
          <w:rFonts w:ascii="Times New Roman" w:hAnsi="Times New Roman"/>
          <w:color w:val="000000"/>
          <w:sz w:val="22"/>
        </w:rPr>
        <w:t>). The Parties agree that the purchase price was allocated among the assets of the Seller for federal and state income Tax purposes in accordance with Section 1060 of the Internal Revenue Code of 1986, as amended (the “</w:t>
      </w:r>
      <w:r>
        <w:rPr>
          <w:rFonts w:ascii="Times New Roman" w:hAnsi="Times New Roman"/>
          <w:b/>
          <w:color w:val="000000"/>
          <w:sz w:val="22"/>
        </w:rPr>
        <w:t>Code</w:t>
      </w:r>
      <w:r>
        <w:rPr>
          <w:rFonts w:ascii="Times New Roman" w:hAnsi="Times New Roman"/>
          <w:color w:val="000000"/>
          <w:sz w:val="20"/>
        </w:rPr>
        <w:t>”</w:t>
      </w:r>
      <w:r>
        <w:rPr>
          <w:rFonts w:ascii="Times New Roman" w:hAnsi="Times New Roman"/>
          <w:color w:val="000000"/>
          <w:sz w:val="22"/>
        </w:rPr>
        <w:t xml:space="preserve">), and the applicable regulations. No Party hereto shall file any Tax Return or other document with, or make any statement or declaration to, any governmental body that is inconsistent with the Allocation Schedule unless required to do so pursuant to a “determination” within the meaning of Section 1313 of the Code. Buyer and Seller also shall allocate and report any earn-out payments under </w:t>
      </w:r>
      <w:r>
        <w:rPr>
          <w:rFonts w:ascii="Times New Roman" w:hAnsi="Times New Roman"/>
          <w:color w:val="000000"/>
          <w:sz w:val="22"/>
          <w:u w:val="single"/>
        </w:rPr>
        <w:t>Section 5.2</w:t>
      </w:r>
      <w:r>
        <w:rPr>
          <w:rFonts w:ascii="Times New Roman" w:hAnsi="Times New Roman"/>
          <w:color w:val="000000"/>
          <w:sz w:val="22"/>
        </w:rPr>
        <w:t>, Development Milestone Payments or Sales Milestone Payments in accordance with the principles set forth in the Allocation Schedule as such payments are made and shall make appropriate adjustments to the Allocation Schedule.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5.8.7 Personal Property Taxes</w:t>
      </w:r>
      <w:r>
        <w:rPr>
          <w:rFonts w:ascii="Times New Roman" w:hAnsi="Times New Roman"/>
          <w:color w:val="000000"/>
          <w:sz w:val="22"/>
        </w:rPr>
        <w:t>. All personal property Taxes and similar ad valorem Taxes levied with respect to the Acquired Assets for a Straddle Period shall be apportioned between Seller and Buyer as of the relevant Assignment Date based on the number of days of such taxable period included in the Pre-Closing Tax Period, and the number of days of such taxable period in the Post-Closing Tax Period. Seller shall be liable for the proportionate amount of such Taxes that is attributable to the Pre-Closing Tax Period, and Buyer shall be liable for the proportionate amount of such Taxes that is attributable to the Post-Closing Tax Period.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5.8.8 Adjustment to Purchase Price</w:t>
      </w:r>
      <w:r>
        <w:rPr>
          <w:rFonts w:ascii="Times New Roman" w:hAnsi="Times New Roman"/>
          <w:color w:val="000000"/>
          <w:sz w:val="22"/>
        </w:rPr>
        <w:t xml:space="preserve">. Any payments made pursuant to </w:t>
      </w:r>
      <w:r>
        <w:rPr>
          <w:rFonts w:ascii="Times New Roman" w:hAnsi="Times New Roman"/>
          <w:color w:val="000000"/>
          <w:sz w:val="22"/>
          <w:u w:val="single"/>
        </w:rPr>
        <w:t>Section 5.2</w:t>
      </w:r>
      <w:r>
        <w:rPr>
          <w:rFonts w:ascii="Times New Roman" w:hAnsi="Times New Roman"/>
          <w:color w:val="000000"/>
          <w:sz w:val="22"/>
        </w:rPr>
        <w:t xml:space="preserve">, </w:t>
      </w:r>
      <w:r>
        <w:rPr>
          <w:rFonts w:ascii="Times New Roman" w:hAnsi="Times New Roman"/>
          <w:color w:val="000000"/>
          <w:sz w:val="22"/>
          <w:u w:val="single"/>
        </w:rPr>
        <w:t>Section 5.3</w:t>
      </w:r>
      <w:r>
        <w:rPr>
          <w:rFonts w:ascii="Times New Roman" w:hAnsi="Times New Roman"/>
          <w:color w:val="000000"/>
          <w:sz w:val="22"/>
        </w:rPr>
        <w:t xml:space="preserve">, </w:t>
      </w:r>
      <w:r>
        <w:rPr>
          <w:rFonts w:ascii="Times New Roman" w:hAnsi="Times New Roman"/>
          <w:color w:val="000000"/>
          <w:sz w:val="22"/>
          <w:u w:val="single"/>
        </w:rPr>
        <w:t>Section 5.4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shall constitute an adjustment of the purchase price for Tax purposes and shall be treated as such by Buyer and Seller on their Tax Returns unless otherwise required pursuant to a “determination” within the meaning of Section 1313 of the Code.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5.9 Mode of Payment.</w:t>
      </w:r>
      <w:r>
        <w:rPr>
          <w:rFonts w:ascii="Times New Roman" w:hAnsi="Times New Roman"/>
          <w:color w:val="000000"/>
          <w:sz w:val="20"/>
        </w:rPr>
        <w:t xml:space="preserve"> </w:t>
      </w:r>
      <w:r>
        <w:rPr>
          <w:rFonts w:ascii="Times New Roman" w:hAnsi="Times New Roman"/>
          <w:color w:val="000000"/>
          <w:sz w:val="22"/>
        </w:rPr>
        <w:t xml:space="preserve">All payments under this Agreement to Seller shall be made by deposit in the requisite amount to the bank account of Seller set forth in </w:t>
      </w:r>
      <w:r>
        <w:rPr>
          <w:rFonts w:ascii="Times New Roman" w:hAnsi="Times New Roman"/>
          <w:color w:val="000000"/>
          <w:sz w:val="22"/>
          <w:u w:val="single"/>
        </w:rPr>
        <w:t>Schedule 5.9</w:t>
      </w:r>
      <w:r>
        <w:rPr>
          <w:rFonts w:ascii="Times New Roman" w:hAnsi="Times New Roman"/>
          <w:color w:val="000000"/>
          <w:sz w:val="20"/>
        </w:rPr>
        <w:t xml:space="preserve"> </w:t>
      </w:r>
      <w:r>
        <w:rPr>
          <w:rFonts w:ascii="Times New Roman" w:hAnsi="Times New Roman"/>
          <w:color w:val="000000"/>
          <w:sz w:val="22"/>
        </w:rPr>
        <w:t>or such other account as Seller may from time to time designate by written notice to Buyer.</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6</w:t>
      </w:r>
      <w:r>
        <w:rPr>
          <w:rFonts w:ascii="Times New Roman" w:hAnsi="Times New Roman"/>
          <w:color w:val="000000"/>
          <w:sz w:val="22"/>
        </w:rPr>
        <w:br/>
        <w:br/>
      </w:r>
      <w:r>
        <w:rPr>
          <w:rFonts w:ascii="Times New Roman" w:hAnsi="Times New Roman"/>
          <w:b/>
          <w:color w:val="000000"/>
          <w:sz w:val="22"/>
        </w:rPr>
        <w:t>REPRESENTATIONS AND WARRANTIES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6.1 Representations and Warranties of Seller.</w:t>
      </w:r>
      <w:r>
        <w:rPr>
          <w:rFonts w:ascii="Times New Roman" w:hAnsi="Times New Roman"/>
          <w:color w:val="000000"/>
          <w:sz w:val="20"/>
        </w:rPr>
        <w:t xml:space="preserve"> </w:t>
      </w:r>
      <w:r>
        <w:rPr>
          <w:rFonts w:ascii="Times New Roman" w:hAnsi="Times New Roman"/>
          <w:color w:val="000000"/>
          <w:sz w:val="22"/>
        </w:rPr>
        <w:t xml:space="preserve">Seller represents and warrants to Buyer that the statements in this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 xml:space="preserve">are true, complete and correct as of the Closing Date (and, with respect to </w:t>
      </w:r>
      <w:r>
        <w:rPr>
          <w:rFonts w:ascii="Times New Roman" w:hAnsi="Times New Roman"/>
          <w:color w:val="000000"/>
          <w:sz w:val="22"/>
          <w:u w:val="single"/>
        </w:rPr>
        <w:t>Sections 6.1.1-6.1.3</w:t>
      </w:r>
      <w:r>
        <w:rPr>
          <w:rFonts w:ascii="Times New Roman" w:hAnsi="Times New Roman"/>
          <w:color w:val="000000"/>
          <w:sz w:val="22"/>
        </w:rPr>
        <w:t xml:space="preserve">, inclusive and </w:t>
      </w:r>
      <w:r>
        <w:rPr>
          <w:rFonts w:ascii="Times New Roman" w:hAnsi="Times New Roman"/>
          <w:color w:val="000000"/>
          <w:sz w:val="22"/>
          <w:u w:val="single"/>
        </w:rPr>
        <w:t>6.1.7</w:t>
      </w:r>
      <w:r>
        <w:rPr>
          <w:rFonts w:ascii="Times New Roman" w:hAnsi="Times New Roman"/>
          <w:color w:val="000000"/>
          <w:sz w:val="22"/>
        </w:rPr>
        <w:t xml:space="preserve">, as of the Effective Date), except as and to the extent set forth in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Disclosure Schedule</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6.1.1 Organization and Standing.</w:t>
      </w:r>
      <w:r>
        <w:rPr>
          <w:rFonts w:ascii="Times New Roman" w:hAnsi="Times New Roman"/>
          <w:color w:val="000000"/>
          <w:sz w:val="20"/>
        </w:rPr>
        <w:t xml:space="preserve"> </w:t>
      </w:r>
      <w:r>
        <w:rPr>
          <w:rFonts w:ascii="Times New Roman" w:hAnsi="Times New Roman"/>
          <w:color w:val="000000"/>
          <w:sz w:val="22"/>
        </w:rPr>
        <w:t>Seller is a corporation duly organized, validly existing and in good standing under the Laws of Delaware.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6.1.2 Authorization.</w:t>
      </w:r>
      <w:r>
        <w:rPr>
          <w:rFonts w:ascii="Times New Roman" w:hAnsi="Times New Roman"/>
          <w:color w:val="000000"/>
          <w:sz w:val="20"/>
        </w:rPr>
        <w:t xml:space="preserve"> </w:t>
      </w:r>
      <w:r>
        <w:rPr>
          <w:rFonts w:ascii="Times New Roman" w:hAnsi="Times New Roman"/>
          <w:color w:val="000000"/>
          <w:sz w:val="22"/>
        </w:rPr>
        <w:t>Seller has all requisite power and authority to execute the Original Agreement and this Agreement, to carry out and perform its obligations under the Original Agreement, this Agreement and the Ancillary Agreements and to consummate the transactions contemplated hereunder and thereunder. The execution, delivery and performance by Seller of the Original Agreement, this Agreement and the Ancillary Agreements, and the consummation of the transactions contemplated hereunder and thereunder, have been duly and validly authorized by all necessary action of Seller.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6.1.3 Binding Agreement.</w:t>
      </w:r>
      <w:r>
        <w:rPr>
          <w:rFonts w:ascii="Times New Roman" w:hAnsi="Times New Roman"/>
          <w:color w:val="000000"/>
          <w:sz w:val="20"/>
        </w:rPr>
        <w:t xml:space="preserve"> </w:t>
      </w:r>
      <w:r>
        <w:rPr>
          <w:rFonts w:ascii="Times New Roman" w:hAnsi="Times New Roman"/>
          <w:color w:val="000000"/>
          <w:sz w:val="22"/>
        </w:rPr>
        <w:t>The Original Agreement and this Agreement have been, and each of the Ancillary Agreements to which Seller is or will be a party, will be at the Closing and as of the Effective Date, duly and validly executed and delivered on behalf of Seller and, assuming the due authorization, execution and delivery by Buyer, each such agreement constitutes the legal and binding obligation of Seller enforceable against Seller in accordance with its terms, subject to the effects of bankruptcy, insolvency, fraudulent conveyance, reorganization, moratorium and other similar laws relating to or affecting creditors’ rights generally and to general equity principles (whether considered in a proceeding in equity or at law).</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6.1.4 Consents; No Violation, Etc.</w:t>
      </w:r>
      <w:r>
        <w:rPr>
          <w:rFonts w:ascii="Times New Roman" w:hAnsi="Times New Roman"/>
          <w:color w:val="000000"/>
          <w:sz w:val="20"/>
        </w:rPr>
        <w:t xml:space="preserve"> </w:t>
      </w:r>
      <w:r>
        <w:rPr>
          <w:rFonts w:ascii="Times New Roman" w:hAnsi="Times New Roman"/>
          <w:color w:val="000000"/>
          <w:sz w:val="22"/>
        </w:rPr>
        <w:t xml:space="preserve">The execution and delivery of the Original Agreement and the Ancillary Agreements do not, and the consummation of the transactions contemplated hereby and thereby will not (a) violate any Law applicable to Seller or its Affiliates, (b) conflict with any provision of the certificate of incorporation, bylaws or other organizational documents of Seller, or (c) give rise to any approval, authorization, consent, license, filing or registration with any Court or Governmental Entity or (d) violate any material Contract of Seller, or to which Seller is a party or subject to or by which it or any of its assets or properties is otherwise bound;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representation or warranty is made in the foregoing clause (a) or (d) with respect to matters that, individually or in the aggregate, would not result in a material adverse effect on the Acquired Assets or the transactions contemplated by the Original Agreement and the Ancillary Agreements.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6.1.5 Title to Acquired Tangible Assets.</w:t>
      </w:r>
      <w:r>
        <w:rPr>
          <w:rFonts w:ascii="Times New Roman" w:hAnsi="Times New Roman"/>
          <w:color w:val="000000"/>
          <w:sz w:val="20"/>
        </w:rPr>
        <w:t xml:space="preserve"> </w:t>
      </w:r>
      <w:r>
        <w:rPr>
          <w:rFonts w:ascii="Times New Roman" w:hAnsi="Times New Roman"/>
          <w:color w:val="000000"/>
          <w:sz w:val="22"/>
        </w:rPr>
        <w:t>Seller and its Affiliates have good and valid title, right and interest to the portion of Acquired Assets that constitute tangible property, free and clear of all Encumbrances, other than Permitted Encumbrances.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6.1.6 Litigation.</w:t>
      </w:r>
      <w:r>
        <w:rPr>
          <w:rFonts w:ascii="Times New Roman" w:hAnsi="Times New Roman"/>
          <w:color w:val="000000"/>
          <w:sz w:val="20"/>
        </w:rPr>
        <w:t xml:space="preserve"> </w:t>
      </w:r>
      <w:r>
        <w:rPr>
          <w:rFonts w:ascii="Times New Roman" w:hAnsi="Times New Roman"/>
          <w:color w:val="000000"/>
          <w:sz w:val="22"/>
        </w:rPr>
        <w:t>As of the Closing Date, there is no Litigation pending or, to the Knowledge of Seller, threatened in writing against Seller or any of its Affiliates, that (a) challenges the transactions contemplated by the Original Agreement or the Ancillary Agreements or (b) relates specifically to the Acquired Assets or the Program (other than any Litigation related to intellectual property rights) by way of specifically referencing to a Program Molecule or Product.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6.1.7 Brokers.</w:t>
      </w:r>
      <w:r>
        <w:rPr>
          <w:rFonts w:ascii="Times New Roman" w:hAnsi="Times New Roman"/>
          <w:color w:val="000000"/>
          <w:sz w:val="20"/>
        </w:rPr>
        <w:t xml:space="preserve"> </w:t>
      </w:r>
      <w:r>
        <w:rPr>
          <w:rFonts w:ascii="Times New Roman" w:hAnsi="Times New Roman"/>
          <w:color w:val="000000"/>
          <w:sz w:val="22"/>
        </w:rPr>
        <w:t>No broker, investment banker, financial advisor or other Person is entitled to any broker’s, finder’s, financial advisor’s or similar fee or commission in connection with the transactions contemplated by the Original Agreement based upon arrangements made by or on behalf of Seller, except those for which Seller will be solely responsible.</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6.1.8 Intellectual Property.</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Seller or its Affiliate is (a) the sole owner of the entire right, title and interest in and to the Assigned Patent Rights that are set forth on </w:t>
      </w:r>
      <w:r>
        <w:rPr>
          <w:rFonts w:ascii="Times New Roman" w:hAnsi="Times New Roman"/>
          <w:color w:val="000000"/>
          <w:sz w:val="22"/>
          <w:u w:val="single"/>
        </w:rPr>
        <w:t>Schedule 1.1(h) – Part 1</w:t>
      </w:r>
      <w:r>
        <w:rPr>
          <w:rFonts w:ascii="Times New Roman" w:hAnsi="Times New Roman"/>
          <w:color w:val="000000"/>
          <w:sz w:val="20"/>
        </w:rPr>
        <w:t xml:space="preserve"> </w:t>
      </w:r>
      <w:r>
        <w:rPr>
          <w:rFonts w:ascii="Times New Roman" w:hAnsi="Times New Roman"/>
          <w:color w:val="000000"/>
          <w:sz w:val="22"/>
        </w:rPr>
        <w:t>as of the Closing Date and (b) the sole owner, or a joint owner with one or more Third Parties, of the entire right, title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in and to the Assigned Know-How, in each case free and clear of all Encumbrances, other than Permitted Encumbrances.</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 xml:space="preserve">None of the Assigned Patent Rights that are set forth on </w:t>
      </w:r>
      <w:r>
        <w:rPr>
          <w:rFonts w:ascii="Times New Roman" w:hAnsi="Times New Roman"/>
          <w:color w:val="000000"/>
          <w:sz w:val="22"/>
          <w:u w:val="single"/>
        </w:rPr>
        <w:t>Schedule 1.1(h) – Part 1</w:t>
      </w:r>
      <w:r>
        <w:rPr>
          <w:rFonts w:ascii="Times New Roman" w:hAnsi="Times New Roman"/>
          <w:color w:val="000000"/>
          <w:sz w:val="20"/>
        </w:rPr>
        <w:t xml:space="preserve"> </w:t>
      </w:r>
      <w:r>
        <w:rPr>
          <w:rFonts w:ascii="Times New Roman" w:hAnsi="Times New Roman"/>
          <w:color w:val="000000"/>
          <w:sz w:val="22"/>
        </w:rPr>
        <w:t xml:space="preserve">as of the Closing Date has been finally adjudged invalid or unenforceable in whole or part, and, to Seller’s Knowledge, all such Assigned Patent Rights are valid and enforceable. To Seller’s Knowledge, all required filings and fees related to the Assigned Patent Rights that are set forth on </w:t>
      </w:r>
      <w:r>
        <w:rPr>
          <w:rFonts w:ascii="Times New Roman" w:hAnsi="Times New Roman"/>
          <w:color w:val="000000"/>
          <w:sz w:val="22"/>
          <w:u w:val="single"/>
        </w:rPr>
        <w:t>Schedule 1.1(h) – Part 1</w:t>
      </w:r>
      <w:r>
        <w:rPr>
          <w:rFonts w:ascii="Times New Roman" w:hAnsi="Times New Roman"/>
          <w:color w:val="000000"/>
          <w:sz w:val="20"/>
        </w:rPr>
        <w:t xml:space="preserve"> </w:t>
      </w:r>
      <w:r>
        <w:rPr>
          <w:rFonts w:ascii="Times New Roman" w:hAnsi="Times New Roman"/>
          <w:color w:val="000000"/>
          <w:sz w:val="22"/>
        </w:rPr>
        <w:t xml:space="preserve">as of the Closing Date have been timely filed with and paid to the relevant Governmental Entity. No Litigation is pending or, to Seller’s Knowledge, has been threatened in writing against Seller or any of its Affiliates alleging the invalidity or unenforceability of any of the Assigned Patent Rights that are set forth on </w:t>
      </w:r>
      <w:r>
        <w:rPr>
          <w:rFonts w:ascii="Times New Roman" w:hAnsi="Times New Roman"/>
          <w:color w:val="000000"/>
          <w:sz w:val="22"/>
          <w:u w:val="single"/>
        </w:rPr>
        <w:t>Schedule 1.1(h) – Part 1</w:t>
      </w:r>
      <w:r>
        <w:rPr>
          <w:rFonts w:ascii="Times New Roman" w:hAnsi="Times New Roman"/>
          <w:color w:val="000000"/>
          <w:sz w:val="20"/>
        </w:rPr>
        <w:t xml:space="preserve"> </w:t>
      </w:r>
      <w:r>
        <w:rPr>
          <w:rFonts w:ascii="Times New Roman" w:hAnsi="Times New Roman"/>
          <w:color w:val="000000"/>
          <w:sz w:val="22"/>
        </w:rPr>
        <w:t>as of the Closing Date.</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2"/>
        </w:rPr>
        <w:t>Except as set forth in any Assigned Agreement or Related Agreement, neither Seller nor any of its Affiliates has granted any Third Party any rights or authority with respect to any Assigned Intellectual Property.</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(d) </w:t>
      </w:r>
      <w:r>
        <w:rPr>
          <w:rFonts w:ascii="Times New Roman" w:hAnsi="Times New Roman"/>
          <w:color w:val="000000"/>
          <w:sz w:val="22"/>
        </w:rPr>
        <w:t>The Assigned Agreements are the only Contracts that Seller or its Affiliate is a party to prior to the Closing Date that include any royalty, license fee or other payment obligations with respect to the Program for which Buyer will be liable following the Closing Date.</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(e) </w:t>
      </w:r>
      <w:r>
        <w:rPr>
          <w:rFonts w:ascii="Times New Roman" w:hAnsi="Times New Roman"/>
          <w:color w:val="000000"/>
          <w:sz w:val="22"/>
        </w:rPr>
        <w:t xml:space="preserve">To Seller’s Knowledge, there is no unauthorized use, infringement or misappropriation of any of the Assigned Patent Rights that are set forth on </w:t>
      </w:r>
      <w:r>
        <w:rPr>
          <w:rFonts w:ascii="Times New Roman" w:hAnsi="Times New Roman"/>
          <w:color w:val="000000"/>
          <w:sz w:val="22"/>
          <w:u w:val="single"/>
        </w:rPr>
        <w:t>Schedule 1.1(h) – Part 1</w:t>
      </w:r>
      <w:r>
        <w:rPr>
          <w:rFonts w:ascii="Times New Roman" w:hAnsi="Times New Roman"/>
          <w:color w:val="000000"/>
          <w:sz w:val="20"/>
        </w:rPr>
        <w:t xml:space="preserve"> </w:t>
      </w:r>
      <w:r>
        <w:rPr>
          <w:rFonts w:ascii="Times New Roman" w:hAnsi="Times New Roman"/>
          <w:color w:val="000000"/>
          <w:sz w:val="22"/>
        </w:rPr>
        <w:t>as of the Closing Date or material Assigned Know-How by any Third Party, including any current or former employee or consultant of Seller and its Affiliates.</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(f) </w:t>
      </w:r>
      <w:r>
        <w:rPr>
          <w:rFonts w:ascii="Times New Roman" w:hAnsi="Times New Roman"/>
          <w:color w:val="000000"/>
          <w:sz w:val="22"/>
        </w:rPr>
        <w:t>The Assigned Intellectual Property and the Patent Rights and Know-How licensed under the Assigned Agreements includes all Patent Rights and Know-How that are owned or in-licensed by Seller or its Affiliates and that relate solely to the Program.</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(g) </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6.1.9 Assigned Agreements, Non-Assignable Contracts and Related Agreements.</w:t>
      </w:r>
      <w:r>
        <w:rPr>
          <w:rFonts w:ascii="Times New Roman" w:hAnsi="Times New Roman"/>
          <w:color w:val="000000"/>
          <w:sz w:val="20"/>
        </w:rPr>
        <w:t xml:space="preserve"> </w:t>
      </w:r>
      <w:r>
        <w:rPr>
          <w:rFonts w:ascii="Times New Roman" w:hAnsi="Times New Roman"/>
          <w:color w:val="000000"/>
          <w:sz w:val="22"/>
        </w:rPr>
        <w:t xml:space="preserve">Except as disclosed in </w:t>
      </w:r>
      <w:r>
        <w:rPr>
          <w:rFonts w:ascii="Times New Roman" w:hAnsi="Times New Roman"/>
          <w:color w:val="000000"/>
          <w:sz w:val="22"/>
          <w:u w:val="single"/>
        </w:rPr>
        <w:t>Exhibit D</w:t>
      </w:r>
      <w:r>
        <w:rPr>
          <w:rFonts w:ascii="Times New Roman" w:hAnsi="Times New Roman"/>
          <w:color w:val="000000"/>
          <w:sz w:val="22"/>
        </w:rPr>
        <w:t xml:space="preserve">, Seller has delivered to Buyer, prior to the Original Effective Date, true and complete copies of each Assigned Agreement, each Delayed Assigned Contract and each Non-Assignable Contract and Related Agreement that has been identified to the Knowledge of Seller as of the Closing Date. Each Assigned Agreement, Delayed Assigned Contract and Non-Assignable Contract is in full force and effect and valid and enforceable in accordance with its terms, except to the extent that any such agreement has expired in accordance with its terms and conditions (in which case the subject matter to be assigned or performed are the surviving rights and obligations thereunder). Except as disclosed in </w:t>
      </w:r>
      <w:r>
        <w:rPr>
          <w:rFonts w:ascii="Times New Roman" w:hAnsi="Times New Roman"/>
          <w:color w:val="000000"/>
          <w:sz w:val="22"/>
          <w:u w:val="single"/>
        </w:rPr>
        <w:t>Exhibit D</w:t>
      </w:r>
      <w:r>
        <w:rPr>
          <w:rFonts w:ascii="Times New Roman" w:hAnsi="Times New Roman"/>
          <w:color w:val="000000"/>
          <w:sz w:val="22"/>
        </w:rPr>
        <w:t>, neither the Seller nor the applicable Affiliate nor, to the Knowledge of Seller, any other party thereto is in default in the performance, observance or fulfillment of any obligation, covenant, condition or other term contained in any Assigned Agreement, Delayed Assigned Contract or Non-Assignable Contract, and the Seller or applicable Affiliate has not given or received written notice to or from any Person relating to any such alleged or potential default that has not been cured.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6.1.10 Regulatory Documentation.</w:t>
      </w:r>
      <w:r>
        <w:rPr>
          <w:rFonts w:ascii="Times New Roman" w:hAnsi="Times New Roman"/>
          <w:color w:val="000000"/>
          <w:sz w:val="20"/>
        </w:rPr>
        <w:t xml:space="preserve"> </w:t>
      </w:r>
      <w:r>
        <w:rPr>
          <w:rFonts w:ascii="Times New Roman" w:hAnsi="Times New Roman"/>
          <w:color w:val="000000"/>
          <w:sz w:val="22"/>
        </w:rPr>
        <w:t>Seller has made available, or will make available as part of the transfer of Acquired Assets, to Buyer true and complete copies of, and the Regulatory Materials including, all registrations, applications, licenses, requests for approvals, exemptions, permits and other regulatory authorizations from the FDA or other Regulatory Authority related to the Program Molecules, Products and Program, other than Regulatory Materials solely related to clinical trials of any Program Molecule or Product in combination with any Takeda Compound.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6.1.11 Legal Compliance.</w:t>
      </w:r>
      <w:r>
        <w:rPr>
          <w:rFonts w:ascii="Times New Roman" w:hAnsi="Times New Roman"/>
          <w:color w:val="000000"/>
          <w:sz w:val="20"/>
        </w:rPr>
        <w:t xml:space="preserve"> </w:t>
      </w:r>
      <w:r>
        <w:rPr>
          <w:rFonts w:ascii="Times New Roman" w:hAnsi="Times New Roman"/>
          <w:color w:val="000000"/>
          <w:sz w:val="22"/>
        </w:rPr>
        <w:t>Seller and its Affiliates have conducted all research (excluding non-clinical research that was [***]) and development of Program Molecules and Products in compliance with all applicable Laws in all material respects. Seller and its Affiliates have not received any written communication from any Governmental Entity or any written notice, claim, request for information or complaint from any other Person alleging any failure to comply with or any liability under any applicable Laws relating to the Program Molecules, Products or Program, and none is pending or, to Seller’s Knowledge, threatened in writing.</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6.1.12 Existing Inventory.</w:t>
      </w:r>
      <w:r>
        <w:rPr>
          <w:rFonts w:ascii="Times New Roman" w:hAnsi="Times New Roman"/>
          <w:color w:val="000000"/>
          <w:sz w:val="20"/>
        </w:rPr>
        <w:t xml:space="preserve"> </w:t>
      </w:r>
      <w:r>
        <w:rPr>
          <w:rFonts w:ascii="Times New Roman" w:hAnsi="Times New Roman"/>
          <w:color w:val="000000"/>
          <w:sz w:val="22"/>
        </w:rPr>
        <w:t>The Existing Inventory has been stored in accordance with Seller’s and its Affiliates’ customary practices. Seller has provided Buyer true and complete copies of all batch records and quality documents related to the Existing Inventory.</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6.1.13 Taxes.</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Seller is not a foreign person as that term is defined in Treasury Regulations Section 1.1445-2.</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 xml:space="preserve">There are no liens upon any of the Acquired Assets due to non-payment of Taxes or similar Tax-related matters, other than for Taxes not yet due and payable or that are being contested in good faith by appropriate proceedings, and no such liens will arise as a result of the execution of the Original Agreement and purchase of the Acquired Assets, other than in respect of Transfer Taxes borne by Buyer pursuant to </w:t>
      </w:r>
      <w:r>
        <w:rPr>
          <w:rFonts w:ascii="Times New Roman" w:hAnsi="Times New Roman"/>
          <w:color w:val="000000"/>
          <w:sz w:val="22"/>
          <w:u w:val="single"/>
        </w:rPr>
        <w:t>Section 5.8.4</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6.2 Representations and Warranties of Buyer.</w:t>
      </w:r>
      <w:r>
        <w:rPr>
          <w:rFonts w:ascii="Times New Roman" w:hAnsi="Times New Roman"/>
          <w:color w:val="000000"/>
          <w:sz w:val="20"/>
        </w:rPr>
        <w:t xml:space="preserve"> </w:t>
      </w:r>
      <w:r>
        <w:rPr>
          <w:rFonts w:ascii="Times New Roman" w:hAnsi="Times New Roman"/>
          <w:color w:val="000000"/>
          <w:sz w:val="22"/>
        </w:rPr>
        <w:t xml:space="preserve">Buyer represents and warrants to Seller that the statements in this </w:t>
      </w:r>
      <w:r>
        <w:rPr>
          <w:rFonts w:ascii="Times New Roman" w:hAnsi="Times New Roman"/>
          <w:color w:val="000000"/>
          <w:sz w:val="22"/>
          <w:u w:val="single"/>
        </w:rPr>
        <w:t>Section 6.2</w:t>
      </w:r>
      <w:r>
        <w:rPr>
          <w:rFonts w:ascii="Times New Roman" w:hAnsi="Times New Roman"/>
          <w:color w:val="000000"/>
          <w:sz w:val="20"/>
        </w:rPr>
        <w:t xml:space="preserve"> </w:t>
      </w:r>
      <w:r>
        <w:rPr>
          <w:rFonts w:ascii="Times New Roman" w:hAnsi="Times New Roman"/>
          <w:color w:val="000000"/>
          <w:sz w:val="22"/>
        </w:rPr>
        <w:t xml:space="preserve">are true, complete and correct as of the Closing Date (and, with respect to </w:t>
      </w:r>
      <w:r>
        <w:rPr>
          <w:rFonts w:ascii="Times New Roman" w:hAnsi="Times New Roman"/>
          <w:color w:val="000000"/>
          <w:sz w:val="22"/>
          <w:u w:val="single"/>
        </w:rPr>
        <w:t>Sections 6.2.1-6.2.4</w:t>
      </w:r>
      <w:r>
        <w:rPr>
          <w:rFonts w:ascii="Times New Roman" w:hAnsi="Times New Roman"/>
          <w:color w:val="000000"/>
          <w:sz w:val="22"/>
        </w:rPr>
        <w:t xml:space="preserve">, inclusive and </w:t>
      </w:r>
      <w:r>
        <w:rPr>
          <w:rFonts w:ascii="Times New Roman" w:hAnsi="Times New Roman"/>
          <w:color w:val="000000"/>
          <w:sz w:val="22"/>
          <w:u w:val="single"/>
        </w:rPr>
        <w:t>6.2.8</w:t>
      </w:r>
      <w:r>
        <w:rPr>
          <w:rFonts w:ascii="Times New Roman" w:hAnsi="Times New Roman"/>
          <w:color w:val="000000"/>
          <w:sz w:val="22"/>
        </w:rPr>
        <w:t>, as of the Effective Date):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6.2.1 Organization and Standing.</w:t>
      </w:r>
      <w:r>
        <w:rPr>
          <w:rFonts w:ascii="Times New Roman" w:hAnsi="Times New Roman"/>
          <w:color w:val="000000"/>
          <w:sz w:val="20"/>
        </w:rPr>
        <w:t xml:space="preserve"> </w:t>
      </w:r>
      <w:r>
        <w:rPr>
          <w:rFonts w:ascii="Times New Roman" w:hAnsi="Times New Roman"/>
          <w:color w:val="000000"/>
          <w:sz w:val="22"/>
        </w:rPr>
        <w:t>Buyer is a corporation duly organized, validly existing and in good standing under the laws of Delaware.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6.2.2 Authorization.</w:t>
      </w:r>
      <w:r>
        <w:rPr>
          <w:rFonts w:ascii="Times New Roman" w:hAnsi="Times New Roman"/>
          <w:color w:val="000000"/>
          <w:sz w:val="20"/>
        </w:rPr>
        <w:t xml:space="preserve"> </w:t>
      </w:r>
      <w:r>
        <w:rPr>
          <w:rFonts w:ascii="Times New Roman" w:hAnsi="Times New Roman"/>
          <w:color w:val="000000"/>
          <w:sz w:val="22"/>
        </w:rPr>
        <w:t>Buyer has all requisite corporate power and authority to execute the Original Agreement, this Agreement and the Ancillary Agreements, to carry out and perform its obligations under the Original Agreement, this Agreement and the Ancillary Agreements and to consummate the transactions contemplated hereunder and thereunder. The execution, delivery and performance by Buyer of the Original Agreement, this Agreement and the Ancillary Agreements, and the consummation of the transactions contemplated hereunder and thereunder, have been duly and validly authorized by all necessary action of Buyer.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6.2.3 Binding Agreement.</w:t>
      </w:r>
      <w:r>
        <w:rPr>
          <w:rFonts w:ascii="Times New Roman" w:hAnsi="Times New Roman"/>
          <w:color w:val="000000"/>
          <w:sz w:val="20"/>
        </w:rPr>
        <w:t xml:space="preserve"> </w:t>
      </w:r>
      <w:r>
        <w:rPr>
          <w:rFonts w:ascii="Times New Roman" w:hAnsi="Times New Roman"/>
          <w:color w:val="000000"/>
          <w:sz w:val="22"/>
        </w:rPr>
        <w:t>The Original Agreement and this Agreement have been, and each of the Ancillary Agreements to which Buyer is or will be a party, will be at the Closing and as of the Effective Date, duly and validly executed and delivered on behalf of Buyer and, assuming the due authorization, execution and delivery by Seller, each such agreement constitutes the legal and binding obligation of Buyer enforceable against Buyer in accordance with their terms, subject to the effects of bankruptcy, insolvency, fraudulent conveyance, reorganization, moratorium and other similar laws relating to or affecting creditors’ rights generally and to general equity principles (whether considered in a proceeding in equity or at law).</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6.2.4 Consents; No Violations, Etc.</w:t>
      </w:r>
      <w:r>
        <w:rPr>
          <w:rFonts w:ascii="Times New Roman" w:hAnsi="Times New Roman"/>
          <w:color w:val="000000"/>
          <w:sz w:val="20"/>
        </w:rPr>
        <w:t xml:space="preserve"> </w:t>
      </w:r>
      <w:r>
        <w:rPr>
          <w:rFonts w:ascii="Times New Roman" w:hAnsi="Times New Roman"/>
          <w:color w:val="000000"/>
          <w:sz w:val="22"/>
        </w:rPr>
        <w:t>The execution and delivery of the Original Agreement, this Agreement and the Ancillary Agreements do not, and the consummation of transactions contemplated hereby and thereby will not (a) violate any Law applicable to Buyer or its Affiliates, (b) conflict with any provision of the certificate of incorporation, bylaws or other organizational documents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Buyer, (c) give rise to any approval, authorization, consent, license, filing or registration with any Court or Governmental Entity or (d) violate any material Contract of, or to which Buyer is a party or subject to or by which it or any of its assets or properties is otherwise bound; provided, however, that no representation or warranty is made in the foregoing clauses (a) or (d) with respect to matters that, individually or in the aggregate, would not materially interfere with Buyer’s performance of its obligations under the Original Agreement, this Agreement and the Ancillary Agreements.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6.2.5 HSR.</w:t>
      </w:r>
      <w:r>
        <w:rPr>
          <w:rFonts w:ascii="Times New Roman" w:hAnsi="Times New Roman"/>
          <w:color w:val="000000"/>
          <w:sz w:val="20"/>
        </w:rPr>
        <w:t xml:space="preserve"> </w:t>
      </w:r>
      <w:r>
        <w:rPr>
          <w:rFonts w:ascii="Times New Roman" w:hAnsi="Times New Roman"/>
          <w:color w:val="000000"/>
          <w:sz w:val="22"/>
        </w:rPr>
        <w:t>Buyer, or if different its Ultimate Parent Entity, has determined pursuant to 16 C.F.R. § 801.10 that the acquisition of the Seller’s program as of the Closing Date that is focused on developing TAK-659 and the Program does not satisfy the size of transaction jurisdictional test under the Hart-Scott-Rodino Antitrust Improvements Act of 1976, as amended (“</w:t>
      </w:r>
      <w:r>
        <w:rPr>
          <w:rFonts w:ascii="Times New Roman" w:hAnsi="Times New Roman"/>
          <w:b/>
          <w:color w:val="000000"/>
          <w:sz w:val="22"/>
        </w:rPr>
        <w:t>HSR Act</w:t>
      </w:r>
      <w:r>
        <w:rPr>
          <w:rFonts w:ascii="Times New Roman" w:hAnsi="Times New Roman"/>
          <w:color w:val="000000"/>
          <w:sz w:val="20"/>
        </w:rPr>
        <w:t>”</w:t>
      </w:r>
      <w:r>
        <w:rPr>
          <w:rFonts w:ascii="Times New Roman" w:hAnsi="Times New Roman"/>
          <w:color w:val="000000"/>
          <w:sz w:val="22"/>
        </w:rPr>
        <w:t xml:space="preserve">). Unless otherwise defined, capitalized terms in this </w:t>
      </w:r>
      <w:r>
        <w:rPr>
          <w:rFonts w:ascii="Times New Roman" w:hAnsi="Times New Roman"/>
          <w:color w:val="000000"/>
          <w:sz w:val="22"/>
          <w:u w:val="single"/>
        </w:rPr>
        <w:t>Section 6.2.5</w:t>
      </w:r>
      <w:r>
        <w:rPr>
          <w:rFonts w:ascii="Times New Roman" w:hAnsi="Times New Roman"/>
          <w:color w:val="000000"/>
          <w:sz w:val="20"/>
        </w:rPr>
        <w:t xml:space="preserve"> </w:t>
      </w:r>
      <w:r>
        <w:rPr>
          <w:rFonts w:ascii="Times New Roman" w:hAnsi="Times New Roman"/>
          <w:color w:val="000000"/>
          <w:sz w:val="22"/>
        </w:rPr>
        <w:t>have the meaning set forth in the HSR Act and related regulations.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6.2.6 Financial Capability.</w:t>
      </w:r>
      <w:r>
        <w:rPr>
          <w:rFonts w:ascii="Times New Roman" w:hAnsi="Times New Roman"/>
          <w:color w:val="000000"/>
          <w:sz w:val="20"/>
        </w:rPr>
        <w:t xml:space="preserve"> </w:t>
      </w:r>
      <w:r>
        <w:rPr>
          <w:rFonts w:ascii="Times New Roman" w:hAnsi="Times New Roman"/>
          <w:color w:val="000000"/>
          <w:sz w:val="22"/>
        </w:rPr>
        <w:t xml:space="preserve">As of Closing, Buyer has available sufficient cash or other sources of immediately available funds to pay all upfront amounts payable pursuant to </w:t>
      </w:r>
      <w:r>
        <w:rPr>
          <w:rFonts w:ascii="Times New Roman" w:hAnsi="Times New Roman"/>
          <w:color w:val="000000"/>
          <w:sz w:val="22"/>
          <w:u w:val="single"/>
        </w:rPr>
        <w:t>Section 5.1</w:t>
      </w:r>
      <w:r>
        <w:rPr>
          <w:rFonts w:ascii="Times New Roman" w:hAnsi="Times New Roman"/>
          <w:color w:val="000000"/>
          <w:sz w:val="22"/>
        </w:rPr>
        <w:t>, and Buyer’s obligations hereunder are not subject to any conditions regarding Buyer’s ability to obtain financing for the transactions contemplated by the Original Agreement.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6.2.7 Litigation.</w:t>
      </w:r>
      <w:r>
        <w:rPr>
          <w:rFonts w:ascii="Times New Roman" w:hAnsi="Times New Roman"/>
          <w:color w:val="000000"/>
          <w:sz w:val="20"/>
        </w:rPr>
        <w:t xml:space="preserve"> </w:t>
      </w:r>
      <w:r>
        <w:rPr>
          <w:rFonts w:ascii="Times New Roman" w:hAnsi="Times New Roman"/>
          <w:color w:val="000000"/>
          <w:sz w:val="22"/>
        </w:rPr>
        <w:t>As of the Closing Date, there is no Litigation pending or, to the knowledge of Buyer, threatened against Buyer or any of its Affiliates, which (a) challenges the transactions contemplated by the Original Agreement, this Agreement or the Ancillary Agreements, (b) if adversely determined, would delay the ability of Buyer to perform its obligations hereunder or (c) would have a material adverse effect on Buyer.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6.2.8 No Brokers.</w:t>
      </w:r>
      <w:r>
        <w:rPr>
          <w:rFonts w:ascii="Times New Roman" w:hAnsi="Times New Roman"/>
          <w:color w:val="000000"/>
          <w:sz w:val="20"/>
        </w:rPr>
        <w:t xml:space="preserve"> </w:t>
      </w:r>
      <w:r>
        <w:rPr>
          <w:rFonts w:ascii="Times New Roman" w:hAnsi="Times New Roman"/>
          <w:color w:val="000000"/>
          <w:sz w:val="22"/>
        </w:rPr>
        <w:t>No broker, investment banker, financial advisor or other Person is entitled to any broker’s, finder’s, financial advisor’s or similar fee or commission in connection with the transactions contemplated by the Original Agreement or this Agreement based upon arrangements made by or on behalf of Buyer, except those for which Buyer will be solely responsible.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6.2.9 Compliance.</w:t>
      </w:r>
      <w:r>
        <w:rPr>
          <w:rFonts w:ascii="Times New Roman" w:hAnsi="Times New Roman"/>
          <w:color w:val="000000"/>
          <w:sz w:val="20"/>
        </w:rPr>
        <w:t xml:space="preserve"> </w:t>
      </w:r>
      <w:r>
        <w:rPr>
          <w:rFonts w:ascii="Times New Roman" w:hAnsi="Times New Roman"/>
          <w:color w:val="000000"/>
          <w:sz w:val="22"/>
        </w:rPr>
        <w:t>Buyer will and it will ensure that its Affiliates, and require that its subcontractors and Licensees (including using commercially reasonable efforts to enforce applicable Contracts against subcontractors and Licensees), will conduct all activities relating to the Program and/or Product in compliance with applicable Law in all material respects, including applicable Law concerning data privacy and security (e.g., relating to medical records and medical information privacy that regulate or limit the maintenance, use, disclosure or transmission of medical records, patent information or other personal information).</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6.2.10 Adequacy of Information.</w:t>
      </w:r>
      <w:r>
        <w:rPr>
          <w:rFonts w:ascii="Times New Roman" w:hAnsi="Times New Roman"/>
          <w:color w:val="000000"/>
          <w:sz w:val="20"/>
        </w:rPr>
        <w:t xml:space="preserve"> </w:t>
      </w:r>
      <w:r>
        <w:rPr>
          <w:rFonts w:ascii="Times New Roman" w:hAnsi="Times New Roman"/>
          <w:color w:val="000000"/>
          <w:sz w:val="22"/>
        </w:rPr>
        <w:t>Buyer acknowledges and agrees that:</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other than the representations and warranties expressly set forth in </w:t>
      </w:r>
      <w:r>
        <w:rPr>
          <w:rFonts w:ascii="Times New Roman" w:hAnsi="Times New Roman"/>
          <w:color w:val="000000"/>
          <w:sz w:val="22"/>
          <w:u w:val="single"/>
        </w:rPr>
        <w:t>Section 6.1</w:t>
      </w:r>
      <w:r>
        <w:rPr>
          <w:rFonts w:ascii="Times New Roman" w:hAnsi="Times New Roman"/>
          <w:color w:val="000000"/>
          <w:sz w:val="22"/>
        </w:rPr>
        <w:t>, it has not relied on any representation or warranty made by Seller or any of its employees, agents, stockholders, Affiliates or representatives, express or implied, at Law or in equity, regarding the Program, Products, the Acquired Assets or the subject matter of this Agreement;</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it will not assert any claim against Seller or any of its employees, agents, stockholders, Affiliates or any representatives or hold Seller or any such Persons liable for any inaccuracies, misstatements or omissions with respect to information furnished by Seller or any of its employees, agents, stockholders, Affiliates or any representatives, including any information in any “on-line” or physical data rooms or in any management presentations;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2"/>
        </w:rPr>
        <w:t>Seller makes no warranty with respect to the accuracy and completeness of any estimates, projections, forecasts, plans, budgets, future financial condition or any financial statements made available by Seller to Buyer.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clarity, this </w:t>
      </w:r>
      <w:r>
        <w:rPr>
          <w:rFonts w:ascii="Times New Roman" w:hAnsi="Times New Roman"/>
          <w:color w:val="000000"/>
          <w:sz w:val="22"/>
          <w:u w:val="single"/>
        </w:rPr>
        <w:t>Section 6.2.10</w:t>
      </w:r>
      <w:r>
        <w:rPr>
          <w:rFonts w:ascii="Times New Roman" w:hAnsi="Times New Roman"/>
          <w:color w:val="000000"/>
          <w:sz w:val="20"/>
        </w:rPr>
        <w:t xml:space="preserve"> </w:t>
      </w:r>
      <w:r>
        <w:rPr>
          <w:rFonts w:ascii="Times New Roman" w:hAnsi="Times New Roman"/>
          <w:color w:val="000000"/>
          <w:sz w:val="22"/>
        </w:rPr>
        <w:t xml:space="preserve">does not mitigate Seller’s indemnification obligation pursuant to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 xml:space="preserve">for breach of representations and warranties expressly set forth in </w:t>
      </w:r>
      <w:r>
        <w:rPr>
          <w:rFonts w:ascii="Times New Roman" w:hAnsi="Times New Roman"/>
          <w:color w:val="000000"/>
          <w:sz w:val="22"/>
          <w:u w:val="single"/>
        </w:rPr>
        <w:t>Section 6.1</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6.3 Covenant of Buyer.</w:t>
      </w:r>
      <w:r>
        <w:rPr>
          <w:rFonts w:ascii="Times New Roman" w:hAnsi="Times New Roman"/>
          <w:color w:val="000000"/>
          <w:sz w:val="20"/>
        </w:rPr>
        <w:t xml:space="preserve"> </w:t>
      </w:r>
      <w:r>
        <w:rPr>
          <w:rFonts w:ascii="Times New Roman" w:hAnsi="Times New Roman"/>
          <w:color w:val="000000"/>
          <w:sz w:val="22"/>
        </w:rPr>
        <w:t>During the Term, Buyer will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6.4 No Other Warranties.</w:t>
      </w:r>
      <w:r>
        <w:rPr>
          <w:rFonts w:ascii="Times New Roman" w:hAnsi="Times New Roman"/>
          <w:color w:val="000000"/>
          <w:sz w:val="20"/>
        </w:rPr>
        <w:t xml:space="preserve"> </w:t>
      </w:r>
      <w:r>
        <w:rPr>
          <w:rFonts w:ascii="Times New Roman" w:hAnsi="Times New Roman"/>
          <w:color w:val="000000"/>
          <w:sz w:val="22"/>
        </w:rPr>
        <w:t xml:space="preserve">EXCEPT FOR THE REPRESENTATIONS AND WARRANTIES EXPRESSLY SET FORTH IN THIS </w:t>
      </w:r>
      <w:r>
        <w:rPr>
          <w:rFonts w:ascii="Times New Roman" w:hAnsi="Times New Roman"/>
          <w:color w:val="000000"/>
          <w:sz w:val="22"/>
          <w:u w:val="single"/>
        </w:rPr>
        <w:t>ARTICLE 6</w:t>
      </w:r>
      <w:r>
        <w:rPr>
          <w:rFonts w:ascii="Times New Roman" w:hAnsi="Times New Roman"/>
          <w:color w:val="000000"/>
          <w:sz w:val="22"/>
        </w:rPr>
        <w:t>, BOTH PARTIES DISCLAIM ALL OTHER REPRESENTATIONS AND WARRANTIES, EXPRESS OR IMPLIED, STATUTORY OR OTHERWISE, WITH REGARD TO THE PROGRAM, PRODUCTS, THE ACQUIRED ASSETS AND THIS AGREEMENT, INCLUDING WARRANTIES OF MERCHANTABILITY, FITNESS FOR A PARTICULAR PURPOSE, VALIDITY AND NON-INFRINGEMENT OF INTELLECTUAL PROPERTY RIGHTS.</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7</w:t>
      </w:r>
      <w:r>
        <w:rPr>
          <w:rFonts w:ascii="Times New Roman" w:hAnsi="Times New Roman"/>
          <w:color w:val="000000"/>
          <w:sz w:val="22"/>
        </w:rPr>
        <w:br/>
        <w:br/>
      </w:r>
      <w:r>
        <w:rPr>
          <w:rFonts w:ascii="Times New Roman" w:hAnsi="Times New Roman"/>
          <w:b/>
          <w:color w:val="000000"/>
          <w:sz w:val="22"/>
        </w:rPr>
        <w:t>CONFIDENTIALITY</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7.1 Confidentiality Obligations.</w:t>
      </w:r>
      <w:r>
        <w:rPr>
          <w:rFonts w:ascii="Times New Roman" w:hAnsi="Times New Roman"/>
          <w:color w:val="000000"/>
          <w:sz w:val="20"/>
        </w:rPr>
        <w:t xml:space="preserve"> </w:t>
      </w:r>
      <w:r>
        <w:rPr>
          <w:rFonts w:ascii="Times New Roman" w:hAnsi="Times New Roman"/>
          <w:color w:val="000000"/>
          <w:sz w:val="22"/>
        </w:rPr>
        <w:t>At all times during the Term, and for a period of [***] thereafter, each Party shall, and shall cause its Affiliates, officers, directors, employees and agents to, keep confidential and not publish or otherwise disclose to a Third Party and not use, directly or indirectly, for any purpose, any Confidential Information furnished or otherwise made known to it, directly or indirectly, by or on behalf of the other Party, except to the extent such disclosure or use is expressly permitted by the terms of this Agreement or is reasonably necessary or useful for the performance of such Party’s obligations, or the exercise of such Party’s rights, under this Agreement. “</w:t>
      </w:r>
      <w:r>
        <w:rPr>
          <w:rFonts w:ascii="Times New Roman" w:hAnsi="Times New Roman"/>
          <w:b/>
          <w:color w:val="000000"/>
          <w:sz w:val="22"/>
        </w:rPr>
        <w:t>Confidential Information</w:t>
      </w:r>
      <w:r>
        <w:rPr>
          <w:rFonts w:ascii="Times New Roman" w:hAnsi="Times New Roman"/>
          <w:color w:val="000000"/>
          <w:sz w:val="20"/>
        </w:rPr>
        <w:t xml:space="preserve">” </w:t>
      </w:r>
      <w:r>
        <w:rPr>
          <w:rFonts w:ascii="Times New Roman" w:hAnsi="Times New Roman"/>
          <w:color w:val="000000"/>
          <w:sz w:val="22"/>
        </w:rPr>
        <w:t xml:space="preserve">of a Party means any technical, business, or other information provided by or on behalf of such Party to the other Party in connection with this Agreement or the Original Agreement, whether prior to, on, or after the Closing Date, including information relating to the terms of the Original Agreement or the terms of this Agreement, the Program or Products (including the Acquired Assets), any research, development, making, having made, using, selling, offering for sale, and importing or other exploitation of the Program Molecules or Products; provided that (a) the terms of this Agreement and the terms of the Original Agreement will be deemed the Confidential Information of each Party, (b) any data from studies relating to a Program Molecule [***] will be deemed the Confidential Information of Seller, and (c) from and after the Closing Date, the Assigned Know-How and all information related solely to the Program Molecules, Products and Program will be deemed, as between the Parties, the Confidential Information of Buyer and not of Seller, and </w:t>
      </w:r>
      <w:r>
        <w:rPr>
          <w:rFonts w:ascii="Times New Roman" w:hAnsi="Times New Roman"/>
          <w:color w:val="000000"/>
          <w:sz w:val="22"/>
          <w:u w:val="single"/>
        </w:rPr>
        <w:t>Sections 7.1.2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7.1.4</w:t>
      </w:r>
      <w:r>
        <w:rPr>
          <w:rFonts w:ascii="Times New Roman" w:hAnsi="Times New Roman"/>
          <w:color w:val="000000"/>
          <w:sz w:val="20"/>
        </w:rPr>
        <w:t xml:space="preserve"> </w:t>
      </w:r>
      <w:r>
        <w:rPr>
          <w:rFonts w:ascii="Times New Roman" w:hAnsi="Times New Roman"/>
          <w:color w:val="000000"/>
          <w:sz w:val="22"/>
        </w:rPr>
        <w:t xml:space="preserve">will not apply with respect thereto. Each Party may disclose the other Party’s Confidential Information for the purposes of performing its obligations or exercising its rights hereunder only to those of its and its Affiliates’ employees, agents and contractors who require access thereto for the purpose of this Agreement and who are subject to written obligations of confidentiality and non-use with respect to such Confidential Information substantially similar to the obligations of confidentiality and non-use of the receiving Party pursuant to this </w:t>
      </w:r>
      <w:r>
        <w:rPr>
          <w:rFonts w:ascii="Times New Roman" w:hAnsi="Times New Roman"/>
          <w:color w:val="000000"/>
          <w:sz w:val="22"/>
          <w:u w:val="single"/>
        </w:rPr>
        <w:t>Article 7</w:t>
      </w:r>
      <w:r>
        <w:rPr>
          <w:rFonts w:ascii="Times New Roman" w:hAnsi="Times New Roman"/>
          <w:color w:val="000000"/>
          <w:sz w:val="22"/>
        </w:rPr>
        <w:t xml:space="preserve">. Notwithstanding the foregoing, the confidentiality and non-use obligations under this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with respect to any Confidential Information shall not include any information of the disclosing Party that: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7.1.1 </w:t>
      </w:r>
      <w:r>
        <w:rPr>
          <w:rFonts w:ascii="Times New Roman" w:hAnsi="Times New Roman"/>
          <w:color w:val="000000"/>
          <w:sz w:val="22"/>
        </w:rPr>
        <w:t>is or hereafter becomes part of the public domain by public use, publication (including by a Third Party), general knowledge or the like through no wrongful act, fault or negligence on the part of the receiving Party in breach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7.1.2 </w:t>
      </w:r>
      <w:r>
        <w:rPr>
          <w:rFonts w:ascii="Times New Roman" w:hAnsi="Times New Roman"/>
          <w:color w:val="000000"/>
          <w:sz w:val="22"/>
        </w:rPr>
        <w:t>can be demonstrated by documentation or other competent proof to have been in the receiving Party’s possession prior to disclosure by the disclosing Party without any obligation of confidentiality with respect to such information;</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7.1.3 </w:t>
      </w:r>
      <w:r>
        <w:rPr>
          <w:rFonts w:ascii="Times New Roman" w:hAnsi="Times New Roman"/>
          <w:color w:val="000000"/>
          <w:sz w:val="22"/>
        </w:rPr>
        <w:t>is subsequently received by the receiving Party from a Third Party lawfully in possession thereof who is not bound by any obligation of confidentiality with respect to such information; or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7.1.4 </w:t>
      </w:r>
      <w:r>
        <w:rPr>
          <w:rFonts w:ascii="Times New Roman" w:hAnsi="Times New Roman"/>
          <w:color w:val="000000"/>
          <w:sz w:val="22"/>
        </w:rPr>
        <w:t>can be demonstrated by documentation or other competent evidence to have been independently developed by or for the receiving Party without reference to or use of the disclosing Party’s Confidential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7.2 Permitted Disclosures.</w:t>
      </w:r>
      <w:r>
        <w:rPr>
          <w:rFonts w:ascii="Times New Roman" w:hAnsi="Times New Roman"/>
          <w:color w:val="000000"/>
          <w:sz w:val="20"/>
        </w:rPr>
        <w:t xml:space="preserve"> </w:t>
      </w:r>
      <w:r>
        <w:rPr>
          <w:rFonts w:ascii="Times New Roman" w:hAnsi="Times New Roman"/>
          <w:color w:val="000000"/>
          <w:sz w:val="22"/>
        </w:rPr>
        <w:t>Notwithstanding anything to the contrary, Seller may disclose such Confidential Information that it deems necessary or desirable to comply with any disclosure or reporting obligations set forth in the Related Agreements, provided that each recipient is subject to written obligations of confidentiality and non-use with respect to such Confidential Information. In addition, each Party may disclose Confidential Information to the extent that such disclosure is: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7.2.1 </w:t>
      </w:r>
      <w:r>
        <w:rPr>
          <w:rFonts w:ascii="Times New Roman" w:hAnsi="Times New Roman"/>
          <w:color w:val="000000"/>
          <w:sz w:val="22"/>
        </w:rPr>
        <w:t xml:space="preserve">made by or on behalf of Buyer to the Governmental Entities as required in connection with any filing, application or request for Regulatory Approval of a Product;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reasonable measures shall be taken to assure confidential treatment of such information to the extent practicable and consistent with applicable Law;</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7.2.2 </w:t>
      </w:r>
      <w:r>
        <w:rPr>
          <w:rFonts w:ascii="Times New Roman" w:hAnsi="Times New Roman"/>
          <w:color w:val="000000"/>
          <w:sz w:val="22"/>
        </w:rPr>
        <w:t>made in response to a valid order of a court of competent jurisdiction or other supra</w:t>
        <w:noBreakHyphen/>
        <w:t xml:space="preserve">national, federal, national, regional, state, provincial and local governmental or regulatory body of competent jurisdiction or, if in the reasonable opinion of the receiving Party’s legal counsel, such disclosure is otherwise required by applicable Law (including, for clarity, any disclosure required by applicable Law on clinicaltrials.gov or disclosure required by reason of filing with securities regulators, in which case, </w:t>
      </w:r>
      <w:r>
        <w:rPr>
          <w:rFonts w:ascii="Times New Roman" w:hAnsi="Times New Roman"/>
          <w:color w:val="000000"/>
          <w:sz w:val="22"/>
          <w:u w:val="single"/>
        </w:rPr>
        <w:t>Section 7.4</w:t>
      </w:r>
      <w:r>
        <w:rPr>
          <w:rFonts w:ascii="Times New Roman" w:hAnsi="Times New Roman"/>
          <w:color w:val="000000"/>
          <w:sz w:val="20"/>
        </w:rPr>
        <w:t xml:space="preserve"> </w:t>
      </w:r>
      <w:r>
        <w:rPr>
          <w:rFonts w:ascii="Times New Roman" w:hAnsi="Times New Roman"/>
          <w:color w:val="000000"/>
          <w:sz w:val="22"/>
        </w:rPr>
        <w:t xml:space="preserve">shall also apply to such disclosure);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to the extent practicable and not otherwise prohibited by applicable Law, the receiving Party shall first have given notice to the disclosing Party and given the disclosing Party (a) a reasonable opportunity to quash such order or to obtain a protective order or confidential treatment requiring that the Confidential Information and documents that are the subject of such order be held in confidence by such court or agency or, if disclosed, be used only for the purposes for which the order was issued and (b) a right to review and comment upon such disclosure, which comments shall be considered in good faith by the receiving Party; and </w:t>
      </w:r>
      <w:r>
        <w:rPr>
          <w:rFonts w:ascii="Times New Roman" w:hAnsi="Times New Roman"/>
          <w:i/>
          <w:color w:val="000000"/>
          <w:sz w:val="22"/>
        </w:rPr>
        <w:t>provided further</w:t>
      </w:r>
      <w:r>
        <w:rPr>
          <w:rFonts w:ascii="Times New Roman" w:hAnsi="Times New Roman"/>
          <w:color w:val="000000"/>
          <w:sz w:val="20"/>
        </w:rPr>
        <w:t xml:space="preserve"> </w:t>
      </w:r>
      <w:r>
        <w:rPr>
          <w:rFonts w:ascii="Times New Roman" w:hAnsi="Times New Roman"/>
          <w:color w:val="000000"/>
          <w:sz w:val="22"/>
        </w:rPr>
        <w:t>that the Confidential Information disclosed in response to such court or governmental order shall be limited to that information which is legally required to be disclosed in response to such court or governmental order;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7.2.3 </w:t>
      </w:r>
      <w:r>
        <w:rPr>
          <w:rFonts w:ascii="Times New Roman" w:hAnsi="Times New Roman"/>
          <w:color w:val="000000"/>
          <w:sz w:val="22"/>
        </w:rPr>
        <w:t xml:space="preserve">made by or on behalf of Buyer or Seller to a patent authority as may be reasonably necessary or useful for purposes of obtaining or enforcing an Assigned Patent Right (in the case of Buyer) or [***] (in the case of Seller);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reasonable measures shall be taken to assure confidential treatment of such information, to the extent such protection is available;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7.2.4 </w:t>
      </w:r>
      <w:r>
        <w:rPr>
          <w:rFonts w:ascii="Times New Roman" w:hAnsi="Times New Roman"/>
          <w:color w:val="000000"/>
          <w:sz w:val="22"/>
        </w:rPr>
        <w:t xml:space="preserve">made (a) by the receiving Party to its or its Affiliates’ attorneys, auditors, advisors, consultants, contractors, existing or prospective acquirers, as may be necessary or useful in connection with the performance of its obligations or exercise of its rights as contemplated by this Agreement, or (b) by Buyer to existing or prospective collaboration partners, licensees, or other Third Parties, as may be necessary or useful in connection with the research, development, making, having made, using, selling, offering for sale, and importing or other exploitation of the Program Molecules or the Products;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in each case (a) and (b) such persons shall be subject to written obligations of confidentiality and non-use with respect to such Confidential Information substantially similar to the obligations of confidentiality and non-use of the receiving Party pursuant to this </w:t>
      </w:r>
      <w:r>
        <w:rPr>
          <w:rFonts w:ascii="Times New Roman" w:hAnsi="Times New Roman"/>
          <w:color w:val="000000"/>
          <w:sz w:val="22"/>
          <w:u w:val="single"/>
        </w:rPr>
        <w:t>Article 7</w:t>
      </w:r>
      <w:r>
        <w:rPr>
          <w:rFonts w:ascii="Times New Roman" w:hAnsi="Times New Roman"/>
          <w:color w:val="000000"/>
          <w:sz w:val="20"/>
        </w:rPr>
        <w:t xml:space="preserve"> </w:t>
      </w:r>
      <w:r>
        <w:rPr>
          <w:rFonts w:ascii="Times New Roman" w:hAnsi="Times New Roman"/>
          <w:color w:val="000000"/>
          <w:sz w:val="22"/>
        </w:rPr>
        <w:t>(with a duration of confidentiality and non-use obligations as appropriate that is no less than [***] from the date of disclosure).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7.3 Use of Name.</w:t>
      </w:r>
      <w:r>
        <w:rPr>
          <w:rFonts w:ascii="Times New Roman" w:hAnsi="Times New Roman"/>
          <w:color w:val="000000"/>
          <w:sz w:val="20"/>
        </w:rPr>
        <w:t xml:space="preserve"> </w:t>
      </w:r>
      <w:r>
        <w:rPr>
          <w:rFonts w:ascii="Times New Roman" w:hAnsi="Times New Roman"/>
          <w:color w:val="000000"/>
          <w:sz w:val="22"/>
        </w:rPr>
        <w:t xml:space="preserve">Except as expressly provided in this Agreement, neither Party shall mention or otherwise use the name, logo, or 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w:t>
      </w:r>
      <w:r>
        <w:rPr>
          <w:rFonts w:ascii="Times New Roman" w:hAnsi="Times New Roman"/>
          <w:color w:val="000000"/>
          <w:sz w:val="22"/>
          <w:u w:val="single"/>
        </w:rPr>
        <w:t>Section 7.3</w:t>
      </w:r>
      <w:r>
        <w:rPr>
          <w:rFonts w:ascii="Times New Roman" w:hAnsi="Times New Roman"/>
          <w:color w:val="000000"/>
          <w:sz w:val="20"/>
        </w:rPr>
        <w:t xml:space="preserve"> </w:t>
      </w:r>
      <w:r>
        <w:rPr>
          <w:rFonts w:ascii="Times New Roman" w:hAnsi="Times New Roman"/>
          <w:color w:val="000000"/>
          <w:sz w:val="22"/>
        </w:rPr>
        <w:t>shall not prohibit either Party from making any disclosure identifying the other Party that is required by applicable Law.</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7.4 Public Announcements.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7.4.1 </w:t>
      </w:r>
      <w:r>
        <w:rPr>
          <w:rFonts w:ascii="Times New Roman" w:hAnsi="Times New Roman"/>
          <w:color w:val="000000"/>
          <w:sz w:val="22"/>
        </w:rPr>
        <w:t xml:space="preserve">The Parties acknowledge that promptly following the Closing Date, Buyer issued a press release announcing the transactions contemplated in the Original Agreement, which press release was in substantially the form of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 xml:space="preserve">attached hereto. Other than the press release described in the preceding sentence, neither Party shall issue any other public announcement, press release, or other public disclosure regarding this Agreement or its subject matter without the other Party’s prior written consent, except for any such disclosure that is, in the opinion of the disclosing Party’s legal counsel, required by applicable Law or the rules of a stock exchange on which the securities of the disclosing Party or any of its Affiliates are listed (or to which an application for listing has been submitted). For clarity, the foregoing does not apply to public disclosures by Buyer regarding the plans for or results of its activities under this Agreement, which Buyer may make at its sole discretion without review or approval by Seller; provided, that Buyer shall not include in any press release, or otherwise publish or present on, any data, findings or results from studies relating to a Program Molecule in combination with a Takeda Compound or as the Parties may otherwise agree pursuant to </w:t>
      </w:r>
      <w:r>
        <w:rPr>
          <w:rFonts w:ascii="Times New Roman" w:hAnsi="Times New Roman"/>
          <w:color w:val="000000"/>
          <w:sz w:val="22"/>
          <w:u w:val="single"/>
        </w:rPr>
        <w:t>Section 7.4.3</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7.4.2 </w:t>
      </w:r>
      <w:r>
        <w:rPr>
          <w:rFonts w:ascii="Times New Roman" w:hAnsi="Times New Roman"/>
          <w:color w:val="000000"/>
          <w:sz w:val="22"/>
        </w:rPr>
        <w:t xml:space="preserve">In the event a Party or its Affiliates is, in the opinion of its legal counsel, required by applicable Law or the rules of a stock exchange on which its or its Affiliate’s securities are listed (or to which an application for listing has been submitted) to make such a public disclosure, such Party shall submit the proposed disclosure in writing to the other Party [***] prior to the anticipated date of disclosure) so as to provide a reasonable opportunity to comment thereon;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if a Party or its Affiliates is required by applicable Law or the rules of a stock exchange to disclose this Agreement, such Party shall prepare a proposed redacted version of this Agreement, as applicable, to request confidential treatment for this Agreement, as applicable, and the other Party may [***] provide its comments, which comments shall be considered in good faith and reasonably incorporated by the Party required to make such disclosure.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7.4.3 </w:t>
      </w:r>
      <w:r>
        <w:rPr>
          <w:rFonts w:ascii="Times New Roman" w:hAnsi="Times New Roman"/>
          <w:color w:val="000000"/>
          <w:sz w:val="22"/>
        </w:rPr>
        <w:t>Subject to the prior review and written approval of Buyer, such approval not to be unreasonably withheld, delayed or conditioned, Seller may publish and present in scientific conferences or journals the result of Seller’s development of Program Molecules conducted prior to the Closing Date. From time-to-time, the Parties may discuss in good faith any publications or presentations that Seller desires to publish or present (which shall be subject to the preceding sentence), such discussion to include the timing, content and venue of such proposed publications or presentations and any potential limitations on Buyer’s public disclosure of data, findings or results to be included in such publications or presentations. Buyer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shall not publicly disclose any draft publication or presentation provided by or on behalf of Seller to Buyer pursuant to this </w:t>
      </w:r>
      <w:r>
        <w:rPr>
          <w:rFonts w:ascii="Times New Roman" w:hAnsi="Times New Roman"/>
          <w:color w:val="000000"/>
          <w:sz w:val="22"/>
          <w:u w:val="single"/>
        </w:rPr>
        <w:t>Section 7.4.3</w:t>
      </w:r>
      <w:r>
        <w:rPr>
          <w:rFonts w:ascii="Times New Roman" w:hAnsi="Times New Roman"/>
          <w:color w:val="000000"/>
          <w:sz w:val="20"/>
        </w:rPr>
        <w:t xml:space="preserve"> </w:t>
      </w:r>
      <w:r>
        <w:rPr>
          <w:rFonts w:ascii="Times New Roman" w:hAnsi="Times New Roman"/>
          <w:color w:val="000000"/>
          <w:sz w:val="22"/>
        </w:rPr>
        <w:t>in the form provided by Seller (or excerpts thereof) until publication or presentation thereof (and thereafter subject to any applicable limitations placed on such re-publication or re-presentation by the publishing journal).</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8</w:t>
      </w:r>
      <w:r>
        <w:rPr>
          <w:rFonts w:ascii="Times New Roman" w:hAnsi="Times New Roman"/>
          <w:color w:val="000000"/>
          <w:sz w:val="22"/>
        </w:rPr>
        <w:br/>
        <w:br/>
      </w:r>
      <w:r>
        <w:rPr>
          <w:rFonts w:ascii="Times New Roman" w:hAnsi="Times New Roman"/>
          <w:b/>
          <w:color w:val="000000"/>
          <w:sz w:val="22"/>
        </w:rPr>
        <w:t>TERM</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8.1 Term.</w:t>
      </w:r>
      <w:r>
        <w:rPr>
          <w:rFonts w:ascii="Times New Roman" w:hAnsi="Times New Roman"/>
          <w:color w:val="000000"/>
          <w:sz w:val="20"/>
        </w:rPr>
        <w:t xml:space="preserve"> </w:t>
      </w:r>
      <w:r>
        <w:rPr>
          <w:rFonts w:ascii="Times New Roman" w:hAnsi="Times New Roman"/>
          <w:color w:val="000000"/>
          <w:sz w:val="22"/>
        </w:rPr>
        <w:t xml:space="preserve">This Agreement shall commence on the Closing Date and shall continue in full force and effect until the earlier of (a) expiration of all obligations to make earn-out payments under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 xml:space="preserve">with respect to the last Product in all countries in the Territory or (b) termination by either Party pursuant to </w:t>
      </w:r>
      <w:r>
        <w:rPr>
          <w:rFonts w:ascii="Times New Roman" w:hAnsi="Times New Roman"/>
          <w:color w:val="000000"/>
          <w:sz w:val="22"/>
          <w:u w:val="single"/>
        </w:rPr>
        <w:t>Section 8.2</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Term</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8.2 Termination.</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8.2.1 Termination for Material Breach.</w:t>
      </w:r>
      <w:r>
        <w:rPr>
          <w:rFonts w:ascii="Times New Roman" w:hAnsi="Times New Roman"/>
          <w:color w:val="000000"/>
          <w:sz w:val="20"/>
        </w:rPr>
        <w:t xml:space="preserve"> </w:t>
      </w:r>
      <w:r>
        <w:rPr>
          <w:rFonts w:ascii="Times New Roman" w:hAnsi="Times New Roman"/>
          <w:color w:val="000000"/>
          <w:sz w:val="22"/>
        </w:rPr>
        <w:t>Either Party (the “</w:t>
      </w:r>
      <w:r>
        <w:rPr>
          <w:rFonts w:ascii="Times New Roman" w:hAnsi="Times New Roman"/>
          <w:b/>
          <w:color w:val="000000"/>
          <w:sz w:val="22"/>
        </w:rPr>
        <w:t>Non-Breaching Party</w:t>
      </w:r>
      <w:r>
        <w:rPr>
          <w:rFonts w:ascii="Times New Roman" w:hAnsi="Times New Roman"/>
          <w:color w:val="000000"/>
          <w:sz w:val="20"/>
        </w:rPr>
        <w:t>”</w:t>
      </w:r>
      <w:r>
        <w:rPr>
          <w:rFonts w:ascii="Times New Roman" w:hAnsi="Times New Roman"/>
          <w:color w:val="000000"/>
          <w:sz w:val="22"/>
        </w:rPr>
        <w:t>) may terminate this Agreement in its entirety in the event the other Party (the “</w:t>
      </w:r>
      <w:r>
        <w:rPr>
          <w:rFonts w:ascii="Times New Roman" w:hAnsi="Times New Roman"/>
          <w:b/>
          <w:color w:val="000000"/>
          <w:sz w:val="22"/>
        </w:rPr>
        <w:t>Breaching Party</w:t>
      </w:r>
      <w:r>
        <w:rPr>
          <w:rFonts w:ascii="Times New Roman" w:hAnsi="Times New Roman"/>
          <w:color w:val="000000"/>
          <w:sz w:val="20"/>
        </w:rPr>
        <w:t>”</w:t>
      </w:r>
      <w:r>
        <w:rPr>
          <w:rFonts w:ascii="Times New Roman" w:hAnsi="Times New Roman"/>
          <w:color w:val="000000"/>
          <w:sz w:val="22"/>
        </w:rPr>
        <w:t>) has materially breached this Agreement, and such material breach has not been cured within [***] (or [***] in the case of an undisputed failure to make any payment due and payable under this Agreement)] after receipt of written notice of such breach by the Breaching Party from the Non-Breaching Party (the “</w:t>
      </w:r>
      <w:r>
        <w:rPr>
          <w:rFonts w:ascii="Times New Roman" w:hAnsi="Times New Roman"/>
          <w:b/>
          <w:color w:val="000000"/>
          <w:sz w:val="22"/>
        </w:rPr>
        <w:t>Cure Period</w:t>
      </w:r>
      <w:r>
        <w:rPr>
          <w:rFonts w:ascii="Times New Roman" w:hAnsi="Times New Roman"/>
          <w:color w:val="000000"/>
          <w:sz w:val="20"/>
        </w:rPr>
        <w:t>”</w:t>
      </w:r>
      <w:r>
        <w:rPr>
          <w:rFonts w:ascii="Times New Roman" w:hAnsi="Times New Roman"/>
          <w:color w:val="000000"/>
          <w:sz w:val="22"/>
        </w:rPr>
        <w:t xml:space="preserve">). The written notice describing the alleged material breach shall provide sufficient detail to put the Breaching Party on notice of such material breach. Any termination of this Agreement pursuant to this </w:t>
      </w:r>
      <w:r>
        <w:rPr>
          <w:rFonts w:ascii="Times New Roman" w:hAnsi="Times New Roman"/>
          <w:color w:val="000000"/>
          <w:sz w:val="22"/>
          <w:u w:val="single"/>
        </w:rPr>
        <w:t>Section 8.2.1</w:t>
      </w:r>
      <w:r>
        <w:rPr>
          <w:rFonts w:ascii="Times New Roman" w:hAnsi="Times New Roman"/>
          <w:color w:val="000000"/>
          <w:sz w:val="20"/>
        </w:rPr>
        <w:t xml:space="preserve"> </w:t>
      </w:r>
      <w:r>
        <w:rPr>
          <w:rFonts w:ascii="Times New Roman" w:hAnsi="Times New Roman"/>
          <w:color w:val="000000"/>
          <w:sz w:val="22"/>
        </w:rPr>
        <w:t xml:space="preserve">shall immediately become effective at the end of the Cure Period, unless the Breaching Party has cured such material breach prior to the expiration of such Cure Period, or, if such material breach is not susceptible to cure within the Cure Period, then the Non-Breaching Party’s right of termination shall be suspended only if and for so long as the Breaching Party provides to the Non-Breaching Party a written plan during the Cure Period that is reasonably calculated to effect a cure of such material breach, such plan is accepted by the Non-Breaching Party (such acceptance not to be unreasonably withheld, conditioned, or delayed), and the Breaching Party commits to and carries out such plan. Notwithstanding the foregoing, if the Breaching Party in good faith disputes in writing during the Cure Period the existence or materiality of a breach described in the Non-Breaching Party’s notice of material breach, then the Non-Breaching Party shall not have the right to terminate this Agreement pursuant to this </w:t>
      </w:r>
      <w:r>
        <w:rPr>
          <w:rFonts w:ascii="Times New Roman" w:hAnsi="Times New Roman"/>
          <w:color w:val="000000"/>
          <w:sz w:val="22"/>
          <w:u w:val="single"/>
        </w:rPr>
        <w:t>Section 8.2.1</w:t>
      </w:r>
      <w:r>
        <w:rPr>
          <w:rFonts w:ascii="Times New Roman" w:hAnsi="Times New Roman"/>
          <w:color w:val="000000"/>
          <w:sz w:val="20"/>
        </w:rPr>
        <w:t xml:space="preserve"> </w:t>
      </w:r>
      <w:r>
        <w:rPr>
          <w:rFonts w:ascii="Times New Roman" w:hAnsi="Times New Roman"/>
          <w:color w:val="000000"/>
          <w:sz w:val="22"/>
        </w:rPr>
        <w:t xml:space="preserve">unless and until such good faith dispute is finally determined under </w:t>
      </w:r>
      <w:r>
        <w:rPr>
          <w:rFonts w:ascii="Times New Roman" w:hAnsi="Times New Roman"/>
          <w:color w:val="000000"/>
          <w:sz w:val="22"/>
          <w:u w:val="single"/>
        </w:rPr>
        <w:t>Section 10.2</w:t>
      </w:r>
      <w:r>
        <w:rPr>
          <w:rFonts w:ascii="Times New Roman" w:hAnsi="Times New Roman"/>
          <w:color w:val="000000"/>
          <w:sz w:val="20"/>
        </w:rPr>
        <w:t xml:space="preserve"> </w:t>
      </w:r>
      <w:r>
        <w:rPr>
          <w:rFonts w:ascii="Times New Roman" w:hAnsi="Times New Roman"/>
          <w:color w:val="000000"/>
          <w:sz w:val="22"/>
        </w:rPr>
        <w:t>in the Non-Breaching Party’s favor and the Breaching Party fails to cure such material breach within [***] (or [***] in the case of a failure to make any payment due or payable under this Agreement) thereafter.]</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8.2.2 Termination for Bankruptcy.</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Either Party may terminate this Agreement in its entirety upon providing written notice to the other Party if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or action remains un-dismissed or un-stayed for a period of more than sixty (60) days.</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All rights and licenses granted under or pursuant to this Agreement are, and shall otherwise be deemed to be, for purposes of Section 365(n) of Title 11 of the United States Code and other similar laws in any jurisdiction outside the United States (collectively, the “</w:t>
      </w:r>
      <w:r>
        <w:rPr>
          <w:rFonts w:ascii="Times New Roman" w:hAnsi="Times New Roman"/>
          <w:b/>
          <w:color w:val="000000"/>
          <w:sz w:val="22"/>
        </w:rPr>
        <w:t>Bankruptcy Laws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licenses of rights to “intellectual property” as defined under the Bankruptcy Laws. If a case is commenced during the Term by or against a Party under Bankruptcy Laws then, unless and until this Agreement is rejected as provided pursuant to such Bankruptcy Laws, such Party (in any capacity, including debtor-in-possession) and its successors and assigns (including a Title 11 trustee) shall perform all of the obligations in this Agreement intended to be performed by such Party. If a case is commenced during the Term by or against a Party under the Bankruptcy Laws, this Agreement is rejected as provided for under the Bankruptcy Laws, and the non-bankrupt Party elects to retain its rights hereunder as provided for under the Bankruptcy Laws, then the Party subject to such case under the Bankruptcy Laws (in any capacity, including debtor-in-possession) and its successors and assigns (including a Title 11 trustee), shall provide to the non-bankrupt Party copies of all patent, Know-How and information necessary for the non-bankrupt Party to prosecute, maintain and enjoy its rights under the terms of this Agreement; provided that, to the extent applicable, the non-bankrupt Party continues to fulfill its payment obligations under </w:t>
      </w:r>
      <w:r>
        <w:rPr>
          <w:rFonts w:ascii="Times New Roman" w:hAnsi="Times New Roman"/>
          <w:color w:val="000000"/>
          <w:sz w:val="22"/>
          <w:u w:val="single"/>
        </w:rPr>
        <w:t>Article 5</w:t>
      </w:r>
      <w:r>
        <w:rPr>
          <w:rFonts w:ascii="Times New Roman" w:hAnsi="Times New Roman"/>
          <w:color w:val="000000"/>
          <w:sz w:val="20"/>
        </w:rPr>
        <w:t xml:space="preserve"> </w:t>
      </w:r>
      <w:r>
        <w:rPr>
          <w:rFonts w:ascii="Times New Roman" w:hAnsi="Times New Roman"/>
          <w:color w:val="000000"/>
          <w:sz w:val="22"/>
        </w:rPr>
        <w:t xml:space="preserve">as specified herein in full. All rights, powers and remedies of the non-bankrupt 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 In particular, it is the intention and understanding of the Parties to this Agreement that the rights granted to the Parties under this </w:t>
      </w:r>
      <w:r>
        <w:rPr>
          <w:rFonts w:ascii="Times New Roman" w:hAnsi="Times New Roman"/>
          <w:color w:val="000000"/>
          <w:sz w:val="22"/>
          <w:u w:val="single"/>
        </w:rPr>
        <w:t>Section 8.2.2(b)</w:t>
      </w:r>
      <w:r>
        <w:rPr>
          <w:rFonts w:ascii="Times New Roman" w:hAnsi="Times New Roman"/>
          <w:color w:val="000000"/>
          <w:sz w:val="20"/>
        </w:rPr>
        <w:t xml:space="preserve"> </w:t>
      </w:r>
      <w:r>
        <w:rPr>
          <w:rFonts w:ascii="Times New Roman" w:hAnsi="Times New Roman"/>
          <w:color w:val="000000"/>
          <w:sz w:val="22"/>
        </w:rPr>
        <w:t>are essential to the Parties’ respective businesses and the Parties acknowledge that damages are not an adequate remedy.</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8.2.3 Effects of Termination.</w:t>
      </w:r>
      <w:r>
        <w:rPr>
          <w:rFonts w:ascii="Times New Roman" w:hAnsi="Times New Roman"/>
          <w:color w:val="000000"/>
          <w:sz w:val="20"/>
        </w:rPr>
        <w:t xml:space="preserve"> </w:t>
      </w:r>
      <w:r>
        <w:rPr>
          <w:rFonts w:ascii="Times New Roman" w:hAnsi="Times New Roman"/>
          <w:color w:val="000000"/>
          <w:sz w:val="22"/>
        </w:rPr>
        <w:t xml:space="preserve">In the event of termination of this Agreement pursuant to </w:t>
      </w:r>
      <w:r>
        <w:rPr>
          <w:rFonts w:ascii="Times New Roman" w:hAnsi="Times New Roman"/>
          <w:color w:val="000000"/>
          <w:sz w:val="22"/>
          <w:u w:val="single"/>
        </w:rPr>
        <w:t>Section 8.2.1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8.2.2</w:t>
      </w:r>
      <w:r>
        <w:rPr>
          <w:rFonts w:ascii="Times New Roman" w:hAnsi="Times New Roman"/>
          <w:color w:val="000000"/>
          <w:sz w:val="20"/>
        </w:rPr>
        <w:t xml:space="preserve"> </w:t>
      </w:r>
      <w:r>
        <w:rPr>
          <w:rFonts w:ascii="Times New Roman" w:hAnsi="Times New Roman"/>
          <w:color w:val="000000"/>
          <w:sz w:val="22"/>
        </w:rPr>
        <w:t>by either Party:</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All rights and licenses granted to Buyer herein with respect to the Program Molecules and Products shall terminate;</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At Seller’s written request, Buyer shall assign to Seller the Acquired Assets and any Transaction IP Controlled by Seller that solely relates to, or was used by or on behalf of Buyer with respect to, the Program Molecules and Products; and</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(c) </w:t>
      </w:r>
      <w:r>
        <w:rPr>
          <w:rFonts w:ascii="Times New Roman" w:hAnsi="Times New Roman"/>
          <w:color w:val="000000"/>
          <w:sz w:val="22"/>
        </w:rPr>
        <w:t>At Seller’s written request, Buyer shall transfer to Seller any and all regulatory materials (including Regulatory Materials), including any INDs, Regulatory Filings or Regulatory Approvals, that are needed to continue fully exploiting the Program Molecules and Products.</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9</w:t>
      </w:r>
      <w:r>
        <w:rPr>
          <w:rFonts w:ascii="Times New Roman" w:hAnsi="Times New Roman"/>
          <w:color w:val="000000"/>
          <w:sz w:val="22"/>
        </w:rPr>
        <w:br/>
        <w:br/>
      </w:r>
      <w:r>
        <w:rPr>
          <w:rFonts w:ascii="Times New Roman" w:hAnsi="Times New Roman"/>
          <w:b/>
          <w:color w:val="000000"/>
          <w:sz w:val="22"/>
        </w:rPr>
        <w:t>SURVIVAL; INDEMNIFICATION; INSURANCE; LIMITATIONS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9.1 Survival of Representations, Warranties and Covenants.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9.1.1 Seller Representations.</w:t>
      </w:r>
      <w:r>
        <w:rPr>
          <w:rFonts w:ascii="Times New Roman" w:hAnsi="Times New Roman"/>
          <w:color w:val="000000"/>
          <w:sz w:val="20"/>
        </w:rPr>
        <w:t xml:space="preserve"> </w:t>
      </w:r>
      <w:r>
        <w:rPr>
          <w:rFonts w:ascii="Times New Roman" w:hAnsi="Times New Roman"/>
          <w:color w:val="000000"/>
          <w:sz w:val="22"/>
        </w:rPr>
        <w:t xml:space="preserve">The representations and warranties of Seller set forth in this Agreement shall not survive the execution and delivery of this Agreement and shall terminate on the Effective Date, provided that the Fundamental Representations will survive for [***]. Any breach of a Fundamental Representation in respect of which indemnification may be sought under this Agreement shall survive the time at which it would otherwise terminate pursuant to the preceding sentence until the final resolution of such Claim (as defined below) if, prior to such time, both a Claim Certificate (as defined below) with respect to such breach shall have been timely delivered pursuant to </w:t>
      </w:r>
      <w:r>
        <w:rPr>
          <w:rFonts w:ascii="Times New Roman" w:hAnsi="Times New Roman"/>
          <w:color w:val="000000"/>
          <w:sz w:val="22"/>
          <w:u w:val="single"/>
        </w:rPr>
        <w:t>Section 9.5</w:t>
      </w:r>
      <w:r>
        <w:rPr>
          <w:rFonts w:ascii="Times New Roman" w:hAnsi="Times New Roman"/>
          <w:color w:val="000000"/>
          <w:sz w:val="20"/>
        </w:rPr>
        <w:t xml:space="preserve"> </w:t>
      </w:r>
      <w:r>
        <w:rPr>
          <w:rFonts w:ascii="Times New Roman" w:hAnsi="Times New Roman"/>
          <w:color w:val="000000"/>
          <w:sz w:val="22"/>
        </w:rPr>
        <w:t>to Buyer and such Claim is pursued hereunder within a reasonable time period thereafter.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9.1.2 Buyer Representations.</w:t>
      </w:r>
      <w:r>
        <w:rPr>
          <w:rFonts w:ascii="Times New Roman" w:hAnsi="Times New Roman"/>
          <w:color w:val="000000"/>
          <w:sz w:val="20"/>
        </w:rPr>
        <w:t xml:space="preserve"> </w:t>
      </w:r>
      <w:r>
        <w:rPr>
          <w:rFonts w:ascii="Times New Roman" w:hAnsi="Times New Roman"/>
          <w:color w:val="000000"/>
          <w:sz w:val="22"/>
        </w:rPr>
        <w:t>The representations and warranties of Buyer set forth in this Agreement shall survive the execution and delivery of this Agreement and the Closing Date and shall terminate at 11:59 PM Pacific Standard Time on the date that is [***] after the Closing Date.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preceding sentence, any breach of a representation or warranty in respect of which indemnification may be sought under this Agreement shall survive the time at which it would otherwise terminate pursuant to the preceding sentence until the final resolution of such Claim if, prior to such time, both a Claim Certificate with respect to such breach shall have been timely delivered pursuant to </w:t>
      </w:r>
      <w:r>
        <w:rPr>
          <w:rFonts w:ascii="Times New Roman" w:hAnsi="Times New Roman"/>
          <w:color w:val="000000"/>
          <w:sz w:val="22"/>
          <w:u w:val="single"/>
        </w:rPr>
        <w:t>Section 9.5</w:t>
      </w:r>
      <w:r>
        <w:rPr>
          <w:rFonts w:ascii="Times New Roman" w:hAnsi="Times New Roman"/>
          <w:color w:val="000000"/>
          <w:sz w:val="20"/>
        </w:rPr>
        <w:t xml:space="preserve"> </w:t>
      </w:r>
      <w:r>
        <w:rPr>
          <w:rFonts w:ascii="Times New Roman" w:hAnsi="Times New Roman"/>
          <w:color w:val="000000"/>
          <w:sz w:val="22"/>
        </w:rPr>
        <w:t>to Seller and such Claim is pursued hereunder within a reasonable time period thereafter.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9.1.3 Covenants.</w:t>
      </w:r>
      <w:r>
        <w:rPr>
          <w:rFonts w:ascii="Times New Roman" w:hAnsi="Times New Roman"/>
          <w:color w:val="000000"/>
          <w:sz w:val="20"/>
        </w:rPr>
        <w:t xml:space="preserve"> </w:t>
      </w:r>
      <w:r>
        <w:rPr>
          <w:rFonts w:ascii="Times New Roman" w:hAnsi="Times New Roman"/>
          <w:color w:val="000000"/>
          <w:sz w:val="22"/>
        </w:rPr>
        <w:t xml:space="preserve">The respective covenants, agreements and obligations of Seller and Buyer set forth in this Agreement shall survive the execution and delivery of this Agreement and the Closing Date and shall terminate upon the earlier of (a) the expiration of the period explicitly set forth within such covenants, agreements and obligations (if any) and (b) expiration or earlier termination of this Agreement; provided that the rights and obligations of the Parties under </w:t>
      </w:r>
      <w:r>
        <w:rPr>
          <w:rFonts w:ascii="Times New Roman" w:hAnsi="Times New Roman"/>
          <w:color w:val="000000"/>
          <w:sz w:val="22"/>
          <w:u w:val="single"/>
        </w:rPr>
        <w:t>Article 7</w:t>
      </w:r>
      <w:r>
        <w:rPr>
          <w:rFonts w:ascii="Times New Roman" w:hAnsi="Times New Roman"/>
          <w:color w:val="000000"/>
          <w:sz w:val="20"/>
        </w:rPr>
        <w:t xml:space="preserve"> </w:t>
      </w:r>
      <w:r>
        <w:rPr>
          <w:rFonts w:ascii="Times New Roman" w:hAnsi="Times New Roman"/>
          <w:color w:val="000000"/>
          <w:sz w:val="22"/>
        </w:rPr>
        <w:t xml:space="preserve">will remain in effect after expiration or termination of this Agreement for the time period set forth therein. Notwithstanding the preceding sentence, any breach of covenants, agreements and obligations in respect of which indemnification may be sought under this Agreement shall survive the time at which it would otherwise terminate pursuant to the preceding sentence until the final resolution of such Claim, if, prior to such time, both a Claim Certificate with respect to such breach shall have been timely delivered pursuant to </w:t>
      </w:r>
      <w:r>
        <w:rPr>
          <w:rFonts w:ascii="Times New Roman" w:hAnsi="Times New Roman"/>
          <w:color w:val="000000"/>
          <w:sz w:val="22"/>
          <w:u w:val="single"/>
        </w:rPr>
        <w:t>Section 9.5</w:t>
      </w:r>
      <w:r>
        <w:rPr>
          <w:rFonts w:ascii="Times New Roman" w:hAnsi="Times New Roman"/>
          <w:color w:val="000000"/>
          <w:sz w:val="20"/>
        </w:rPr>
        <w:t xml:space="preserve"> </w:t>
      </w:r>
      <w:r>
        <w:rPr>
          <w:rFonts w:ascii="Times New Roman" w:hAnsi="Times New Roman"/>
          <w:color w:val="000000"/>
          <w:sz w:val="22"/>
        </w:rPr>
        <w:t>to the Party against whom such indemnification is sought and such Claim is pursued hereunder within a reasonable time period thereafter.</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9.2 Indemnification by Buyer.</w:t>
      </w:r>
      <w:r>
        <w:rPr>
          <w:rFonts w:ascii="Times New Roman" w:hAnsi="Times New Roman"/>
          <w:color w:val="000000"/>
          <w:sz w:val="20"/>
        </w:rPr>
        <w:t xml:space="preserve"> </w:t>
      </w:r>
      <w:r>
        <w:rPr>
          <w:rFonts w:ascii="Times New Roman" w:hAnsi="Times New Roman"/>
          <w:color w:val="000000"/>
          <w:sz w:val="22"/>
        </w:rPr>
        <w:t>Buyer agrees to defend Seller, its Affiliates and its (and its Affiliates’) directors, officers, employees and agents (the “</w:t>
      </w:r>
      <w:r>
        <w:rPr>
          <w:rFonts w:ascii="Times New Roman" w:hAnsi="Times New Roman"/>
          <w:b/>
          <w:color w:val="000000"/>
          <w:sz w:val="22"/>
        </w:rPr>
        <w:t>Seller Indemnified Parties</w:t>
      </w:r>
      <w:r>
        <w:rPr>
          <w:rFonts w:ascii="Times New Roman" w:hAnsi="Times New Roman"/>
          <w:color w:val="000000"/>
          <w:sz w:val="20"/>
        </w:rPr>
        <w:t>”</w:t>
      </w:r>
      <w:r>
        <w:rPr>
          <w:rFonts w:ascii="Times New Roman" w:hAnsi="Times New Roman"/>
          <w:color w:val="000000"/>
          <w:sz w:val="22"/>
        </w:rPr>
        <w:t>) at Buyer’s cost and expense, and will indemnify and hold Seller and the other Seller Indemnified Parties harmless from and against any claims, losses, costs, damages, Taxes (including penalties and interest), fees or expenses (including legal fees and expenses) (collectively, “</w:t>
      </w:r>
      <w:r>
        <w:rPr>
          <w:rFonts w:ascii="Times New Roman" w:hAnsi="Times New Roman"/>
          <w:b/>
          <w:color w:val="000000"/>
          <w:sz w:val="22"/>
        </w:rPr>
        <w:t>Losses</w:t>
      </w:r>
      <w:r>
        <w:rPr>
          <w:rFonts w:ascii="Times New Roman" w:hAnsi="Times New Roman"/>
          <w:color w:val="000000"/>
          <w:sz w:val="20"/>
        </w:rPr>
        <w:t>”</w:t>
      </w:r>
      <w:r>
        <w:rPr>
          <w:rFonts w:ascii="Times New Roman" w:hAnsi="Times New Roman"/>
          <w:color w:val="000000"/>
          <w:sz w:val="22"/>
        </w:rPr>
        <w:t>) resulting from any claims, actions or demands (collectively “</w:t>
      </w:r>
      <w:r>
        <w:rPr>
          <w:rFonts w:ascii="Times New Roman" w:hAnsi="Times New Roman"/>
          <w:b/>
          <w:color w:val="000000"/>
          <w:sz w:val="22"/>
        </w:rPr>
        <w:t>Claims</w:t>
      </w:r>
      <w:r>
        <w:rPr>
          <w:rFonts w:ascii="Times New Roman" w:hAnsi="Times New Roman"/>
          <w:color w:val="000000"/>
          <w:sz w:val="20"/>
        </w:rPr>
        <w:t>”</w:t>
      </w:r>
      <w:r>
        <w:rPr>
          <w:rFonts w:ascii="Times New Roman" w:hAnsi="Times New Roman"/>
          <w:color w:val="000000"/>
          <w:sz w:val="22"/>
        </w:rPr>
        <w:t>) arising out of or in connection with:</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9.2.1 </w:t>
      </w:r>
      <w:r>
        <w:rPr>
          <w:rFonts w:ascii="Times New Roman" w:hAnsi="Times New Roman"/>
          <w:color w:val="000000"/>
          <w:sz w:val="22"/>
        </w:rPr>
        <w:t>the breach by Buyer of this Agreement or the Original Agreement, including (a) any of the representations or warranties made hereunder by Buyer or (b) the covenants and obligations made hereunder or thereunder by Buyer, including those related to the Assigned Agreements;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9.2.2 </w:t>
      </w:r>
      <w:r>
        <w:rPr>
          <w:rFonts w:ascii="Times New Roman" w:hAnsi="Times New Roman"/>
          <w:color w:val="000000"/>
          <w:sz w:val="22"/>
        </w:rPr>
        <w:t>any Post-Closing Liabilities; and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9.2.3 </w:t>
      </w:r>
      <w:r>
        <w:rPr>
          <w:rFonts w:ascii="Times New Roman" w:hAnsi="Times New Roman"/>
          <w:color w:val="000000"/>
          <w:sz w:val="22"/>
        </w:rPr>
        <w:t>the research, development, making, have made, use, sell, offer for sale, and import or otherwise exploitation of the Program or any Product by or on behalf of Buyer or its Affiliates or (sub)licensees on or after the Closing Date, but only to the extent such Claim is brought by a Third Party against any Seller Indemnified Party(ies).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 xml:space="preserve">9.3 </w:t>
      </w:r>
      <w:r>
        <w:rPr>
          <w:rFonts w:ascii="Times New Roman" w:hAnsi="Times New Roman"/>
          <w:color w:val="000000"/>
          <w:sz w:val="22"/>
        </w:rPr>
        <w:t>Indemnification by Seller. Seller agrees to defend Buyer, its Affiliates and its (and its Affiliates’) directors, officers, employees and agents (the “</w:t>
      </w:r>
      <w:r>
        <w:rPr>
          <w:rFonts w:ascii="Times New Roman" w:hAnsi="Times New Roman"/>
          <w:b/>
          <w:color w:val="000000"/>
          <w:sz w:val="22"/>
        </w:rPr>
        <w:t>Buyer Indemnified Parties</w:t>
      </w:r>
      <w:r>
        <w:rPr>
          <w:rFonts w:ascii="Times New Roman" w:hAnsi="Times New Roman"/>
          <w:color w:val="000000"/>
          <w:sz w:val="20"/>
        </w:rPr>
        <w:t xml:space="preserve">” </w:t>
      </w:r>
      <w:r>
        <w:rPr>
          <w:rFonts w:ascii="Times New Roman" w:hAnsi="Times New Roman"/>
          <w:color w:val="000000"/>
          <w:sz w:val="22"/>
        </w:rPr>
        <w:t>at Seller’s cost and expense, and will indemnify and hold Buyer and the other Buyer Indemnified Parties harmless from and against any Losses resulting from any Claims arising out of or in connection with:</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9.3.1 </w:t>
      </w:r>
      <w:r>
        <w:rPr>
          <w:rFonts w:ascii="Times New Roman" w:hAnsi="Times New Roman"/>
          <w:color w:val="000000"/>
          <w:sz w:val="22"/>
        </w:rPr>
        <w:t>the breach by Seller of any Fundamental Representations;</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9.3.2 </w:t>
      </w:r>
      <w:r>
        <w:rPr>
          <w:rFonts w:ascii="Times New Roman" w:hAnsi="Times New Roman"/>
          <w:color w:val="000000"/>
          <w:sz w:val="22"/>
        </w:rPr>
        <w:t>any Excluded Liabilities; or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 xml:space="preserve">9.3.3 </w:t>
      </w:r>
      <w:r>
        <w:rPr>
          <w:rFonts w:ascii="Times New Roman" w:hAnsi="Times New Roman"/>
          <w:color w:val="000000"/>
          <w:sz w:val="22"/>
        </w:rPr>
        <w:t>the research, development, making, have made, use, sell, offer for sale, and import or otherwise exploitation of the Program or any Product by or on behalf of Seller or its Affiliates prior to the Closing Date, but only to the extent such Claim is brought by a Third Party against any Buyer Indemnified Party(ies).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9.4 Limitations.</w:t>
      </w:r>
    </w:p>
    <w:p>
      <w:pPr>
        <w:pStyle w:val="TextBody"/>
        <w:bidi w:val="0"/>
        <w:spacing w:before="0" w:after="240"/>
        <w:ind w:left="0" w:right="0" w:firstLine="1440"/>
        <w:jc w:val="both"/>
        <w:rPr>
          <w:rFonts w:ascii="Times New Roman" w:hAnsi="Times New Roman"/>
          <w:b/>
          <w:color w:val="000000"/>
          <w:sz w:val="22"/>
        </w:rPr>
      </w:pPr>
      <w:r>
        <w:rPr>
          <w:rFonts w:ascii="Times New Roman" w:hAnsi="Times New Roman"/>
          <w:b/>
          <w:color w:val="000000"/>
          <w:sz w:val="22"/>
        </w:rPr>
        <w:t>9.4.1 Deductible.</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Subject to </w:t>
      </w:r>
      <w:r>
        <w:rPr>
          <w:rFonts w:ascii="Times New Roman" w:hAnsi="Times New Roman"/>
          <w:color w:val="000000"/>
          <w:sz w:val="22"/>
          <w:u w:val="single"/>
        </w:rPr>
        <w:t>Section 9.4.4</w:t>
      </w:r>
      <w:r>
        <w:rPr>
          <w:rFonts w:ascii="Times New Roman" w:hAnsi="Times New Roman"/>
          <w:color w:val="000000"/>
          <w:sz w:val="22"/>
        </w:rPr>
        <w:t xml:space="preserve">, no Claim may be made by Seller as the Indemnified Party for indemnification pursuant to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 xml:space="preserve">for breach of any representation or warranty in </w:t>
      </w:r>
      <w:r>
        <w:rPr>
          <w:rFonts w:ascii="Times New Roman" w:hAnsi="Times New Roman"/>
          <w:color w:val="000000"/>
          <w:sz w:val="22"/>
          <w:u w:val="single"/>
        </w:rPr>
        <w:t>Section 6.2</w:t>
      </w:r>
      <w:r>
        <w:rPr>
          <w:rFonts w:ascii="Times New Roman" w:hAnsi="Times New Roman"/>
          <w:color w:val="000000"/>
          <w:sz w:val="20"/>
        </w:rPr>
        <w:t xml:space="preserve"> </w:t>
      </w:r>
      <w:r>
        <w:rPr>
          <w:rFonts w:ascii="Times New Roman" w:hAnsi="Times New Roman"/>
          <w:color w:val="000000"/>
          <w:sz w:val="22"/>
        </w:rPr>
        <w:t xml:space="preserve">until the aggregate amount of Losses for which a Seller seeks to be indemnified pursuant to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exceeds [***] (Seller’s “</w:t>
      </w:r>
      <w:r>
        <w:rPr>
          <w:rFonts w:ascii="Times New Roman" w:hAnsi="Times New Roman"/>
          <w:b/>
          <w:color w:val="000000"/>
          <w:sz w:val="22"/>
        </w:rPr>
        <w:t>Deductible</w:t>
      </w:r>
      <w:r>
        <w:rPr>
          <w:rFonts w:ascii="Times New Roman" w:hAnsi="Times New Roman"/>
          <w:color w:val="000000"/>
          <w:sz w:val="20"/>
        </w:rPr>
        <w:t>”</w:t>
      </w:r>
      <w:r>
        <w:rPr>
          <w:rFonts w:ascii="Times New Roman" w:hAnsi="Times New Roman"/>
          <w:color w:val="000000"/>
          <w:sz w:val="22"/>
        </w:rPr>
        <w:t>), at which time the Seller Indemnified Parties shall be entitled to indemnification for all such Losses in excess of Seller’s Deductible.</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 xml:space="preserve">Subject to </w:t>
      </w:r>
      <w:r>
        <w:rPr>
          <w:rFonts w:ascii="Times New Roman" w:hAnsi="Times New Roman"/>
          <w:color w:val="000000"/>
          <w:sz w:val="22"/>
          <w:u w:val="single"/>
        </w:rPr>
        <w:t>Section 9.4.4</w:t>
      </w:r>
      <w:r>
        <w:rPr>
          <w:rFonts w:ascii="Times New Roman" w:hAnsi="Times New Roman"/>
          <w:color w:val="000000"/>
          <w:sz w:val="22"/>
        </w:rPr>
        <w:t xml:space="preserve">, no Claim may be made by Buyer as the Indemnified Party for indemnification pursuant to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 xml:space="preserve">for breach of any Fundamental Representations until the aggregate amount of Losses for which a Buyer Indemnified Party seeks to be indemnified pursuant to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exceeds [***] (Buyer’s “</w:t>
      </w:r>
      <w:r>
        <w:rPr>
          <w:rFonts w:ascii="Times New Roman" w:hAnsi="Times New Roman"/>
          <w:b/>
          <w:color w:val="000000"/>
          <w:sz w:val="22"/>
        </w:rPr>
        <w:t>Deductible</w:t>
      </w:r>
      <w:r>
        <w:rPr>
          <w:rFonts w:ascii="Times New Roman" w:hAnsi="Times New Roman"/>
          <w:color w:val="000000"/>
          <w:sz w:val="20"/>
        </w:rPr>
        <w:t>”</w:t>
      </w:r>
      <w:r>
        <w:rPr>
          <w:rFonts w:ascii="Times New Roman" w:hAnsi="Times New Roman"/>
          <w:color w:val="000000"/>
          <w:sz w:val="22"/>
        </w:rPr>
        <w:t>), at which time the Buyer Indemnified Parties shall be entitled to indemnification for all such Losses in excess of the Buyer’s Deductible.</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9.4.2 Caps.</w:t>
      </w:r>
      <w:r>
        <w:rPr>
          <w:rFonts w:ascii="Times New Roman" w:hAnsi="Times New Roman"/>
          <w:color w:val="000000"/>
          <w:sz w:val="20"/>
        </w:rPr>
        <w:t xml:space="preserve"> </w:t>
      </w:r>
      <w:r>
        <w:rPr>
          <w:rFonts w:ascii="Times New Roman" w:hAnsi="Times New Roman"/>
          <w:color w:val="000000"/>
          <w:sz w:val="22"/>
        </w:rPr>
        <w:t xml:space="preserve">Subject to </w:t>
      </w:r>
      <w:r>
        <w:rPr>
          <w:rFonts w:ascii="Times New Roman" w:hAnsi="Times New Roman"/>
          <w:color w:val="000000"/>
          <w:sz w:val="22"/>
          <w:u w:val="single"/>
        </w:rPr>
        <w:t>Section 9.4.4</w:t>
      </w:r>
      <w:r>
        <w:rPr>
          <w:rFonts w:ascii="Times New Roman" w:hAnsi="Times New Roman"/>
          <w:color w:val="000000"/>
          <w:sz w:val="22"/>
        </w:rPr>
        <w:t xml:space="preserve">, the cumulative indemnification of Seller under </w:t>
      </w:r>
      <w:r>
        <w:rPr>
          <w:rFonts w:ascii="Times New Roman" w:hAnsi="Times New Roman"/>
          <w:color w:val="000000"/>
          <w:sz w:val="22"/>
          <w:u w:val="single"/>
        </w:rPr>
        <w:t>Section 9.3.1</w:t>
      </w:r>
      <w:r>
        <w:rPr>
          <w:rFonts w:ascii="Times New Roman" w:hAnsi="Times New Roman"/>
          <w:color w:val="000000"/>
          <w:sz w:val="20"/>
        </w:rPr>
        <w:t xml:space="preserve"> </w:t>
      </w:r>
      <w:r>
        <w:rPr>
          <w:rFonts w:ascii="Times New Roman" w:hAnsi="Times New Roman"/>
          <w:color w:val="000000"/>
          <w:sz w:val="22"/>
        </w:rPr>
        <w:t>shall not exceed [***]</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9.4.3 Calculation.</w:t>
      </w:r>
      <w:r>
        <w:rPr>
          <w:rFonts w:ascii="Times New Roman" w:hAnsi="Times New Roman"/>
          <w:color w:val="000000"/>
          <w:sz w:val="20"/>
        </w:rPr>
        <w:t xml:space="preserve"> </w:t>
      </w:r>
      <w:r>
        <w:rPr>
          <w:rFonts w:ascii="Times New Roman" w:hAnsi="Times New Roman"/>
          <w:color w:val="000000"/>
          <w:sz w:val="22"/>
        </w:rPr>
        <w:t xml:space="preserve">Any Losses as to which indemnification provided for in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 xml:space="preserve">may apply shall be determined net of any cash recovery actually received by an Indemnified Party with respect to insurance or other Third-Party recovery proceeds specifically with respect to the specific matter for which indemnification is sought, less any current costs associated with obtaining such recovery. If an Indemnified Party receives an indemnification payment pursuant to this Agreement and later receives insurance proceeds or other Third-Party recovery proceeds in respect of the related Losses, then the Indemnified Party shall promptly remit to the Indemnifying Party, amounts equal to the lesser of (a) the amount of such insurance proceeds or other Third-Party recovery proceeds, if any, and (b) the amount of the indemnification payment previously paid by or on behalf of the Indemnifying Party with respect to such Losses; provided, however, that the Indemnified Party shall not be obligated to pay such insurance proceeds or other Third-Party recovery proceeds in the event that the Indemnified Party has additional Losses which would have been recovered had such amounts been available from the Indemnifying Party. This </w:t>
      </w:r>
      <w:r>
        <w:rPr>
          <w:rFonts w:ascii="Times New Roman" w:hAnsi="Times New Roman"/>
          <w:color w:val="000000"/>
          <w:sz w:val="22"/>
          <w:u w:val="single"/>
        </w:rPr>
        <w:t>Section 9.4.3</w:t>
      </w:r>
      <w:r>
        <w:rPr>
          <w:rFonts w:ascii="Times New Roman" w:hAnsi="Times New Roman"/>
          <w:color w:val="000000"/>
          <w:sz w:val="20"/>
        </w:rPr>
        <w:t xml:space="preserve"> </w:t>
      </w:r>
      <w:r>
        <w:rPr>
          <w:rFonts w:ascii="Times New Roman" w:hAnsi="Times New Roman"/>
          <w:color w:val="000000"/>
          <w:sz w:val="22"/>
        </w:rPr>
        <w:t>shall not imply and shall not be construed to imply any obligation on the part of any Person to seek or pursue any such recovery and the failure to seek or pursue any such recovery shall not be defense to any indemnification obligation hereunder.</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9.4.4 Certain Exceptions to Limitations.</w:t>
      </w:r>
      <w:r>
        <w:rPr>
          <w:rFonts w:ascii="Times New Roman" w:hAnsi="Times New Roman"/>
          <w:color w:val="000000"/>
          <w:sz w:val="20"/>
        </w:rPr>
        <w:t xml:space="preserve"> </w:t>
      </w:r>
      <w:r>
        <w:rPr>
          <w:rFonts w:ascii="Times New Roman" w:hAnsi="Times New Roman"/>
          <w:color w:val="000000"/>
          <w:sz w:val="22"/>
        </w:rPr>
        <w:t xml:space="preserve">Notwithstanding anything to the contrary in this Agreement, the limitations and thresholds and other provisions set forth in this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 xml:space="preserve">shall not apply to Claims (a) involving fraud or (b) involving or related to any Sales Milestone Payments, Development Milestone Payments, earn-out payments or other payments payable by Buyer pursuant to this Agreement, and any Losses arising from or indemnification payments made on account of such Claims pursuant to this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shall not be taken into account in determining the applicability of such limitations and thresholds and other provisions to other Losses or Claims.</w:t>
      </w:r>
    </w:p>
    <w:p>
      <w:pPr>
        <w:pStyle w:val="TextBody"/>
        <w:bidi w:val="0"/>
        <w:spacing w:before="0" w:after="240"/>
        <w:ind w:left="0" w:right="0" w:firstLine="720"/>
        <w:jc w:val="both"/>
        <w:rPr>
          <w:rFonts w:ascii="Times New Roman" w:hAnsi="Times New Roman"/>
          <w:b/>
          <w:color w:val="000000"/>
          <w:sz w:val="22"/>
        </w:rPr>
      </w:pPr>
      <w:r>
        <w:rPr>
          <w:rFonts w:ascii="Times New Roman" w:hAnsi="Times New Roman"/>
          <w:b/>
          <w:color w:val="000000"/>
          <w:sz w:val="22"/>
        </w:rPr>
        <w:t>9.5 Procedures.</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9.5.1 General.</w:t>
      </w:r>
      <w:r>
        <w:rPr>
          <w:rFonts w:ascii="Times New Roman" w:hAnsi="Times New Roman"/>
          <w:color w:val="000000"/>
          <w:sz w:val="20"/>
        </w:rPr>
        <w:t xml:space="preserve"> </w:t>
      </w:r>
      <w:r>
        <w:rPr>
          <w:rFonts w:ascii="Times New Roman" w:hAnsi="Times New Roman"/>
          <w:color w:val="000000"/>
          <w:sz w:val="22"/>
        </w:rPr>
        <w:t>Promptly after the discovery by any Indemnified Party of any Loss or Losses, Claim or breach, including any Claim by a Third-Party (a “</w:t>
      </w:r>
      <w:r>
        <w:rPr>
          <w:rFonts w:ascii="Times New Roman" w:hAnsi="Times New Roman"/>
          <w:b/>
          <w:color w:val="000000"/>
          <w:sz w:val="22"/>
        </w:rPr>
        <w:t>Third-Party Claim</w:t>
      </w:r>
      <w:r>
        <w:rPr>
          <w:rFonts w:ascii="Times New Roman" w:hAnsi="Times New Roman"/>
          <w:color w:val="000000"/>
          <w:sz w:val="20"/>
        </w:rPr>
        <w:t>”</w:t>
      </w:r>
      <w:r>
        <w:rPr>
          <w:rFonts w:ascii="Times New Roman" w:hAnsi="Times New Roman"/>
          <w:color w:val="000000"/>
          <w:sz w:val="22"/>
        </w:rPr>
        <w:t>), that would reasonably be expected to give rise to a Claim for indemnification hereunder, the Indemnified Party shall deliver to Seller or Buyer (the “</w:t>
      </w:r>
      <w:r>
        <w:rPr>
          <w:rFonts w:ascii="Times New Roman" w:hAnsi="Times New Roman"/>
          <w:b/>
          <w:color w:val="000000"/>
          <w:sz w:val="22"/>
        </w:rPr>
        <w:t>Indemnifying Party</w:t>
      </w:r>
      <w:r>
        <w:rPr>
          <w:rFonts w:ascii="Times New Roman" w:hAnsi="Times New Roman"/>
          <w:color w:val="000000"/>
          <w:sz w:val="20"/>
        </w:rPr>
        <w:t>”</w:t>
      </w:r>
      <w:r>
        <w:rPr>
          <w:rFonts w:ascii="Times New Roman" w:hAnsi="Times New Roman"/>
          <w:color w:val="000000"/>
          <w:sz w:val="22"/>
        </w:rPr>
        <w:t>), a certificate (a “</w:t>
      </w:r>
      <w:r>
        <w:rPr>
          <w:rFonts w:ascii="Times New Roman" w:hAnsi="Times New Roman"/>
          <w:b/>
          <w:color w:val="000000"/>
          <w:sz w:val="22"/>
        </w:rPr>
        <w:t>Claim Certificate</w:t>
      </w:r>
      <w:r>
        <w:rPr>
          <w:rFonts w:ascii="Times New Roman" w:hAnsi="Times New Roman"/>
          <w:color w:val="000000"/>
          <w:sz w:val="20"/>
        </w:rPr>
        <w:t>”</w:t>
      </w:r>
      <w:r>
        <w:rPr>
          <w:rFonts w:ascii="Times New Roman" w:hAnsi="Times New Roman"/>
          <w:color w:val="000000"/>
          <w:sz w:val="22"/>
        </w:rPr>
        <w:t>) that: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states that the Indemnified Party has paid or properly accrued Losses, or reasonably anticipates that it may or will incur liability for Losses, for which such Indemnified Party may be entitled to indemnification pursuant to this Agreement; and</w:t>
      </w:r>
    </w:p>
    <w:p>
      <w:pPr>
        <w:pStyle w:val="TextBody"/>
        <w:bidi w:val="0"/>
        <w:spacing w:before="0" w:after="240"/>
        <w:ind w:left="0" w:right="0" w:firstLine="2160"/>
        <w:jc w:val="both"/>
        <w:rPr>
          <w:rFonts w:ascii="Times New Roman" w:hAnsi="Times New Roman"/>
          <w:sz w:val="20"/>
        </w:rPr>
      </w:pPr>
      <w:r>
        <w:rPr>
          <w:rFonts w:ascii="Times New Roman" w:hAnsi="Times New Roman"/>
          <w:b/>
          <w:color w:val="000000"/>
          <w:sz w:val="22"/>
        </w:rPr>
        <w:t xml:space="preserve">(b) </w:t>
      </w:r>
      <w:r>
        <w:rPr>
          <w:rFonts w:ascii="Times New Roman" w:hAnsi="Times New Roman"/>
          <w:color w:val="000000"/>
          <w:sz w:val="22"/>
        </w:rPr>
        <w:t>specifies in reasonable detail, to the extent practicable and available, each individual item of Loss included in the amount so stated, the basis for any anticipated liability and the nature of the misrepresentation, default, breach of warranty or breach of covenant or Claim to which each such item is related and, to the extent computable, an estimation of the amount to which such Indemnified Party claims to be entitled hereunder;</w:t>
      </w:r>
    </w:p>
    <w:p>
      <w:pPr>
        <w:pStyle w:val="TextBody"/>
        <w:bidi w:val="0"/>
        <w:spacing w:before="0" w:after="24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that</w:t>
      </w:r>
      <w:r>
        <w:rPr>
          <w:rFonts w:ascii="Times New Roman" w:hAnsi="Times New Roman"/>
          <w:color w:val="000000"/>
          <w:sz w:val="20"/>
        </w:rPr>
        <w:t xml:space="preserve"> </w:t>
      </w:r>
      <w:r>
        <w:rPr>
          <w:rFonts w:ascii="Times New Roman" w:hAnsi="Times New Roman"/>
          <w:color w:val="000000"/>
          <w:sz w:val="22"/>
        </w:rPr>
        <w:t>no delay on the part of any Indemnified Party in notifying the Indemnifying Party, shall relieve the Indemnifying Party of any liability or obligations hereunder except to the extent that the Indemnifying Party has been actually prejudiced thereby, and then only to such extent.</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9.5.2 Objection.</w:t>
      </w:r>
      <w:r>
        <w:rPr>
          <w:rFonts w:ascii="Times New Roman" w:hAnsi="Times New Roman"/>
          <w:color w:val="000000"/>
          <w:sz w:val="20"/>
        </w:rPr>
        <w:t xml:space="preserve"> </w:t>
      </w:r>
      <w:r>
        <w:rPr>
          <w:rFonts w:ascii="Times New Roman" w:hAnsi="Times New Roman"/>
          <w:color w:val="000000"/>
          <w:sz w:val="22"/>
        </w:rPr>
        <w:t>If the Indemnifying Party objects to the indemnification of an Indemnified Party in respect of any Claim or Claims specified in any Claim Certificate, the Indemnifying Party shall deliver a written notice to such effect to the Indemnified Party within [***] after the Indemnifying Party’s receipt of such Claim Certificate. Thereafter, the Indemnifying Party and the Indemnified Party shall attempt in good faith to agree upon the rights of the respective parties for a period of not less than [***] after receipt by the Indemnified Party of such written objection with respect to each of such Claims to which the Indemnifying Party has objected. If the Indemnified Party and the Indemnifying Party agree with respect to any of such Claims, the Indemnified Party and the Indemnifying Party together shall promptly prepare and sign a memorandum setting forth such agreement. Should the Indemnified Party and the Indemnifying Party fail to agree as to any particular item or items or amount or amounts within such [***] period, then either party shall be entitled to pursue its available remedies for resolving its Claim for indemnification.</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9.5.3 Defense of Third-Party Claims.</w:t>
      </w:r>
      <w:r>
        <w:rPr>
          <w:rFonts w:ascii="Times New Roman" w:hAnsi="Times New Roman"/>
          <w:color w:val="000000"/>
          <w:sz w:val="20"/>
        </w:rPr>
        <w:t xml:space="preserve"> </w:t>
      </w:r>
      <w:r>
        <w:rPr>
          <w:rFonts w:ascii="Times New Roman" w:hAnsi="Times New Roman"/>
          <w:color w:val="000000"/>
          <w:sz w:val="22"/>
        </w:rPr>
        <w:t xml:space="preserve">The Indemnifying Party shall have the right to participate in, or by giving written notice to the Indemnified Party, to assume the defense of any Third-Party Claim at the Indemnifying Party’s expense and by the Indemnifying Party’s own legal counsel, and the Indemnified Party shall cooperate in good faith in such defense. In the event that the Indemnifying Party assumes the defense of any Third-Party Claim, subject to </w:t>
      </w:r>
      <w:r>
        <w:rPr>
          <w:rFonts w:ascii="Times New Roman" w:hAnsi="Times New Roman"/>
          <w:color w:val="000000"/>
          <w:sz w:val="22"/>
          <w:u w:val="single"/>
        </w:rPr>
        <w:t>Section 9.5.4</w:t>
      </w:r>
      <w:r>
        <w:rPr>
          <w:rFonts w:ascii="Times New Roman" w:hAnsi="Times New Roman"/>
          <w:color w:val="000000"/>
          <w:sz w:val="22"/>
        </w:rPr>
        <w:t xml:space="preserve">, it shall have the right to take such action as it deems necessary to avoid, dispute, defend, appeal or make counterclaims pertaining to any such Third-Party Claim in the name and on behalf of the Indemnified Party. The Indemnified Party shall have the right to participate in the defense of any Third-Party Claim with legal counsel selected by it, subject to the Indemnifying Party’s right to control the defense thereof. The fees and disbursements of such legal counsel shall be at the expense of the Indemnified Party. If the Indemnifying Party elects not to defend such Third-Party Claim, fails to promptly notify the Indemnified Party in writing of its election to defend as provided in this Agreement, or fails to diligently prosecute the defense of such Third-Party Claim, the Indemnified Party may, subject to </w:t>
      </w:r>
      <w:r>
        <w:rPr>
          <w:rFonts w:ascii="Times New Roman" w:hAnsi="Times New Roman"/>
          <w:color w:val="000000"/>
          <w:sz w:val="22"/>
          <w:u w:val="single"/>
        </w:rPr>
        <w:t>Section 9.5.4</w:t>
      </w:r>
      <w:r>
        <w:rPr>
          <w:rFonts w:ascii="Times New Roman" w:hAnsi="Times New Roman"/>
          <w:color w:val="000000"/>
          <w:sz w:val="22"/>
        </w:rPr>
        <w:t>, defend such Third-Party Claim and seek indemnification for any and all Losses based upon, arising from or relating to such Third-Party Claim (subject to the limitations set forth herein). Seller and Buyer shall cooperate with each other in all reasonable respects in connection with the defense of any Third-Party Claim, including making available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9.5.4 Settlement of Third-Party Claims.</w:t>
      </w:r>
      <w:r>
        <w:rPr>
          <w:rFonts w:ascii="Times New Roman" w:hAnsi="Times New Roman"/>
          <w:color w:val="000000"/>
          <w:sz w:val="20"/>
        </w:rPr>
        <w:t xml:space="preserve"> </w:t>
      </w:r>
      <w:r>
        <w:rPr>
          <w:rFonts w:ascii="Times New Roman" w:hAnsi="Times New Roman"/>
          <w:color w:val="000000"/>
          <w:sz w:val="22"/>
        </w:rPr>
        <w:t>Notwithstanding any other provision of this Agreement, the Indemnifying Party may enter into settlement of any Third-Party Claim without the prior written consent of the Indemnified Party, except that the consent of the Indemnified Party, which will not be unreasonably withheld or delayed, shall be required to enter into any settlement of any such Third-Party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Claim that commits the applicable Indemnified Party to take, or to forbear to take, any action or does not provide for a full and complete written release by the applicable Third Party of any applicable Indemnified Party. If the Indemnified Party has assumed the defense pursuant to </w:t>
      </w:r>
      <w:r>
        <w:rPr>
          <w:rFonts w:ascii="Times New Roman" w:hAnsi="Times New Roman"/>
          <w:color w:val="000000"/>
          <w:sz w:val="22"/>
          <w:u w:val="single"/>
        </w:rPr>
        <w:t>Section 9.5.3</w:t>
      </w:r>
      <w:r>
        <w:rPr>
          <w:rFonts w:ascii="Times New Roman" w:hAnsi="Times New Roman"/>
          <w:color w:val="000000"/>
          <w:sz w:val="22"/>
        </w:rPr>
        <w:t>, it shall not agree to any settlement without the written consent of the Indemnifying Party (which consent shall not be unreasonably withheld, conditioned or delayed).</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9.5.5 Agreed Claims.</w:t>
      </w:r>
      <w:r>
        <w:rPr>
          <w:rFonts w:ascii="Times New Roman" w:hAnsi="Times New Roman"/>
          <w:color w:val="000000"/>
          <w:sz w:val="20"/>
        </w:rPr>
        <w:t xml:space="preserve"> </w:t>
      </w:r>
      <w:r>
        <w:rPr>
          <w:rFonts w:ascii="Times New Roman" w:hAnsi="Times New Roman"/>
          <w:color w:val="000000"/>
          <w:sz w:val="22"/>
        </w:rPr>
        <w:t xml:space="preserve">Claims for Losses specified in any Claim Certificate to which the Indemnifying Party did not object in writing within [***] of receipt of such Claim Certificate, Claims covered by a memorandum of agreement of the nature described in </w:t>
      </w:r>
      <w:r>
        <w:rPr>
          <w:rFonts w:ascii="Times New Roman" w:hAnsi="Times New Roman"/>
          <w:color w:val="000000"/>
          <w:sz w:val="22"/>
          <w:u w:val="single"/>
        </w:rPr>
        <w:t>Section 9.5.2</w:t>
      </w:r>
      <w:r>
        <w:rPr>
          <w:rFonts w:ascii="Times New Roman" w:hAnsi="Times New Roman"/>
          <w:color w:val="000000"/>
          <w:sz w:val="20"/>
        </w:rPr>
        <w:t xml:space="preserve"> </w:t>
      </w:r>
      <w:r>
        <w:rPr>
          <w:rFonts w:ascii="Times New Roman" w:hAnsi="Times New Roman"/>
          <w:color w:val="000000"/>
          <w:sz w:val="22"/>
        </w:rPr>
        <w:t>and claims for Losses the validity and amount of which have been the subject of resolution by arbitration or of a final non-appealable judicial determination are hereinafter referred to, collectively, as “</w:t>
      </w:r>
      <w:r>
        <w:rPr>
          <w:rFonts w:ascii="Times New Roman" w:hAnsi="Times New Roman"/>
          <w:b/>
          <w:color w:val="000000"/>
          <w:sz w:val="22"/>
        </w:rPr>
        <w:t>Agreed Claims.</w:t>
      </w:r>
      <w:r>
        <w:rPr>
          <w:rFonts w:ascii="Times New Roman" w:hAnsi="Times New Roman"/>
          <w:color w:val="000000"/>
          <w:sz w:val="20"/>
        </w:rPr>
        <w:t xml:space="preserve">” </w:t>
      </w:r>
      <w:r>
        <w:rPr>
          <w:rFonts w:ascii="Times New Roman" w:hAnsi="Times New Roman"/>
          <w:color w:val="000000"/>
          <w:sz w:val="22"/>
        </w:rPr>
        <w:t>The Indemnified Party shall be entitled to payment for any Agreed Claim within [***] of the determination of the amount of any such Agreed Claims.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9.6 Sole Remedy.</w:t>
      </w:r>
      <w:r>
        <w:rPr>
          <w:rFonts w:ascii="Times New Roman" w:hAnsi="Times New Roman"/>
          <w:color w:val="000000"/>
          <w:sz w:val="20"/>
        </w:rPr>
        <w:t xml:space="preserve"> </w:t>
      </w:r>
      <w:r>
        <w:rPr>
          <w:rFonts w:ascii="Times New Roman" w:hAnsi="Times New Roman"/>
          <w:color w:val="000000"/>
          <w:sz w:val="22"/>
        </w:rPr>
        <w:t xml:space="preserve">Other than rights and remedies provided in </w:t>
      </w:r>
      <w:r>
        <w:rPr>
          <w:rFonts w:ascii="Times New Roman" w:hAnsi="Times New Roman"/>
          <w:color w:val="000000"/>
          <w:sz w:val="22"/>
          <w:u w:val="single"/>
        </w:rPr>
        <w:t>Section 9.4.4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10.12</w:t>
      </w:r>
      <w:r>
        <w:rPr>
          <w:rFonts w:ascii="Times New Roman" w:hAnsi="Times New Roman"/>
          <w:color w:val="000000"/>
          <w:sz w:val="22"/>
        </w:rPr>
        <w:t xml:space="preserve">, the sole and exclusive remedy for any breach or alleged breach of any representation, warranty or covenant of this Agreement shall be indemnification in accordance with this </w:t>
      </w:r>
      <w:r>
        <w:rPr>
          <w:rFonts w:ascii="Times New Roman" w:hAnsi="Times New Roman"/>
          <w:color w:val="000000"/>
          <w:sz w:val="22"/>
          <w:u w:val="single"/>
        </w:rPr>
        <w:t>Article 9</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 xml:space="preserve">9.7 </w:t>
      </w:r>
      <w:r>
        <w:rPr>
          <w:rFonts w:ascii="Times New Roman" w:hAnsi="Times New Roman"/>
          <w:color w:val="000000"/>
          <w:sz w:val="22"/>
        </w:rPr>
        <w:t xml:space="preserve">Insurance. Buyer will obtain and maintain insurance for so long as it is developing or commercializing any Product, and for a period of at least [***], in an amount appropriate for its business and products of the type that are the subject of this Agreement and for its obligations under this Agreement. Specifically, Buyer will maintain (a) worker’s compensation insurance with statutory limits in compliance with the worker’s compensation laws of the state or states in which Buyer has employees in the United States (excluding Puerto Rico), (b) employer’s liability coverage with a minimum limit of [***] per occurrence; provided that Buyer has employees in the United States (excluding Puerto Rico), (c) clinical trial insurance with a minimum limit of [***], and (d) general liability insurance with a minimum limit of [***] per occurrence and [***] in the aggregate, to be met by a combination of primary and excess limits. Beginning at least [***] prior to the initiation of a clinical trial involving any Product, Buyer will obtain and maintain clinical trial insurance (either separately or as part of the general or product liability insurance). Beginning at least [***] prior to the First Commercial Sale of a Product, Buyer will obtain and maintain product liability insurance of [***]. Upon request, Buyer will provide Seller with evidence of the existence and maintenance of such insurance coverage. Buyer will notify Seller [***] in advance of cancelation of any such insurance. All such insurances under this </w:t>
      </w:r>
      <w:r>
        <w:rPr>
          <w:rFonts w:ascii="Times New Roman" w:hAnsi="Times New Roman"/>
          <w:color w:val="000000"/>
          <w:sz w:val="22"/>
          <w:u w:val="single"/>
        </w:rPr>
        <w:t>Section 9.7</w:t>
      </w:r>
      <w:r>
        <w:rPr>
          <w:rFonts w:ascii="Times New Roman" w:hAnsi="Times New Roman"/>
          <w:color w:val="000000"/>
          <w:sz w:val="20"/>
        </w:rPr>
        <w:t xml:space="preserve"> </w:t>
      </w:r>
      <w:r>
        <w:rPr>
          <w:rFonts w:ascii="Times New Roman" w:hAnsi="Times New Roman"/>
          <w:color w:val="000000"/>
          <w:sz w:val="22"/>
        </w:rPr>
        <w:t>will be provided by a company or companies licensed to do business in United States having a financial rating of not less than A- Viii in the most current edition of Best’s Key Rating Guide.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9.8 LIMITATION OF DAMAGES.</w:t>
      </w:r>
      <w:r>
        <w:rPr>
          <w:rFonts w:ascii="Times New Roman" w:hAnsi="Times New Roman"/>
          <w:color w:val="000000"/>
          <w:sz w:val="20"/>
        </w:rPr>
        <w:t xml:space="preserve"> </w:t>
      </w:r>
      <w:r>
        <w:rPr>
          <w:rFonts w:ascii="Times New Roman" w:hAnsi="Times New Roman"/>
          <w:color w:val="000000"/>
          <w:sz w:val="22"/>
        </w:rPr>
        <w:t xml:space="preserve">IN NO EVENT SHALL EITHER PARTY BE LIABLE HEREUNDER TO THE OTHER PARTY FOR ANY PUNITIVE, RELIANCE, INDIRECT, SPECIAL, INCIDENTAL OR CONSEQUENTIAL DAMAGES (INCLUDING LOST REVENUE, LOST PROFITS, OR LOST SAVINGS) HOWEVER CAUSED AND UNDER ANY THEORY, EVEN IF IT HAS NOTICE OF THE POSSIBILITY OF SUCH DAMAGES. THE LIMITATIONS SET FORTH IN THIS </w:t>
      </w:r>
      <w:r>
        <w:rPr>
          <w:rFonts w:ascii="Times New Roman" w:hAnsi="Times New Roman"/>
          <w:color w:val="000000"/>
          <w:sz w:val="22"/>
          <w:u w:val="single"/>
        </w:rPr>
        <w:t>SECTION 9.8</w:t>
      </w:r>
      <w:r>
        <w:rPr>
          <w:rFonts w:ascii="Times New Roman" w:hAnsi="Times New Roman"/>
          <w:color w:val="000000"/>
          <w:sz w:val="20"/>
        </w:rPr>
        <w:t xml:space="preserve"> </w:t>
      </w:r>
      <w:r>
        <w:rPr>
          <w:rFonts w:ascii="Times New Roman" w:hAnsi="Times New Roman"/>
          <w:color w:val="000000"/>
          <w:sz w:val="22"/>
        </w:rPr>
        <w:t xml:space="preserve">SHALL NOT APPLY WITH RESPECT TO (A) ANY BREACH OF </w:t>
      </w:r>
      <w:r>
        <w:rPr>
          <w:rFonts w:ascii="Times New Roman" w:hAnsi="Times New Roman"/>
          <w:color w:val="000000"/>
          <w:sz w:val="22"/>
          <w:u w:val="single"/>
        </w:rPr>
        <w:t>ARTICLE 7</w:t>
      </w:r>
      <w:r>
        <w:rPr>
          <w:rFonts w:ascii="Times New Roman" w:hAnsi="Times New Roman"/>
          <w:color w:val="000000"/>
          <w:sz w:val="20"/>
        </w:rPr>
        <w:t xml:space="preserve"> </w:t>
      </w:r>
      <w:r>
        <w:rPr>
          <w:rFonts w:ascii="Times New Roman" w:hAnsi="Times New Roman"/>
          <w:color w:val="000000"/>
          <w:sz w:val="22"/>
        </w:rPr>
        <w:t xml:space="preserve">OR (B) THE WILLFUL MISCONDUCT, INTENTIONAL MISREPRESENTATION OR FRAUD OF A PARTY. NOTHING IN THIS </w:t>
      </w:r>
      <w:r>
        <w:rPr>
          <w:rFonts w:ascii="Times New Roman" w:hAnsi="Times New Roman"/>
          <w:color w:val="000000"/>
          <w:sz w:val="22"/>
          <w:u w:val="single"/>
        </w:rPr>
        <w:t>SECTION 9.8</w:t>
      </w:r>
      <w:r>
        <w:rPr>
          <w:rFonts w:ascii="Times New Roman" w:hAnsi="Times New Roman"/>
          <w:color w:val="000000"/>
          <w:sz w:val="20"/>
        </w:rPr>
        <w:t xml:space="preserve"> </w:t>
      </w:r>
      <w:r>
        <w:rPr>
          <w:rFonts w:ascii="Times New Roman" w:hAnsi="Times New Roman"/>
          <w:color w:val="000000"/>
          <w:sz w:val="22"/>
        </w:rPr>
        <w:t xml:space="preserve">IS INTENDED TO LIMIT OR RESTRICT THE INDEMNIFICATION RIGHTS OR OBLIGATIONS OF A PARTY UNDER THIS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WITH RESPECT TO ANY DAMAGES PAID BY THE OTHER PARTY TO A THIRD PARTY IN CONNECTION WITH A THIRD-PARTY CLAIM.</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10</w:t>
      </w:r>
      <w:r>
        <w:rPr>
          <w:rFonts w:ascii="Times New Roman" w:hAnsi="Times New Roman"/>
          <w:color w:val="000000"/>
          <w:sz w:val="22"/>
        </w:rPr>
        <w:br/>
        <w:br/>
      </w:r>
      <w:r>
        <w:rPr>
          <w:rFonts w:ascii="Times New Roman" w:hAnsi="Times New Roman"/>
          <w:b/>
          <w:color w:val="000000"/>
          <w:sz w:val="22"/>
        </w:rPr>
        <w:t>MISCELLANEOUS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10.1 Entire Agreement; Amendment.</w:t>
      </w:r>
      <w:r>
        <w:rPr>
          <w:rFonts w:ascii="Times New Roman" w:hAnsi="Times New Roman"/>
          <w:color w:val="000000"/>
          <w:sz w:val="20"/>
        </w:rPr>
        <w:t xml:space="preserve"> </w:t>
      </w:r>
      <w:r>
        <w:rPr>
          <w:rFonts w:ascii="Times New Roman" w:hAnsi="Times New Roman"/>
          <w:color w:val="000000"/>
          <w:sz w:val="22"/>
        </w:rPr>
        <w:t xml:space="preserve">This Agreement (including all Schedules and Exhibits attached to this Agreement) and the Ancillary Agreements constitute the entire agreement between the Parties as to the subject matter hereof. Except as set forth in this </w:t>
      </w:r>
      <w:r>
        <w:rPr>
          <w:rFonts w:ascii="Times New Roman" w:hAnsi="Times New Roman"/>
          <w:color w:val="000000"/>
          <w:sz w:val="22"/>
          <w:u w:val="single"/>
        </w:rPr>
        <w:t>Section 10.1</w:t>
      </w:r>
      <w:r>
        <w:rPr>
          <w:rFonts w:ascii="Times New Roman" w:hAnsi="Times New Roman"/>
          <w:color w:val="000000"/>
          <w:sz w:val="22"/>
        </w:rPr>
        <w:t>, (a) all prior and contemporaneous negotiations, representations, warranties, agreements, statements, promises and understandings with respect to the subject matter of this Agreement are hereby superseded and merged into, extinguished by and completely expressed by this Agreement and (b) neither Party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both Parties. Notwithstanding the foregoing, (i) all rights and obligations of the Parties that arose under the CDA during the period commencing on the CDA Effective Date and continuing through the Closing Date, including any dispute or alleged breach by a Party of any of the terms of the CDA during such period, shall be governed solely by the terms of the CDA, (ii) the terms and conditions of the CDA shall survive solely for the limited purposes set forth in subsection (i) above and (iii) the CDA shall otherwise terminate as of the Closing Date. For the avoidance of doubt, upon the execution of this Agreement, all provisions of the Original Agreement with respect to the Program Molecules or the Products are hereby superseded in their entirety and replaced herein and shall have no further force or effect.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10.2 Governing Law; Jurisdiction.</w:t>
      </w:r>
      <w:r>
        <w:rPr>
          <w:rFonts w:ascii="Times New Roman" w:hAnsi="Times New Roman"/>
          <w:color w:val="000000"/>
          <w:sz w:val="20"/>
        </w:rPr>
        <w:t xml:space="preserve"> </w:t>
      </w:r>
      <w:r>
        <w:rPr>
          <w:rFonts w:ascii="Times New Roman" w:hAnsi="Times New Roman"/>
          <w:color w:val="000000"/>
          <w:sz w:val="22"/>
        </w:rPr>
        <w:t>This Agreement and its effect are subject to and shall be construed and enforced in accordance with the law of the State of New York, without regard to its conflicts of laws that would require the application of any other Law. Each of the Parties hereby irrevocably and unconditionally consents to submit to the exclusive jurisdiction of the federal courts located in the Southern District of the State of New York for any matter arising out of or relating to this Agreement and the transactions contemplated hereby, and agrees not to commence any litigation relating thereto except in such courts. Each of the Parties hereby irrevocably and unconditionally waives any objection to the laying of venue of any matter arising out of this Agreement or the transactions contemplated hereby in the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Agreement shall be exclusively conducted in the English language.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10.3 Waiver of Jury Trial.</w:t>
      </w:r>
      <w:r>
        <w:rPr>
          <w:rFonts w:ascii="Times New Roman" w:hAnsi="Times New Roman"/>
          <w:color w:val="000000"/>
          <w:sz w:val="20"/>
        </w:rPr>
        <w:t xml:space="preserve"> </w:t>
      </w:r>
      <w:r>
        <w:rPr>
          <w:rFonts w:ascii="Times New Roman" w:hAnsi="Times New Roman"/>
          <w:color w:val="000000"/>
          <w:sz w:val="22"/>
        </w:rPr>
        <w:t>To the fullest extent permitted by Law, each of the Parties irrevocably waives all right to trial by jury in any Litigation arising out of or relating to this Agreement or any of the transactions contemplated by this Agreement.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10.4 Notice.</w:t>
      </w:r>
      <w:r>
        <w:rPr>
          <w:rFonts w:ascii="Times New Roman" w:hAnsi="Times New Roman"/>
          <w:color w:val="000000"/>
          <w:sz w:val="20"/>
        </w:rPr>
        <w:t xml:space="preserve"> </w:t>
      </w:r>
      <w:r>
        <w:rPr>
          <w:rFonts w:ascii="Times New Roman" w:hAnsi="Times New Roman"/>
          <w:color w:val="000000"/>
          <w:sz w:val="22"/>
        </w:rPr>
        <w:t>All notices or communication required or permitted to be given by either Party hereunder shall be deemed sufficiently given (a) three (3) Business Days after being sent by registered or certified mail, return receipt requested, postage prepaid, (b) one (1) Business Day after being sent for next Business Day delivery, fees prepaid, via a reputable nationwide overnight courier service or (c) on the date of confirmation of receipt (or the first Business Day following such receipt if the date of such receipt is not a Business Day) of transmission by email, in each case to the intended recipient as set forth below:</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If to Buyer: Calithera Biosciences, Inc.</w:t>
      </w:r>
    </w:p>
    <w:p>
      <w:pPr>
        <w:pStyle w:val="TextBody"/>
        <w:bidi w:val="0"/>
        <w:ind w:left="0" w:right="0" w:firstLine="2160"/>
        <w:jc w:val="both"/>
        <w:rPr>
          <w:rFonts w:ascii="Times New Roman" w:hAnsi="Times New Roman"/>
          <w:color w:val="000000"/>
          <w:sz w:val="22"/>
        </w:rPr>
      </w:pPr>
      <w:r>
        <w:rPr>
          <w:rFonts w:ascii="Times New Roman" w:hAnsi="Times New Roman"/>
          <w:color w:val="000000"/>
          <w:sz w:val="22"/>
        </w:rPr>
        <w:t>343 Oyster Point Blvd, Suite 200</w:t>
      </w:r>
    </w:p>
    <w:p>
      <w:pPr>
        <w:pStyle w:val="TextBody"/>
        <w:bidi w:val="0"/>
        <w:ind w:left="0" w:right="0" w:firstLine="2160"/>
        <w:jc w:val="both"/>
        <w:rPr>
          <w:rFonts w:ascii="Times New Roman" w:hAnsi="Times New Roman"/>
          <w:color w:val="000000"/>
          <w:sz w:val="22"/>
        </w:rPr>
      </w:pPr>
      <w:r>
        <w:rPr>
          <w:rFonts w:ascii="Times New Roman" w:hAnsi="Times New Roman"/>
          <w:color w:val="000000"/>
          <w:sz w:val="22"/>
        </w:rPr>
        <w:t>South San Francisco, CA 94080</w:t>
      </w:r>
    </w:p>
    <w:p>
      <w:pPr>
        <w:pStyle w:val="TextBody"/>
        <w:bidi w:val="0"/>
        <w:ind w:left="0" w:right="0" w:firstLine="2160"/>
        <w:jc w:val="both"/>
        <w:rPr>
          <w:rFonts w:ascii="Times New Roman" w:hAnsi="Times New Roman"/>
          <w:color w:val="000000"/>
          <w:sz w:val="22"/>
        </w:rPr>
      </w:pPr>
      <w:r>
        <w:rPr>
          <w:rFonts w:ascii="Times New Roman" w:hAnsi="Times New Roman"/>
          <w:color w:val="000000"/>
          <w:sz w:val="22"/>
        </w:rPr>
        <w:t>Attn: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If to Seller: Millennium Pharmaceuticals, Inc.</w:t>
      </w:r>
    </w:p>
    <w:p>
      <w:pPr>
        <w:pStyle w:val="TextBody"/>
        <w:bidi w:val="0"/>
        <w:ind w:left="0" w:right="0" w:firstLine="2160"/>
        <w:jc w:val="both"/>
        <w:rPr>
          <w:rFonts w:ascii="Times New Roman" w:hAnsi="Times New Roman"/>
          <w:color w:val="000000"/>
          <w:sz w:val="22"/>
        </w:rPr>
      </w:pPr>
      <w:r>
        <w:rPr>
          <w:rFonts w:ascii="Times New Roman" w:hAnsi="Times New Roman"/>
          <w:color w:val="000000"/>
          <w:sz w:val="22"/>
        </w:rPr>
        <w:t>40 Landsdowne Street</w:t>
      </w:r>
    </w:p>
    <w:p>
      <w:pPr>
        <w:pStyle w:val="TextBody"/>
        <w:bidi w:val="0"/>
        <w:ind w:left="0" w:right="0" w:firstLine="2160"/>
        <w:jc w:val="both"/>
        <w:rPr>
          <w:rFonts w:ascii="Times New Roman" w:hAnsi="Times New Roman"/>
          <w:color w:val="000000"/>
          <w:sz w:val="22"/>
        </w:rPr>
      </w:pPr>
      <w:r>
        <w:rPr>
          <w:rFonts w:ascii="Times New Roman" w:hAnsi="Times New Roman"/>
          <w:color w:val="000000"/>
          <w:sz w:val="22"/>
        </w:rPr>
        <w:t>Cambridge, MA 02139</w:t>
      </w:r>
    </w:p>
    <w:p>
      <w:pPr>
        <w:pStyle w:val="TextBody"/>
        <w:bidi w:val="0"/>
        <w:ind w:left="0" w:right="0" w:firstLine="2160"/>
        <w:jc w:val="both"/>
        <w:rPr>
          <w:rFonts w:ascii="Times New Roman" w:hAnsi="Times New Roman"/>
          <w:color w:val="000000"/>
          <w:sz w:val="22"/>
        </w:rPr>
      </w:pPr>
      <w:r>
        <w:rPr>
          <w:rFonts w:ascii="Times New Roman" w:hAnsi="Times New Roman"/>
          <w:color w:val="000000"/>
          <w:sz w:val="22"/>
        </w:rPr>
        <w:t>United States</w:t>
      </w:r>
    </w:p>
    <w:p>
      <w:pPr>
        <w:pStyle w:val="TextBody"/>
        <w:bidi w:val="0"/>
        <w:ind w:left="0" w:right="0" w:firstLine="2160"/>
        <w:jc w:val="both"/>
        <w:rPr>
          <w:rFonts w:ascii="Times New Roman" w:hAnsi="Times New Roman"/>
          <w:color w:val="000000"/>
          <w:sz w:val="22"/>
        </w:rPr>
      </w:pPr>
      <w:r>
        <w:rPr>
          <w:rFonts w:ascii="Times New Roman" w:hAnsi="Times New Roman"/>
          <w:color w:val="000000"/>
          <w:sz w:val="22"/>
        </w:rPr>
        <w:t>Attn: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Either Party may change the address to which notices and other communication hereunder are to be delivered by giving the other Party notice in the manner herein set forth.</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10.5 Compliance with Law; Severability.</w:t>
      </w:r>
      <w:r>
        <w:rPr>
          <w:rFonts w:ascii="Times New Roman" w:hAnsi="Times New Roman"/>
          <w:color w:val="000000"/>
          <w:sz w:val="20"/>
        </w:rPr>
        <w:t xml:space="preserve"> </w:t>
      </w:r>
      <w:r>
        <w:rPr>
          <w:rFonts w:ascii="Times New Roman" w:hAnsi="Times New Roman"/>
          <w:color w:val="000000"/>
          <w:sz w:val="22"/>
        </w:rPr>
        <w:t>Nothing in this Agreement shall be construed to require the commission of any act contrary to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10.6 Successors and Assigns.</w:t>
      </w:r>
      <w:r>
        <w:rPr>
          <w:rFonts w:ascii="Times New Roman" w:hAnsi="Times New Roman"/>
          <w:color w:val="000000"/>
          <w:sz w:val="20"/>
        </w:rPr>
        <w:t xml:space="preserve"> </w:t>
      </w:r>
      <w:r>
        <w:rPr>
          <w:rFonts w:ascii="Times New Roman" w:hAnsi="Times New Roman"/>
          <w:color w:val="000000"/>
          <w:sz w:val="22"/>
        </w:rPr>
        <w:t xml:space="preserve">This Agreement shall bind and inure to the benefit of the successors and permitted assigns of the Parties hereto. Neither this Agreement nor any right, interest or obligation of a Party hereunder may be assigned by either Party without the written consent of the other Party, except that each Party may assign this Agreement and the rights, obligations and interests of such Party under this Agreement (a) in whole or in part, to any of its Affiliates, or (b) in whole, but not in part, in the event of a Change of Control of a Party; provided, that, (i) the assigning Party will provide the other Party with prompt written notice of assignment, (ii) the permitted assignee will assume all obligations of its assignor under this Agreement (or as related to the assigned part where a partial assignment to an Affiliate), (iii) unless expressly so agreed in writing by the Parties, no permitted assignment will relieve the assignor of liability under this Agreement, and (iv) any attempted assignment in contravention of this </w:t>
      </w:r>
      <w:r>
        <w:rPr>
          <w:rFonts w:ascii="Times New Roman" w:hAnsi="Times New Roman"/>
          <w:color w:val="000000"/>
          <w:sz w:val="22"/>
          <w:u w:val="single"/>
        </w:rPr>
        <w:t>Section 10.6</w:t>
      </w:r>
      <w:r>
        <w:rPr>
          <w:rFonts w:ascii="Times New Roman" w:hAnsi="Times New Roman"/>
          <w:color w:val="000000"/>
          <w:sz w:val="20"/>
        </w:rPr>
        <w:t xml:space="preserve"> </w:t>
      </w:r>
      <w:r>
        <w:rPr>
          <w:rFonts w:ascii="Times New Roman" w:hAnsi="Times New Roman"/>
          <w:color w:val="000000"/>
          <w:sz w:val="22"/>
        </w:rPr>
        <w:t>shall be void.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10.7 Waivers.</w:t>
      </w:r>
      <w:r>
        <w:rPr>
          <w:rFonts w:ascii="Times New Roman" w:hAnsi="Times New Roman"/>
          <w:color w:val="000000"/>
          <w:sz w:val="20"/>
        </w:rPr>
        <w:t xml:space="preserve"> </w:t>
      </w:r>
      <w:r>
        <w:rPr>
          <w:rFonts w:ascii="Times New Roman" w:hAnsi="Times New Roman"/>
          <w:color w:val="000000"/>
          <w:sz w:val="22"/>
        </w:rPr>
        <w:t>A Party’s consent to or waiver, express or implied, of the other Party’s breach of its obligations 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10.8 Force Majeure.</w:t>
      </w:r>
      <w:r>
        <w:rPr>
          <w:rFonts w:ascii="Times New Roman" w:hAnsi="Times New Roman"/>
          <w:color w:val="000000"/>
          <w:sz w:val="20"/>
        </w:rPr>
        <w:t xml:space="preserve"> </w:t>
      </w:r>
      <w:r>
        <w:rPr>
          <w:rFonts w:ascii="Times New Roman" w:hAnsi="Times New Roman"/>
          <w:color w:val="000000"/>
          <w:sz w:val="22"/>
        </w:rPr>
        <w:t>Except for the obligation to pay money when due, neither Party shall be liable to the other for failure or delay in the performance of any of its obligations under this Agreement for the time and to the extent such failure or delay is caused by a Force Majeure. The Party affected by the Force Majeure shall provide the other Party in writing with full particulars thereof as soon as it becomes aware of the same (including its best estimate of the likely extent and duration of the interference with its activities), and will use commercially reasonable efforts to overcome the difficulties created thereby and to resume performance of its obligations as soon as practicable. For the avoidance of doubt, under no circumstances shall the alleged or actual inability to pay money be considered an event of Force Majeure.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10.9 No Third Party Beneficiaries.</w:t>
      </w:r>
      <w:r>
        <w:rPr>
          <w:rFonts w:ascii="Times New Roman" w:hAnsi="Times New Roman"/>
          <w:color w:val="000000"/>
          <w:sz w:val="20"/>
        </w:rPr>
        <w:t xml:space="preserve"> </w:t>
      </w:r>
      <w:r>
        <w:rPr>
          <w:rFonts w:ascii="Times New Roman" w:hAnsi="Times New Roman"/>
          <w:color w:val="000000"/>
          <w:sz w:val="22"/>
        </w:rPr>
        <w:t>Nothing in this Agreement shall be construed as giving any Person, other than the Parties hereto and their successors and permitted assigns, any right, remedy or claim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under or in respect of this Agreement or any provision hereof, except for the provisions of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 xml:space="preserve">(with respect to which the Persons to which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 xml:space="preserve">applies shall be Third Party beneficiaries in accordance with </w:t>
      </w:r>
      <w:r>
        <w:rPr>
          <w:rFonts w:ascii="Times New Roman" w:hAnsi="Times New Roman"/>
          <w:color w:val="000000"/>
          <w:sz w:val="22"/>
          <w:u w:val="single"/>
        </w:rPr>
        <w:t>Article 9</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10.10 Headings; Schedules and Exhibits.</w:t>
      </w:r>
      <w:r>
        <w:rPr>
          <w:rFonts w:ascii="Times New Roman" w:hAnsi="Times New Roman"/>
          <w:color w:val="000000"/>
          <w:sz w:val="20"/>
        </w:rPr>
        <w:t xml:space="preserve"> </w:t>
      </w:r>
      <w:r>
        <w:rPr>
          <w:rFonts w:ascii="Times New Roman" w:hAnsi="Times New Roman"/>
          <w:color w:val="000000"/>
          <w:sz w:val="22"/>
        </w:rPr>
        <w:t>Article and Section headings used herein are for convenient reference only, and are not a part of this Agreement. All Schedules and Exhibits are incorporated herein by this reference.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10.11 Counterparts.</w:t>
      </w:r>
      <w:r>
        <w:rPr>
          <w:rFonts w:ascii="Times New Roman" w:hAnsi="Times New Roman"/>
          <w:color w:val="000000"/>
          <w:sz w:val="20"/>
        </w:rPr>
        <w:t xml:space="preserve"> </w:t>
      </w:r>
      <w:r>
        <w:rPr>
          <w:rFonts w:ascii="Times New Roman" w:hAnsi="Times New Roman"/>
          <w:color w:val="000000"/>
          <w:sz w:val="22"/>
        </w:rPr>
        <w:t>This Agreement may be executed in counterparts by a single Party, each of which when taken together shall constitute one and the same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10.12 Specific Performance.</w:t>
      </w:r>
      <w:r>
        <w:rPr>
          <w:rFonts w:ascii="Times New Roman" w:hAnsi="Times New Roman"/>
          <w:color w:val="000000"/>
          <w:sz w:val="20"/>
        </w:rPr>
        <w:t xml:space="preserve"> </w:t>
      </w:r>
      <w:r>
        <w:rPr>
          <w:rFonts w:ascii="Times New Roman" w:hAnsi="Times New Roman"/>
          <w:color w:val="000000"/>
          <w:sz w:val="22"/>
        </w:rPr>
        <w:t xml:space="preserve">The Parties agree that irreparable damage could occur if any provision of </w:t>
      </w:r>
      <w:r>
        <w:rPr>
          <w:rFonts w:ascii="Times New Roman" w:hAnsi="Times New Roman"/>
          <w:color w:val="000000"/>
          <w:sz w:val="22"/>
          <w:u w:val="single"/>
        </w:rPr>
        <w:t>Article 7</w:t>
      </w:r>
      <w:r>
        <w:rPr>
          <w:rFonts w:ascii="Times New Roman" w:hAnsi="Times New Roman"/>
          <w:color w:val="000000"/>
          <w:sz w:val="20"/>
        </w:rPr>
        <w:t xml:space="preserve"> </w:t>
      </w:r>
      <w:r>
        <w:rPr>
          <w:rFonts w:ascii="Times New Roman" w:hAnsi="Times New Roman"/>
          <w:color w:val="000000"/>
          <w:sz w:val="22"/>
        </w:rPr>
        <w:t xml:space="preserve">of this Agreement were not performed in accordance with the terms thereof and that the Parties shall be entitled to seek specific performance of the terms of </w:t>
      </w:r>
      <w:r>
        <w:rPr>
          <w:rFonts w:ascii="Times New Roman" w:hAnsi="Times New Roman"/>
          <w:color w:val="000000"/>
          <w:sz w:val="22"/>
          <w:u w:val="single"/>
        </w:rPr>
        <w:t>Article 7</w:t>
      </w:r>
      <w:r>
        <w:rPr>
          <w:rFonts w:ascii="Times New Roman" w:hAnsi="Times New Roman"/>
          <w:color w:val="000000"/>
          <w:sz w:val="22"/>
        </w:rPr>
        <w:t>, without the necessity of posting a bond or other security or proving the inadequacy of damages as a remedy, in addition to any other remedy to which they are entitled at law or in equity.</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10.13 Further Assurances.</w:t>
      </w:r>
      <w:r>
        <w:rPr>
          <w:rFonts w:ascii="Times New Roman" w:hAnsi="Times New Roman"/>
          <w:color w:val="000000"/>
          <w:sz w:val="20"/>
        </w:rPr>
        <w:t xml:space="preserve"> </w:t>
      </w:r>
      <w:r>
        <w:rPr>
          <w:rFonts w:ascii="Times New Roman" w:hAnsi="Times New Roman"/>
          <w:color w:val="000000"/>
          <w:sz w:val="22"/>
        </w:rPr>
        <w:t xml:space="preserve">From time to time after the Closing Date, and for no further consideration (except as expressly set forth in </w:t>
      </w:r>
      <w:r>
        <w:rPr>
          <w:rFonts w:ascii="Times New Roman" w:hAnsi="Times New Roman"/>
          <w:color w:val="000000"/>
          <w:sz w:val="22"/>
          <w:u w:val="single"/>
        </w:rPr>
        <w:t>Section 5.2</w:t>
      </w:r>
      <w:r>
        <w:rPr>
          <w:rFonts w:ascii="Times New Roman" w:hAnsi="Times New Roman"/>
          <w:color w:val="000000"/>
          <w:sz w:val="22"/>
        </w:rPr>
        <w:t xml:space="preserve">, </w:t>
      </w:r>
      <w:r>
        <w:rPr>
          <w:rFonts w:ascii="Times New Roman" w:hAnsi="Times New Roman"/>
          <w:color w:val="000000"/>
          <w:sz w:val="22"/>
          <w:u w:val="single"/>
        </w:rPr>
        <w:t>Section 5.3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5.4</w:t>
      </w:r>
      <w:r>
        <w:rPr>
          <w:rFonts w:ascii="Times New Roman" w:hAnsi="Times New Roman"/>
          <w:color w:val="000000"/>
          <w:sz w:val="22"/>
        </w:rPr>
        <w:t>), each Party shall execute, acknowledge and deliver such assignments, transfers, consents, assumptions and other documents and instruments and take such other actions as may be necessary or desirable to consummate and make effective the transactions contemplated by this Agreement.</w:t>
      </w:r>
    </w:p>
    <w:p>
      <w:pPr>
        <w:pStyle w:val="TextBody"/>
        <w:bidi w:val="0"/>
        <w:spacing w:before="0" w:after="720"/>
        <w:jc w:val="center"/>
        <w:rPr>
          <w:rFonts w:ascii="Times New Roman" w:hAnsi="Times New Roman"/>
          <w:i/>
          <w:color w:val="000000"/>
          <w:sz w:val="22"/>
        </w:rPr>
      </w:pPr>
      <w:r>
        <w:rPr>
          <w:rFonts w:ascii="Times New Roman" w:hAnsi="Times New Roman"/>
          <w:i/>
          <w:color w:val="000000"/>
          <w:sz w:val="22"/>
        </w:rPr>
        <w:t>(Signature Pages Immediately to Follow)</w:t>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this Agreement has been executed by the Parties hereto as of the Effective Date.</w:t>
      </w:r>
    </w:p>
    <w:p>
      <w:pPr>
        <w:pStyle w:val="TextBody"/>
        <w:bidi w:val="0"/>
        <w:spacing w:before="0" w:after="240"/>
        <w:ind w:left="0" w:right="0" w:firstLine="5040"/>
        <w:jc w:val="both"/>
        <w:rPr>
          <w:rFonts w:ascii="Times New Roman" w:hAnsi="Times New Roman"/>
          <w:b/>
          <w:color w:val="000000"/>
          <w:sz w:val="22"/>
        </w:rPr>
      </w:pPr>
      <w:r>
        <w:rPr>
          <w:rFonts w:ascii="Times New Roman" w:hAnsi="Times New Roman"/>
          <w:b/>
          <w:color w:val="000000"/>
          <w:sz w:val="22"/>
        </w:rPr>
        <w:t>BUYER:</w:t>
      </w:r>
    </w:p>
    <w:p>
      <w:pPr>
        <w:pStyle w:val="TextBody"/>
        <w:bidi w:val="0"/>
        <w:spacing w:before="0" w:after="240"/>
        <w:ind w:left="0" w:right="0" w:firstLine="5040"/>
        <w:jc w:val="both"/>
        <w:rPr>
          <w:rFonts w:ascii="Times New Roman" w:hAnsi="Times New Roman"/>
          <w:b/>
          <w:color w:val="000000"/>
          <w:sz w:val="22"/>
        </w:rPr>
      </w:pPr>
      <w:r>
        <w:rPr>
          <w:rFonts w:ascii="Times New Roman" w:hAnsi="Times New Roman"/>
          <w:b/>
          <w:color w:val="000000"/>
          <w:sz w:val="22"/>
        </w:rPr>
        <w:t>Calithera Biosciences, Inc.</w:t>
      </w:r>
    </w:p>
    <w:p>
      <w:pPr>
        <w:pStyle w:val="TextBody"/>
        <w:bidi w:val="0"/>
        <w:ind w:left="0" w:right="0" w:firstLine="5040"/>
        <w:jc w:val="both"/>
        <w:rPr>
          <w:rFonts w:ascii="Times New Roman" w:hAnsi="Times New Roman"/>
          <w:color w:val="000000"/>
          <w:sz w:val="22"/>
        </w:rPr>
      </w:pPr>
      <w:r>
        <w:rPr>
          <w:rFonts w:ascii="Times New Roman" w:hAnsi="Times New Roman"/>
          <w:color w:val="000000"/>
          <w:sz w:val="22"/>
        </w:rPr>
        <w:t xml:space="preserve">By: </w:t>
      </w:r>
    </w:p>
    <w:p>
      <w:pPr>
        <w:pStyle w:val="TextBody"/>
        <w:bidi w:val="0"/>
        <w:ind w:left="0" w:right="0" w:firstLine="5040"/>
        <w:jc w:val="both"/>
        <w:rPr>
          <w:rFonts w:ascii="Times New Roman" w:hAnsi="Times New Roman"/>
          <w:color w:val="000000"/>
          <w:sz w:val="22"/>
        </w:rPr>
      </w:pPr>
      <w:r>
        <w:rPr>
          <w:rFonts w:ascii="Times New Roman" w:hAnsi="Times New Roman"/>
          <w:color w:val="000000"/>
          <w:sz w:val="22"/>
        </w:rPr>
        <w:t>Name: Stephanie Wong</w:t>
      </w:r>
    </w:p>
    <w:p>
      <w:pPr>
        <w:pStyle w:val="TextBody"/>
        <w:bidi w:val="0"/>
        <w:spacing w:before="0" w:after="720"/>
        <w:ind w:left="0" w:right="0" w:firstLine="5040"/>
        <w:jc w:val="both"/>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240"/>
        <w:ind w:left="0" w:right="0" w:firstLine="5040"/>
        <w:jc w:val="both"/>
        <w:rPr>
          <w:rFonts w:ascii="Times New Roman" w:hAnsi="Times New Roman"/>
          <w:b/>
          <w:color w:val="000000"/>
          <w:sz w:val="22"/>
        </w:rPr>
      </w:pPr>
      <w:r>
        <w:rPr>
          <w:rFonts w:ascii="Times New Roman" w:hAnsi="Times New Roman"/>
          <w:b/>
          <w:color w:val="000000"/>
          <w:sz w:val="22"/>
        </w:rPr>
        <w:t>SELLER:</w:t>
      </w:r>
    </w:p>
    <w:p>
      <w:pPr>
        <w:pStyle w:val="TextBody"/>
        <w:bidi w:val="0"/>
        <w:spacing w:before="0" w:after="240"/>
        <w:ind w:left="0" w:right="0" w:firstLine="5040"/>
        <w:jc w:val="both"/>
        <w:rPr>
          <w:rFonts w:ascii="Times New Roman" w:hAnsi="Times New Roman"/>
          <w:b/>
          <w:color w:val="000000"/>
          <w:sz w:val="22"/>
        </w:rPr>
      </w:pPr>
      <w:r>
        <w:rPr>
          <w:rFonts w:ascii="Times New Roman" w:hAnsi="Times New Roman"/>
          <w:b/>
          <w:color w:val="000000"/>
          <w:sz w:val="22"/>
        </w:rPr>
        <w:t>Millennium Pharmaceuticals, Inc.</w:t>
      </w:r>
    </w:p>
    <w:p>
      <w:pPr>
        <w:pStyle w:val="TextBody"/>
        <w:bidi w:val="0"/>
        <w:ind w:left="0" w:right="0" w:firstLine="5040"/>
        <w:jc w:val="both"/>
        <w:rPr>
          <w:rFonts w:ascii="Times New Roman" w:hAnsi="Times New Roman"/>
          <w:color w:val="000000"/>
          <w:sz w:val="22"/>
        </w:rPr>
      </w:pPr>
      <w:r>
        <w:rPr>
          <w:rFonts w:ascii="Times New Roman" w:hAnsi="Times New Roman"/>
          <w:color w:val="000000"/>
          <w:sz w:val="22"/>
        </w:rPr>
        <w:t xml:space="preserve">By: </w:t>
      </w:r>
    </w:p>
    <w:p>
      <w:pPr>
        <w:pStyle w:val="TextBody"/>
        <w:bidi w:val="0"/>
        <w:ind w:left="0" w:right="0" w:firstLine="5040"/>
        <w:jc w:val="both"/>
        <w:rPr>
          <w:rFonts w:ascii="Times New Roman" w:hAnsi="Times New Roman"/>
          <w:color w:val="000000"/>
          <w:sz w:val="22"/>
        </w:rPr>
      </w:pPr>
      <w:r>
        <w:rPr>
          <w:rFonts w:ascii="Times New Roman" w:hAnsi="Times New Roman"/>
          <w:color w:val="000000"/>
          <w:sz w:val="22"/>
        </w:rPr>
        <w:t>Name: Michael Martin</w:t>
      </w:r>
    </w:p>
    <w:p>
      <w:pPr>
        <w:pStyle w:val="TextBody"/>
        <w:bidi w:val="0"/>
        <w:spacing w:before="0" w:after="240"/>
        <w:ind w:left="0" w:right="0" w:firstLine="5040"/>
        <w:jc w:val="both"/>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this Agreement has been executed by the Parties hereto as of the Effective Date.</w:t>
      </w:r>
    </w:p>
    <w:p>
      <w:pPr>
        <w:pStyle w:val="TextBody"/>
        <w:bidi w:val="0"/>
        <w:spacing w:before="0" w:after="240"/>
        <w:ind w:left="0" w:right="0" w:firstLine="5040"/>
        <w:jc w:val="both"/>
        <w:rPr>
          <w:rFonts w:ascii="Times New Roman" w:hAnsi="Times New Roman"/>
          <w:b/>
          <w:color w:val="000000"/>
          <w:sz w:val="22"/>
        </w:rPr>
      </w:pPr>
      <w:r>
        <w:rPr>
          <w:rFonts w:ascii="Times New Roman" w:hAnsi="Times New Roman"/>
          <w:b/>
          <w:color w:val="000000"/>
          <w:sz w:val="22"/>
        </w:rPr>
        <w:t>BUYER:</w:t>
      </w:r>
    </w:p>
    <w:p>
      <w:pPr>
        <w:pStyle w:val="TextBody"/>
        <w:bidi w:val="0"/>
        <w:spacing w:before="0" w:after="240"/>
        <w:ind w:left="0" w:right="0" w:firstLine="5040"/>
        <w:jc w:val="both"/>
        <w:rPr>
          <w:rFonts w:ascii="Times New Roman" w:hAnsi="Times New Roman"/>
          <w:b/>
          <w:color w:val="000000"/>
          <w:sz w:val="22"/>
        </w:rPr>
      </w:pPr>
      <w:r>
        <w:rPr>
          <w:rFonts w:ascii="Times New Roman" w:hAnsi="Times New Roman"/>
          <w:b/>
          <w:color w:val="000000"/>
          <w:sz w:val="22"/>
        </w:rPr>
        <w:t>Calithera Biosciences, Inc.</w:t>
      </w:r>
    </w:p>
    <w:p>
      <w:pPr>
        <w:pStyle w:val="TextBody"/>
        <w:bidi w:val="0"/>
        <w:ind w:left="0" w:right="0" w:firstLine="5040"/>
        <w:jc w:val="both"/>
        <w:rPr>
          <w:rFonts w:ascii="Times New Roman" w:hAnsi="Times New Roman"/>
          <w:color w:val="000000"/>
          <w:sz w:val="22"/>
        </w:rPr>
      </w:pPr>
      <w:r>
        <w:rPr>
          <w:rFonts w:ascii="Times New Roman" w:hAnsi="Times New Roman"/>
          <w:color w:val="000000"/>
          <w:sz w:val="22"/>
        </w:rPr>
        <w:t xml:space="preserve">By: </w:t>
      </w:r>
    </w:p>
    <w:p>
      <w:pPr>
        <w:pStyle w:val="TextBody"/>
        <w:bidi w:val="0"/>
        <w:ind w:left="0" w:right="0" w:firstLine="5040"/>
        <w:jc w:val="both"/>
        <w:rPr>
          <w:rFonts w:ascii="Times New Roman" w:hAnsi="Times New Roman"/>
          <w:color w:val="000000"/>
          <w:sz w:val="22"/>
        </w:rPr>
      </w:pPr>
      <w:r>
        <w:rPr>
          <w:rFonts w:ascii="Times New Roman" w:hAnsi="Times New Roman"/>
          <w:color w:val="000000"/>
          <w:sz w:val="22"/>
        </w:rPr>
        <w:t>Name: Stephanie Wong</w:t>
      </w:r>
    </w:p>
    <w:p>
      <w:pPr>
        <w:pStyle w:val="TextBody"/>
        <w:bidi w:val="0"/>
        <w:spacing w:before="0" w:after="720"/>
        <w:ind w:left="0" w:right="0" w:firstLine="5040"/>
        <w:jc w:val="both"/>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0" w:after="240"/>
        <w:ind w:left="0" w:right="0" w:firstLine="5040"/>
        <w:jc w:val="both"/>
        <w:rPr>
          <w:rFonts w:ascii="Times New Roman" w:hAnsi="Times New Roman"/>
          <w:b/>
          <w:color w:val="000000"/>
          <w:sz w:val="22"/>
        </w:rPr>
      </w:pPr>
      <w:r>
        <w:rPr>
          <w:rFonts w:ascii="Times New Roman" w:hAnsi="Times New Roman"/>
          <w:b/>
          <w:color w:val="000000"/>
          <w:sz w:val="22"/>
        </w:rPr>
        <w:t>SELLER:</w:t>
      </w:r>
    </w:p>
    <w:p>
      <w:pPr>
        <w:pStyle w:val="TextBody"/>
        <w:bidi w:val="0"/>
        <w:spacing w:before="0" w:after="240"/>
        <w:ind w:left="0" w:right="0" w:firstLine="5040"/>
        <w:jc w:val="both"/>
        <w:rPr>
          <w:rFonts w:ascii="Times New Roman" w:hAnsi="Times New Roman"/>
          <w:b/>
          <w:color w:val="000000"/>
          <w:sz w:val="22"/>
        </w:rPr>
      </w:pPr>
      <w:r>
        <w:rPr>
          <w:rFonts w:ascii="Times New Roman" w:hAnsi="Times New Roman"/>
          <w:b/>
          <w:color w:val="000000"/>
          <w:sz w:val="22"/>
        </w:rPr>
        <w:t>Millennium Pharmaceuticals, Inc.</w:t>
      </w:r>
    </w:p>
    <w:p>
      <w:pPr>
        <w:pStyle w:val="TextBody"/>
        <w:bidi w:val="0"/>
        <w:ind w:left="0" w:right="0" w:firstLine="5040"/>
        <w:jc w:val="both"/>
        <w:rPr>
          <w:rFonts w:ascii="Times New Roman" w:hAnsi="Times New Roman"/>
          <w:color w:val="000000"/>
          <w:sz w:val="22"/>
        </w:rPr>
      </w:pPr>
      <w:r>
        <w:rPr>
          <w:rFonts w:ascii="Times New Roman" w:hAnsi="Times New Roman"/>
          <w:color w:val="000000"/>
          <w:sz w:val="22"/>
        </w:rPr>
        <w:t xml:space="preserve">By: </w:t>
      </w:r>
    </w:p>
    <w:p>
      <w:pPr>
        <w:pStyle w:val="TextBody"/>
        <w:bidi w:val="0"/>
        <w:ind w:left="0" w:right="0" w:firstLine="5040"/>
        <w:jc w:val="both"/>
        <w:rPr>
          <w:rFonts w:ascii="Times New Roman" w:hAnsi="Times New Roman"/>
          <w:color w:val="000000"/>
          <w:sz w:val="22"/>
        </w:rPr>
      </w:pPr>
      <w:r>
        <w:rPr>
          <w:rFonts w:ascii="Times New Roman" w:hAnsi="Times New Roman"/>
          <w:color w:val="000000"/>
          <w:sz w:val="22"/>
        </w:rPr>
        <w:t>Name: Michael Martin</w:t>
      </w:r>
    </w:p>
    <w:p>
      <w:pPr>
        <w:pStyle w:val="TextBody"/>
        <w:bidi w:val="0"/>
        <w:spacing w:before="0" w:after="240"/>
        <w:ind w:left="0" w:right="0" w:firstLine="5040"/>
        <w:jc w:val="both"/>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1.1(a)</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TAK-228 Structure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1.1(b)</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 Structure</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1.1(c)</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Materials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1.1(d)</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Regulatory Materials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1.1(e)</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Existing inventory Transferred/Assigned</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1.1(f)</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Assigned Agreements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1.1(g)</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Assigned Know-How</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1.1(h) – Part 1</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Assigned Patent Rights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1.1(h) – Part 2</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In-Licensed Patent Rights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1.1(f)</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Initial Development Plan</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2.3</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Acquired Assets</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ind w:left="0" w:right="0" w:firstLine="72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2.4</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Select List of Excluded Assets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2.6</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Licensed Intellectual Property</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pBdr/>
        <w:bidi w:val="0"/>
        <w:ind w:left="720" w:right="0" w:hanging="36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3.6</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Related Agreements</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3.9</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Delayed Assigned Contract</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5.9</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Seller’s Bank Account</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Bill of Sale</w:t>
      </w:r>
    </w:p>
    <w:p>
      <w:pPr>
        <w:pStyle w:val="TextBody"/>
        <w:bidi w:val="0"/>
        <w:spacing w:before="0" w:after="48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See Attached</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480"/>
        <w:jc w:val="center"/>
        <w:rPr>
          <w:rFonts w:ascii="Times New Roman" w:hAnsi="Times New Roman"/>
          <w:b/>
          <w:color w:val="000000"/>
          <w:sz w:val="24"/>
          <w:u w:val="single"/>
        </w:rPr>
      </w:pPr>
      <w:r>
        <w:rPr>
          <w:rFonts w:ascii="Times New Roman" w:hAnsi="Times New Roman"/>
          <w:b/>
          <w:color w:val="000000"/>
          <w:sz w:val="24"/>
          <w:u w:val="single"/>
        </w:rPr>
        <w:t>BILL OF SALE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This BILL OF SALE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and entered into as of October 18, 2021, between Millennium Pharmaceuticals, Inc., a Delaware corporation (“</w:t>
      </w:r>
      <w:r>
        <w:rPr>
          <w:rFonts w:ascii="Times New Roman" w:hAnsi="Times New Roman"/>
          <w:b/>
          <w:color w:val="000000"/>
          <w:sz w:val="24"/>
        </w:rPr>
        <w:t>Seller</w:t>
      </w:r>
      <w:r>
        <w:rPr>
          <w:rFonts w:ascii="Times New Roman" w:hAnsi="Times New Roman"/>
          <w:color w:val="000000"/>
          <w:sz w:val="20"/>
        </w:rPr>
        <w:t>”</w:t>
      </w:r>
      <w:r>
        <w:rPr>
          <w:rFonts w:ascii="Times New Roman" w:hAnsi="Times New Roman"/>
          <w:color w:val="000000"/>
          <w:sz w:val="24"/>
        </w:rPr>
        <w:t>), and Calithera Biosciences, Inc., a Delaware corporation, (“Buyer”). Capitalized terms used but not defined in this Agreement shall have the respective meanings set forth in the Purchase Agreement (as defined below).</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Seller and Buyer entered into that certain Asset Purchase Agreement, dated October 18, 2021 (the “</w:t>
      </w:r>
      <w:r>
        <w:rPr>
          <w:rFonts w:ascii="Times New Roman" w:hAnsi="Times New Roman"/>
          <w:b/>
          <w:color w:val="000000"/>
          <w:sz w:val="24"/>
        </w:rPr>
        <w:t>Purchase Agreement</w:t>
      </w:r>
      <w:r>
        <w:rPr>
          <w:rFonts w:ascii="Times New Roman" w:hAnsi="Times New Roman"/>
          <w:color w:val="000000"/>
          <w:sz w:val="20"/>
        </w:rPr>
        <w:t>”</w:t>
      </w:r>
      <w:r>
        <w:rPr>
          <w:rFonts w:ascii="Times New Roman" w:hAnsi="Times New Roman"/>
          <w:color w:val="000000"/>
          <w:sz w:val="24"/>
        </w:rPr>
        <w:t>), which contemplates the sale by Seller to Buyer of the Acquired Assets; and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in connection with the consummation of the transactions contemplated by the Purchase Agreement, Seller desires to assign its rights and obligations under the Acquired Assets to Buyer, and Buyer desires to accept such assignment and assume the obligations of Buyer under the Acquired Assets.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and the mutual covenants, representations and warranties herein contained, and for other good and valuable consideration, the receipt and sufficiency of which are hereby mutually acknowledged, the Parties hereby agree as follows: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 In accordance with the terms and subject to the conditions set forth in the Purchase Agreement (including Section 2.2.1 thereof), effective as of the Closing, the Seller hereby sells, conveys, transfers, assigns and delivers to, and hereby causes its Affiliates to sell, convey, assign, transfer and deliver to, Buyer all right, title, and interest, legal and equitable, of Seller and its Affiliates in and to all of the Acquired Assets, free and clear of any Encumbrance.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2. In accordance with the terms and subject to the conditions set forth in the Purchase Agreement (including Section 2.2.2 thereof), effective as of the Closing, the Buyer hereby accepts all right, title and interest, legal and equitable, in and to all of the Acquired Assets.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 With regard to any Delayed Assigned Contract, the assignment of such Delayed Assigned Contract shall be effective as of the relevant Assignment Date.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4. This Agreement is being executed and delivered pursuant to, and is subject to and shall be governed by the terms and conditions of, the Purchase Agreement. Nothing in this Agreement is intended to or shall be deemed to amend, modify, supplement, or limit in any manner any of the representations, warranties, covenants, agreements, rights, or obligations of Seller and Buyer under the Purchase Agreement. In the event of any conflict between the terms and conditions of this Agreement and the terms and conditions of the Purchase Agreement, the terms and conditions of the Purchase Agreement shall control. This Agreement, the Purchase Agreement and the other Ancillary Agreements constitute the entire agreement between the Parties with respect to the subject matter hereof and thereof and supersede all prior agreements and understandings, both oral and written, between the Parties with respect to the subject matter hereof and thereof.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5. Any notice or other communication required or permitted under this Agreement shall be in writing and deemed to have been duly given if made in accordance with Section 10.4 (Notice) of the Purchase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6. This Agreement shall bind and inure to the benefit of the successors and permitted assigns of the Parties; provided, that this Agreement may only be assigned in connection with a permissible assignment of the Purchase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7. This Agreement hereby incorporates the provisions of Sections 10.2 (Governing Law; Jurisdiction) and 10.3 (Waiver of Jury Trial) of the Purchase Agreement, each of which shall apply to this Agreement as if fully set forth herein, mutatis mutandis.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8. Neither Party shall be bound by or charged with any written or oral agreements, representations, warranties, statements, promises or understandings not specifically set forth in this Agreement or the Purchase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9. No amendment, supplement or other modification to any provision of this Agreement shall be binding unless in writing and signed by both Parties. A Party’s consent to or waiver, express or implied, of the other Party’s breach of its obligations 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10.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11. From time to time after the date of this Agreement, each Party shall execute, acknowledge and deliver such assignments, transfers, consents, assumptions and other documents and instruments and take such other actions as may be necessary or desirable to consummate and make effective the transactions contemplated by this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12. This Agreement may be executed in counterparts by a single Party, each of which when taken together shall constitute one and the same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IN WITNESS WHEREOF, the parties have caused this Agreement to be executed and delivered as of the date first written above.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MILLENIUM PHARMACEUTICALS, INC.</w:t>
      </w:r>
    </w:p>
    <w:p>
      <w:pPr>
        <w:pStyle w:val="TextBody"/>
        <w:bidi w:val="0"/>
        <w:spacing w:before="0" w:after="240"/>
        <w:ind w:left="0" w:right="0" w:firstLine="720"/>
        <w:jc w:val="both"/>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Nenad Grmusa </w:t>
      </w:r>
    </w:p>
    <w:p>
      <w:pPr>
        <w:pStyle w:val="TextBody"/>
        <w:bidi w:val="0"/>
        <w:jc w:val="both"/>
        <w:rPr>
          <w:rFonts w:ascii="Times New Roman" w:hAnsi="Times New Roman"/>
          <w:color w:val="000000"/>
          <w:sz w:val="24"/>
        </w:rPr>
      </w:pPr>
      <w:r>
        <w:rPr>
          <w:rFonts w:ascii="Times New Roman" w:hAnsi="Times New Roman"/>
          <w:color w:val="000000"/>
          <w:sz w:val="24"/>
        </w:rPr>
        <w:t>Name: Nenad Grmusa</w:t>
      </w:r>
    </w:p>
    <w:p>
      <w:pPr>
        <w:pStyle w:val="TextBody"/>
        <w:bidi w:val="0"/>
        <w:ind w:left="3600" w:right="0" w:firstLine="720"/>
        <w:jc w:val="both"/>
        <w:rPr>
          <w:rFonts w:ascii="Times New Roman" w:hAnsi="Times New Roman"/>
          <w:color w:val="000000"/>
          <w:sz w:val="24"/>
        </w:rPr>
      </w:pPr>
      <w:r>
        <w:rPr>
          <w:rFonts w:ascii="Times New Roman" w:hAnsi="Times New Roman"/>
          <w:color w:val="000000"/>
          <w:sz w:val="24"/>
        </w:rPr>
        <w:t>Title: Head, Center for External Innovation</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CALITHERA BIOSCIENCES, INC.</w:t>
      </w:r>
    </w:p>
    <w:p>
      <w:pPr>
        <w:pStyle w:val="TextBody"/>
        <w:bidi w:val="0"/>
        <w:spacing w:before="0" w:after="24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rFonts w:ascii="Times New Roman" w:hAnsi="Times New Roman"/>
          <w:color w:val="000000"/>
          <w:sz w:val="24"/>
        </w:rPr>
      </w:pPr>
      <w:r>
        <w:rPr>
          <w:rFonts w:ascii="Times New Roman" w:hAnsi="Times New Roman"/>
          <w:color w:val="000000"/>
          <w:sz w:val="24"/>
        </w:rPr>
        <w:t>Name:</w:t>
      </w:r>
    </w:p>
    <w:p>
      <w:pPr>
        <w:pStyle w:val="TextBody"/>
        <w:bidi w:val="0"/>
        <w:ind w:left="3600" w:right="0" w:firstLine="720"/>
        <w:jc w:val="both"/>
        <w:rPr>
          <w:rFonts w:ascii="Times New Roman" w:hAnsi="Times New Roman"/>
          <w:color w:val="000000"/>
          <w:sz w:val="24"/>
        </w:rPr>
      </w:pPr>
      <w:r>
        <w:rPr>
          <w:rFonts w:ascii="Times New Roman" w:hAnsi="Times New Roman"/>
          <w:color w:val="000000"/>
          <w:sz w:val="24"/>
        </w:rPr>
        <w:t>Title:</w:t>
      </w:r>
    </w:p>
    <w:p>
      <w:pPr>
        <w:pStyle w:val="TextBody"/>
        <w:bidi w:val="0"/>
        <w:ind w:left="3600" w:right="0" w:firstLine="720"/>
        <w:jc w:val="both"/>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IN WITNESS WHEREOF, the parties have caused this Agreement to be executed and delivered as of the date first written above.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MILLENIUM PHARMACEUTICALS, INC.</w:t>
      </w:r>
    </w:p>
    <w:p>
      <w:pPr>
        <w:pStyle w:val="TextBody"/>
        <w:bidi w:val="0"/>
        <w:spacing w:before="0" w:after="240"/>
        <w:ind w:left="0" w:right="0" w:firstLine="720"/>
        <w:jc w:val="both"/>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rFonts w:ascii="Times New Roman" w:hAnsi="Times New Roman"/>
          <w:color w:val="000000"/>
          <w:sz w:val="24"/>
        </w:rPr>
      </w:pPr>
      <w:r>
        <w:rPr>
          <w:rFonts w:ascii="Times New Roman" w:hAnsi="Times New Roman"/>
          <w:color w:val="000000"/>
          <w:sz w:val="24"/>
        </w:rPr>
        <w:t>Name: Nenad Grmusa</w:t>
      </w:r>
    </w:p>
    <w:p>
      <w:pPr>
        <w:pStyle w:val="TextBody"/>
        <w:bidi w:val="0"/>
        <w:ind w:left="3600" w:right="0" w:firstLine="720"/>
        <w:jc w:val="both"/>
        <w:rPr>
          <w:rFonts w:ascii="Times New Roman" w:hAnsi="Times New Roman"/>
          <w:color w:val="000000"/>
          <w:sz w:val="24"/>
        </w:rPr>
      </w:pPr>
      <w:r>
        <w:rPr>
          <w:rFonts w:ascii="Times New Roman" w:hAnsi="Times New Roman"/>
          <w:color w:val="000000"/>
          <w:sz w:val="24"/>
        </w:rPr>
        <w:t>Title: Head, Center for External Innovation</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CALITHERA BIOSCIENCES, INC.</w:t>
      </w:r>
    </w:p>
    <w:p>
      <w:pPr>
        <w:pStyle w:val="TextBody"/>
        <w:bidi w:val="0"/>
        <w:spacing w:before="0" w:after="24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Susan M. Molineaux </w:t>
      </w:r>
    </w:p>
    <w:p>
      <w:pPr>
        <w:pStyle w:val="TextBody"/>
        <w:bidi w:val="0"/>
        <w:jc w:val="both"/>
        <w:rPr>
          <w:rFonts w:ascii="Times New Roman" w:hAnsi="Times New Roman"/>
          <w:color w:val="000000"/>
          <w:sz w:val="24"/>
        </w:rPr>
      </w:pPr>
      <w:r>
        <w:rPr>
          <w:rFonts w:ascii="Times New Roman" w:hAnsi="Times New Roman"/>
          <w:color w:val="000000"/>
          <w:sz w:val="24"/>
        </w:rPr>
        <w:t>Name: Susan M. Molineaux, Ph.D.</w:t>
      </w:r>
    </w:p>
    <w:p>
      <w:pPr>
        <w:pStyle w:val="TextBody"/>
        <w:bidi w:val="0"/>
        <w:ind w:left="3600" w:right="0" w:firstLine="720"/>
        <w:jc w:val="both"/>
        <w:rPr>
          <w:rFonts w:ascii="Times New Roman" w:hAnsi="Times New Roman"/>
          <w:color w:val="000000"/>
          <w:sz w:val="24"/>
        </w:rPr>
      </w:pPr>
      <w:r>
        <w:rPr>
          <w:rFonts w:ascii="Times New Roman" w:hAnsi="Times New Roman"/>
          <w:color w:val="000000"/>
          <w:sz w:val="24"/>
        </w:rPr>
        <w:t>Title: President and Chief Executive Officer</w:t>
      </w:r>
    </w:p>
    <w:p>
      <w:pPr>
        <w:pStyle w:val="TextBody"/>
        <w:bidi w:val="0"/>
        <w:spacing w:before="0" w:after="240"/>
        <w:ind w:left="0" w:right="0" w:firstLine="720"/>
        <w:jc w:val="both"/>
        <w:rPr/>
      </w:pPr>
      <w:r>
        <w:rPr/>
        <w:t> </w:t>
      </w:r>
    </w:p>
    <w:p>
      <w:pPr>
        <w:pStyle w:val="TextBody"/>
        <w:bidi w:val="0"/>
        <w:ind w:left="0" w:right="0" w:firstLine="720"/>
        <w:jc w:val="righ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Patent Assignment Agreement</w:t>
      </w:r>
    </w:p>
    <w:p>
      <w:pPr>
        <w:pStyle w:val="TextBody"/>
        <w:bidi w:val="0"/>
        <w:jc w:val="left"/>
        <w:rPr/>
      </w:pPr>
      <w:r>
        <w:rPr/>
        <w:t> </w:t>
      </w:r>
    </w:p>
    <w:p>
      <w:pPr>
        <w:pStyle w:val="TextBody"/>
        <w:bidi w:val="0"/>
        <w:jc w:val="left"/>
        <w:rPr/>
      </w:pPr>
      <w:r>
        <w:rPr/>
        <w:t> </w:t>
      </w:r>
    </w:p>
    <w:p>
      <w:pPr>
        <w:pStyle w:val="TextBody"/>
        <w:bidi w:val="0"/>
        <w:spacing w:before="0" w:after="48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See Attached</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pPr>
      <w:r>
        <w:rPr/>
        <w:t> </w:t>
      </w:r>
    </w:p>
    <w:p>
      <w:pPr>
        <w:pStyle w:val="TextBody"/>
        <w:bidi w:val="0"/>
        <w:spacing w:before="0" w:after="360"/>
        <w:jc w:val="center"/>
        <w:rPr>
          <w:rFonts w:ascii="Times New Roman" w:hAnsi="Times New Roman"/>
          <w:b/>
          <w:color w:val="000000"/>
          <w:sz w:val="22"/>
          <w:u w:val="single"/>
        </w:rPr>
      </w:pPr>
      <w:r>
        <w:rPr>
          <w:rFonts w:ascii="Times New Roman" w:hAnsi="Times New Roman"/>
          <w:b/>
          <w:color w:val="000000"/>
          <w:sz w:val="22"/>
          <w:u w:val="single"/>
        </w:rPr>
        <w:t>PATENT ASSIGNMENT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This PATENT ASSIGNMENT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and entered into as of October 18, 2021, between Takeda Pharmaceutical Company Limited, a company incorporated under the laws of Japan (“</w:t>
      </w:r>
      <w:r>
        <w:rPr>
          <w:rFonts w:ascii="Times New Roman" w:hAnsi="Times New Roman"/>
          <w:b/>
          <w:color w:val="000000"/>
          <w:sz w:val="22"/>
        </w:rPr>
        <w:t>Takeda</w:t>
      </w:r>
      <w:r>
        <w:rPr>
          <w:rFonts w:ascii="Times New Roman" w:hAnsi="Times New Roman"/>
          <w:color w:val="000000"/>
          <w:sz w:val="20"/>
        </w:rPr>
        <w:t>”</w:t>
      </w:r>
      <w:r>
        <w:rPr>
          <w:rFonts w:ascii="Times New Roman" w:hAnsi="Times New Roman"/>
          <w:color w:val="000000"/>
          <w:sz w:val="22"/>
        </w:rPr>
        <w:t>) and the parent of Millennium Pharmaceuticals, Inc. (“</w:t>
      </w:r>
      <w:r>
        <w:rPr>
          <w:rFonts w:ascii="Times New Roman" w:hAnsi="Times New Roman"/>
          <w:b/>
          <w:color w:val="000000"/>
          <w:sz w:val="22"/>
        </w:rPr>
        <w:t>Seller</w:t>
      </w:r>
      <w:r>
        <w:rPr>
          <w:rFonts w:ascii="Times New Roman" w:hAnsi="Times New Roman"/>
          <w:color w:val="000000"/>
          <w:sz w:val="20"/>
        </w:rPr>
        <w:t>”</w:t>
      </w:r>
      <w:r>
        <w:rPr>
          <w:rFonts w:ascii="Times New Roman" w:hAnsi="Times New Roman"/>
          <w:color w:val="000000"/>
          <w:sz w:val="22"/>
        </w:rPr>
        <w:t>), and Calithera Biosciences, Inc., a Delaware corporation. (“</w:t>
      </w:r>
      <w:r>
        <w:rPr>
          <w:rFonts w:ascii="Times New Roman" w:hAnsi="Times New Roman"/>
          <w:b/>
          <w:color w:val="000000"/>
          <w:sz w:val="22"/>
        </w:rPr>
        <w:t>Buyer</w:t>
      </w:r>
      <w:r>
        <w:rPr>
          <w:rFonts w:ascii="Times New Roman" w:hAnsi="Times New Roman"/>
          <w:color w:val="000000"/>
          <w:sz w:val="20"/>
        </w:rPr>
        <w:t>”</w:t>
      </w:r>
      <w:r>
        <w:rPr>
          <w:rFonts w:ascii="Times New Roman" w:hAnsi="Times New Roman"/>
          <w:color w:val="000000"/>
          <w:sz w:val="22"/>
        </w:rPr>
        <w:t>). Capitalized terms used but not defined in this Agreement shall have the respective meanings set forth in the Purchase Agreement (as defined below).</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Seller and Buyer entered into that certain Asset Purchase Agreement, dated October 18, 2021 (the “</w:t>
      </w:r>
      <w:r>
        <w:rPr>
          <w:rFonts w:ascii="Times New Roman" w:hAnsi="Times New Roman"/>
          <w:b/>
          <w:color w:val="000000"/>
          <w:sz w:val="22"/>
        </w:rPr>
        <w:t>Purchase Agreement</w:t>
      </w:r>
      <w:r>
        <w:rPr>
          <w:rFonts w:ascii="Times New Roman" w:hAnsi="Times New Roman"/>
          <w:color w:val="000000"/>
          <w:sz w:val="20"/>
        </w:rPr>
        <w:t>”</w:t>
      </w:r>
      <w:r>
        <w:rPr>
          <w:rFonts w:ascii="Times New Roman" w:hAnsi="Times New Roman"/>
          <w:color w:val="000000"/>
          <w:sz w:val="22"/>
        </w:rPr>
        <w:t>), pursuant to which, among other things, Seller has agreed to enter into this Agreement (or to cause its Affiliate to enter into this Agreement) in order to assign to Buyer, Seller’s and its Affiliates’ right, title and interest to the Transferred Patent Rights (as defined below).</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in connection with the consummation of the transactions contemplated by the Purchase Agreement, Takeda, on behalf of itself and Seller, desires to assign its and its Affiliates’ right, title and interest to the Transferred Patent Rights (as defined below) to Buyer, and Buyer desires to accept such assignment and assume the obligations of Buyer under the Transferred Patent Rights (as defined below).</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premises and the mutual covenants, representations and warranties herein contained, and for other good and valuable consideration, the receipt and sufficiency of which are hereby mutually acknowledged, the Parties hereby agree as follows: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1. In accordance with the terms and subject to the conditions set forth in the. Purchase Agreement (including Sections 2.2.1(c) and 2.2.2(b) thereof), effective as of the Closing, Takeda on behalf of itself and Seller hereby sells, assigns, transfers, conveys and delivers to, and hereby causes its Affiliates to sell, convey, assign, transfer and deliver to, Buyer all of Takeda’s and its Affiliates’ (including Seller’s) right, title and interest in and to those Patent Rights listed on Schedule 1 hereto, including the right to claim priority from the same in the United States and all foreign counties, and to claim the priority from the same as provided by the Paris Convention, together in each case with all registrations, applications therefor, patents (as applicable) issuing from any applications therefor, and renewals and extensions of the foregoing in the United States and for all foreign countries that are or may be secured under the laws of the United States and all foreign countries, including any division, renewal, continuation in whole or in part, substitution, conversion, reissue, reexamination, prolongation or extension thereof, now or hereafter in effect, for Buyer’s own use and enjoyment as fully and entirely as the same would have been held and enjoyed by Takeda, Seller or any of their Affiliates if this assignment and sale had not been made, together with all income, royalties or payments due or payable as of the date of this Agreement or thereafter, including all claims for damages by reason of past, present or future infringement, misappropriation or other unauthorized use of such patents with the right to sue for and collect the same for Buyer’s own use and enjoyment (collectively, the “</w:t>
      </w:r>
      <w:r>
        <w:rPr>
          <w:rFonts w:ascii="Times New Roman" w:hAnsi="Times New Roman"/>
          <w:b/>
          <w:color w:val="000000"/>
          <w:sz w:val="22"/>
        </w:rPr>
        <w:t>Transferred Patent Rights</w:t>
      </w:r>
      <w:r>
        <w:rPr>
          <w:rFonts w:ascii="Times New Roman" w:hAnsi="Times New Roman"/>
          <w:color w:val="000000"/>
          <w:sz w:val="20"/>
        </w:rPr>
        <w:t>”</w:t>
      </w:r>
      <w:r>
        <w:rPr>
          <w:rFonts w:ascii="Times New Roman" w:hAnsi="Times New Roman"/>
          <w:color w:val="000000"/>
          <w:sz w:val="22"/>
        </w:rPr>
        <w:t>). Takeda on behalf of itself and its Affiliates hereby waives and agrees not to enforce any rights of attribution and integrity and other moral rights Takeda or any of its Affiliates may have in the Transferred Patent Rights.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 Takeda on behalf of itself and its Affiliates hereby authorizes and requests the United States Commissioner of Patents and Trademarks and any other applicable government authority to record Buyer as the buyer and owner of the Transferred Patent Rights, and issue any and all registrations thereon to Buyer, as buyer of Seller’s and its Affiliates’ right, title and interest in, to and under the same, for the sole use and enjoyment of Buyer.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 Following the date hereof, upon Buyer’s reasonable request, and at Buyer’s cost and expense, Takeda shall, and shall cause its Affiliates to, take such reasonable steps and actions, and provide such reasonable cooperation and assistance to Buyer and its successors, assigns, and legal representatives, including the execution and delivery of any affidavits, declarations, oaths, exhibits, assignments, or other documents, as may be reasonably necessary to effect, evidence or perfect the assignment of the Transferred Patent Rights to Buyer or any assignee or successor thereto.</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4. This Agreement is being executed and delivered pursuant to, and is subject to and shall be governed by the terms and conditions of, the Purchase Agreement. Nothing in this Agreement is intended to or shall be deemed to amend, modify, supplement, or limit in any manner any of the representations, warranties, covenants, agreements, rights, or obligations of Seller and Buyer under the Purchase Agreement. In the event of any conflict between the terms and conditions of this Agreement and the. terms and conditions of the Purchase Agreement, the terms and conditions of the Purchase Agreement shall control. This Agreement, the Purchase Agreement and the other Ancillary Agreements constitute the entire agreement between the parties hereto or thereto with respect to the subject matter hereof or thereof and supersede all prior agreements and understandings, both oral and written, between the parties hereto or thereto with respect to the subject matter hereof or thereof.</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5. Any notice or other communication required or permitted under this Agreement shall be in writing and deemed to have been duly given if made in accordance with Section 10.4 (Notice) of the Purchase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6. This Agreement shall bind and inure to the benefit of the successors and permitted assigns of the parties hereto; provided, that this Agreement may only be assigned in connection with a permissible assignment of the Purchase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7. This Agreement hereby incorporates the provisions of Sections 10.2 (Governing Law; Jurisdiction) and 103 (Waiver of Jury Trial) of the Purchase Agreement, each of which shall apply to this Agreement as if fully set forth herein, mutatis mutandis.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8. Neither Party shall be bound by or charged with any written or oral agreements, representations, warranties, statements, promises or understandings not specifically set forth in this Agreement or in the Purchase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9. No amendment, supplement or other modification to any provision of this Agreement shall be binding unless in writing and signed by both parties. A party’s consent to or waiver, express or implied, of the other party’s breach of its obligations hereunder shall not he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10.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11. From time to time after the date of this Agreement, each party (and Seller or its Affiliates, as applicable) shall execute, acknowledge and deliver such assignments, transfers, consents, assumptions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other documents and instruments and take such other actions as may be necessary or desirable to consummate and make effective the transactions contemplated hy this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12. This Agreement may be executed in counterparts by a single party, each of which when taken together shall constitute one and the same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IN WITNESS WHEREOF, the undersigned have executed this Patent Assignment Agreement as of the date first set forth above.</w:t>
      </w:r>
    </w:p>
    <w:p>
      <w:pPr>
        <w:pStyle w:val="TextBody"/>
        <w:bidi w:val="0"/>
        <w:ind w:left="4140" w:right="0" w:hanging="0"/>
        <w:jc w:val="left"/>
        <w:rPr>
          <w:rFonts w:ascii="Times New Roman" w:hAnsi="Times New Roman"/>
          <w:color w:val="000000"/>
          <w:sz w:val="22"/>
        </w:rPr>
      </w:pPr>
      <w:r>
        <w:rPr>
          <w:rFonts w:ascii="Times New Roman" w:hAnsi="Times New Roman"/>
          <w:color w:val="000000"/>
          <w:sz w:val="22"/>
        </w:rPr>
        <w:t>TAKEDA PHARMACEUTICAL COMPANY LIMITED</w:t>
      </w:r>
    </w:p>
    <w:p>
      <w:pPr>
        <w:pStyle w:val="TextBody"/>
        <w:bidi w:val="0"/>
        <w:spacing w:before="600" w:after="283"/>
        <w:ind w:left="41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i/>
          <w:color w:val="000000"/>
          <w:sz w:val="22"/>
          <w:u w:val="single"/>
        </w:rPr>
        <w:t>/s/ Masanori Sato</w:t>
      </w:r>
      <w:r>
        <w:rPr>
          <w:rFonts w:ascii="Times New Roman" w:hAnsi="Times New Roman"/>
          <w:color w:val="000000"/>
          <w:sz w:val="20"/>
          <w:u w:val="single"/>
        </w:rPr>
        <w:t xml:space="preserve"> </w:t>
      </w:r>
    </w:p>
    <w:p>
      <w:pPr>
        <w:pStyle w:val="TextBody"/>
        <w:bidi w:val="0"/>
        <w:ind w:left="4140" w:right="0" w:hanging="0"/>
        <w:jc w:val="left"/>
        <w:rPr>
          <w:rFonts w:ascii="Times New Roman" w:hAnsi="Times New Roman"/>
          <w:color w:val="000000"/>
          <w:sz w:val="22"/>
        </w:rPr>
      </w:pPr>
      <w:r>
        <w:rPr>
          <w:rFonts w:ascii="Times New Roman" w:hAnsi="Times New Roman"/>
          <w:color w:val="000000"/>
          <w:sz w:val="22"/>
        </w:rPr>
        <w:t>Name: Masanori Sato</w:t>
      </w:r>
    </w:p>
    <w:p>
      <w:pPr>
        <w:pStyle w:val="TextBody"/>
        <w:bidi w:val="0"/>
        <w:ind w:left="4140" w:right="0" w:hanging="0"/>
        <w:jc w:val="left"/>
        <w:rPr>
          <w:rFonts w:ascii="Times New Roman" w:hAnsi="Times New Roman"/>
          <w:color w:val="000000"/>
          <w:sz w:val="22"/>
        </w:rPr>
      </w:pPr>
      <w:r>
        <w:rPr>
          <w:rFonts w:ascii="Times New Roman" w:hAnsi="Times New Roman"/>
          <w:color w:val="000000"/>
          <w:sz w:val="22"/>
        </w:rPr>
        <w:t>Title: Head, Center for External Innovation Japan/APAC</w:t>
      </w:r>
    </w:p>
    <w:p>
      <w:pPr>
        <w:pStyle w:val="TextBody"/>
        <w:bidi w:val="0"/>
        <w:spacing w:before="720" w:after="283"/>
        <w:ind w:left="4140" w:right="0" w:hanging="0"/>
        <w:jc w:val="left"/>
        <w:rPr>
          <w:rFonts w:ascii="Times New Roman" w:hAnsi="Times New Roman"/>
          <w:color w:val="000000"/>
          <w:sz w:val="22"/>
        </w:rPr>
      </w:pPr>
      <w:r>
        <w:rPr>
          <w:rFonts w:ascii="Times New Roman" w:hAnsi="Times New Roman"/>
          <w:color w:val="000000"/>
          <w:sz w:val="22"/>
        </w:rPr>
        <w:t>CALITHERA BIOSCIENCES, INC.</w:t>
      </w:r>
    </w:p>
    <w:p>
      <w:pPr>
        <w:pStyle w:val="TextBody"/>
        <w:bidi w:val="0"/>
        <w:spacing w:before="600" w:after="283"/>
        <w:ind w:left="4140" w:right="0" w:hanging="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i/>
          <w:color w:val="000000"/>
          <w:sz w:val="22"/>
          <w:u w:val="single"/>
        </w:rPr>
        <w:t>/s/ Susan M. Molineaux</w:t>
      </w:r>
      <w:r>
        <w:rPr>
          <w:rFonts w:ascii="Times New Roman" w:hAnsi="Times New Roman"/>
          <w:color w:val="000000"/>
          <w:sz w:val="20"/>
          <w:u w:val="single"/>
        </w:rPr>
        <w:t xml:space="preserve"> </w:t>
      </w:r>
    </w:p>
    <w:p>
      <w:pPr>
        <w:pStyle w:val="TextBody"/>
        <w:bidi w:val="0"/>
        <w:ind w:left="4140" w:right="0" w:hanging="0"/>
        <w:jc w:val="left"/>
        <w:rPr>
          <w:rFonts w:ascii="Times New Roman" w:hAnsi="Times New Roman"/>
          <w:color w:val="000000"/>
          <w:sz w:val="22"/>
        </w:rPr>
      </w:pPr>
      <w:r>
        <w:rPr>
          <w:rFonts w:ascii="Times New Roman" w:hAnsi="Times New Roman"/>
          <w:color w:val="000000"/>
          <w:sz w:val="22"/>
        </w:rPr>
        <w:t>Name: Susan M. Molineaux, Ph.D.</w:t>
      </w:r>
    </w:p>
    <w:p>
      <w:pPr>
        <w:pStyle w:val="TextBody"/>
        <w:bidi w:val="0"/>
        <w:ind w:left="4140" w:right="0" w:hanging="0"/>
        <w:jc w:val="left"/>
        <w:rPr>
          <w:rFonts w:ascii="Times New Roman" w:hAnsi="Times New Roman"/>
          <w:color w:val="000000"/>
          <w:sz w:val="22"/>
        </w:rPr>
      </w:pPr>
      <w:r>
        <w:rPr>
          <w:rFonts w:ascii="Times New Roman" w:hAnsi="Times New Roman"/>
          <w:color w:val="000000"/>
          <w:sz w:val="22"/>
        </w:rPr>
        <w:t>Title: President and 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Transferred Patent Rights</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jc w:val="center"/>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C</w:t>
      </w:r>
    </w:p>
    <w:p>
      <w:pPr>
        <w:pStyle w:val="TextBody"/>
        <w:bidi w:val="0"/>
        <w:spacing w:before="0" w:after="360"/>
        <w:jc w:val="center"/>
        <w:rPr>
          <w:rFonts w:ascii="Times New Roman" w:hAnsi="Times New Roman"/>
          <w:b/>
          <w:color w:val="000000"/>
          <w:sz w:val="22"/>
          <w:u w:val="single"/>
        </w:rPr>
      </w:pPr>
      <w:r>
        <w:rPr>
          <w:rFonts w:ascii="Times New Roman" w:hAnsi="Times New Roman"/>
          <w:b/>
          <w:color w:val="000000"/>
          <w:sz w:val="22"/>
          <w:u w:val="single"/>
        </w:rPr>
        <w:t>Press Release</w:t>
      </w:r>
    </w:p>
    <w:p>
      <w:pPr>
        <w:pStyle w:val="TextBody"/>
        <w:bidi w:val="0"/>
        <w:spacing w:before="0" w:after="240"/>
        <w:jc w:val="center"/>
        <w:rPr>
          <w:rFonts w:ascii="sans-serif" w:hAnsi="sans-serif"/>
          <w:b/>
          <w:color w:val="000000"/>
          <w:sz w:val="24"/>
        </w:rPr>
      </w:pPr>
      <w:r>
        <w:rPr>
          <w:rFonts w:ascii="sans-serif" w:hAnsi="sans-serif"/>
          <w:b/>
          <w:color w:val="000000"/>
          <w:sz w:val="24"/>
        </w:rPr>
        <w:t>Calithera Expands Oncology Pipeline with Acquisition of Two Clinical-Stage Assets from Takeda Pharmaceuticals</w:t>
      </w:r>
    </w:p>
    <w:p>
      <w:pPr>
        <w:pStyle w:val="TextBody"/>
        <w:bidi w:val="0"/>
        <w:spacing w:before="0" w:after="240"/>
        <w:jc w:val="center"/>
        <w:rPr>
          <w:rFonts w:ascii="sans-serif" w:hAnsi="sans-serif"/>
          <w:i/>
          <w:color w:val="000000"/>
          <w:sz w:val="24"/>
        </w:rPr>
      </w:pPr>
      <w:r>
        <w:rPr>
          <w:rFonts w:ascii="sans-serif" w:hAnsi="sans-serif"/>
          <w:i/>
          <w:color w:val="000000"/>
          <w:sz w:val="24"/>
        </w:rPr>
        <w:t xml:space="preserve">- TORC 1/2 inhibitor sapanisertib and SYK inhibitor mivavotinib strengthen Company’s </w:t>
        <w:br/>
        <w:t>precision oncology pipeline</w:t>
      </w:r>
    </w:p>
    <w:p>
      <w:pPr>
        <w:pStyle w:val="TextBody"/>
        <w:bidi w:val="0"/>
        <w:spacing w:before="0" w:after="240"/>
        <w:jc w:val="center"/>
        <w:rPr>
          <w:rFonts w:ascii="sans-serif" w:hAnsi="sans-serif"/>
          <w:i/>
          <w:color w:val="000000"/>
          <w:sz w:val="24"/>
        </w:rPr>
      </w:pPr>
      <w:r>
        <w:rPr>
          <w:rFonts w:ascii="sans-serif" w:hAnsi="sans-serif"/>
          <w:i/>
          <w:color w:val="000000"/>
          <w:sz w:val="24"/>
        </w:rPr>
        <w:t>- Calithera will initiate Phase 2 clinical trials of sapanisertib and mivavotinib in 2022</w:t>
      </w:r>
    </w:p>
    <w:p>
      <w:pPr>
        <w:pStyle w:val="TextBody"/>
        <w:bidi w:val="0"/>
        <w:spacing w:before="0" w:after="480"/>
        <w:jc w:val="center"/>
        <w:rPr>
          <w:rFonts w:ascii="sans-serif" w:hAnsi="sans-serif"/>
          <w:i/>
          <w:color w:val="000000"/>
          <w:sz w:val="24"/>
        </w:rPr>
      </w:pPr>
      <w:r>
        <w:rPr>
          <w:rFonts w:ascii="sans-serif" w:hAnsi="sans-serif"/>
          <w:i/>
          <w:color w:val="000000"/>
          <w:sz w:val="24"/>
        </w:rPr>
        <w:t>- Calithera to host webcast and conference call today at 5:30 p.m. ET / 2:30 p.m. PT</w:t>
      </w:r>
    </w:p>
    <w:p>
      <w:pPr>
        <w:pStyle w:val="TextBody"/>
        <w:bidi w:val="0"/>
        <w:spacing w:before="0" w:after="240"/>
        <w:jc w:val="left"/>
        <w:rPr>
          <w:rFonts w:ascii="Times New Roman" w:hAnsi="Times New Roman"/>
          <w:sz w:val="20"/>
        </w:rPr>
      </w:pPr>
      <w:r>
        <w:rPr>
          <w:rFonts w:ascii="sans-serif" w:hAnsi="sans-serif"/>
          <w:b/>
          <w:color w:val="000000"/>
          <w:sz w:val="22"/>
        </w:rPr>
        <w:t>SOUTH SAN FRANCISCO, Calif., October 18, 2021</w:t>
      </w:r>
      <w:r>
        <w:rPr>
          <w:rFonts w:ascii="Times New Roman" w:hAnsi="Times New Roman"/>
          <w:color w:val="000000"/>
          <w:sz w:val="20"/>
        </w:rPr>
        <w:t xml:space="preserve"> </w:t>
      </w:r>
      <w:r>
        <w:rPr>
          <w:rFonts w:ascii="sans-serif" w:hAnsi="sans-serif"/>
          <w:color w:val="000000"/>
          <w:sz w:val="22"/>
        </w:rPr>
        <w:t>(GLOBE NEWSWIRE) – Calithera Biosciences, Inc. (Nasdaq: CALA), a clinical-stage, precision oncology biopharmaceutical company, today announced an agreement with Takeda Pharmaceutical Company Limited (“Takeda”) to acquire two clinical-stage compounds, both of which have demonstrated single-agent clinical activity with the greatest potential in biomarker-defined cancer-patient populations. The compounds, sapanisertib (CB-228, formerly TAK-228) and mivavotinib (CB-659, formerly TAK-659), further strengthen Calithera’s pipeline of clinical-stage targeted therapies.</w:t>
      </w:r>
    </w:p>
    <w:p>
      <w:pPr>
        <w:pStyle w:val="TextBody"/>
        <w:bidi w:val="0"/>
        <w:spacing w:before="0" w:after="240"/>
        <w:jc w:val="left"/>
        <w:rPr>
          <w:color w:val="000000"/>
        </w:rPr>
      </w:pPr>
      <w:r>
        <w:rPr>
          <w:color w:val="000000"/>
        </w:rPr>
        <w:t>“</w:t>
      </w:r>
      <w:r>
        <w:rPr>
          <w:rFonts w:ascii="sans-serif" w:hAnsi="sans-serif"/>
          <w:color w:val="000000"/>
          <w:sz w:val="22"/>
        </w:rPr>
        <w:t>We believe that these clinical-stage compounds are an excellent complement to our, internally-developed pipeline programs, and fit well with our current strategic focus on biomarker-driven therapeutic approaches. We are encouraged by the promising single-agent clinical data that suggest these investigational therapies could help to transform treatment for multiple cancer patient populations with high unmet need,” said Susan Molineaux, PhD, president and chief executive officer of Calithera. “Specifically, sapanisertib has the potential to be the first targeted treatment for patients with NRF2-mutated squamous non-small cell lung cancer. We have learned a great deal about the unmet medical need of patients with KEAP1/NRF2 mutations, as well as how to identify and recruit these patients during the conduct of our KEAPSAKE trial, evaluating telaglenastat. This complementary approach in KEAP1/NRF2-mutant squamous NSCLC demonstrates our commitment to these patients and the pathway.</w:t>
      </w:r>
    </w:p>
    <w:p>
      <w:pPr>
        <w:pStyle w:val="TextBody"/>
        <w:bidi w:val="0"/>
        <w:spacing w:before="0" w:after="240"/>
        <w:jc w:val="left"/>
        <w:rPr>
          <w:color w:val="000000"/>
        </w:rPr>
      </w:pPr>
      <w:r>
        <w:rPr>
          <w:color w:val="000000"/>
        </w:rPr>
        <w:t>“</w:t>
      </w:r>
      <w:r>
        <w:rPr>
          <w:rFonts w:ascii="sans-serif" w:hAnsi="sans-serif"/>
          <w:color w:val="000000"/>
          <w:sz w:val="22"/>
        </w:rPr>
        <w:t>Additionally, mivavotinib has the potential to be a best-in-class SYK inhibitor in non-Hodgkin’s lymphoma, as well as a first-to-market approach for patients with diffuse large B-cell lymphoma whose tumors harbor MyD88 and/or CD79 mutations.”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left"/>
        <w:rPr>
          <w:color w:val="000000"/>
        </w:rPr>
      </w:pPr>
      <w:r>
        <w:rPr>
          <w:color w:val="000000"/>
        </w:rPr>
        <w:t>“</w:t>
      </w:r>
      <w:r>
        <w:rPr>
          <w:rFonts w:ascii="sans-serif" w:hAnsi="sans-serif"/>
          <w:color w:val="000000"/>
          <w:sz w:val="22"/>
        </w:rPr>
        <w:t>We plan to star a clinical trial in squamous NSCLC with sapanisertib and a clinical trial n DLBCL with mivavotinib, both in biomarker specific populations, and generate data in the next 12 tc 18 months that will define the clinical development and potential regulatory approval paths for both of these compounds.”</w:t>
      </w:r>
    </w:p>
    <w:p>
      <w:pPr>
        <w:pStyle w:val="TextBody"/>
        <w:bidi w:val="0"/>
        <w:spacing w:before="0" w:after="240"/>
        <w:jc w:val="left"/>
        <w:rPr>
          <w:rFonts w:ascii="sans-serif" w:hAnsi="sans-serif"/>
          <w:color w:val="000000"/>
          <w:sz w:val="22"/>
        </w:rPr>
      </w:pPr>
      <w:r>
        <w:rPr>
          <w:rFonts w:ascii="sans-serif" w:hAnsi="sans-serif"/>
          <w:color w:val="000000"/>
          <w:sz w:val="22"/>
        </w:rPr>
        <w:t>The terms of the transaction include a total upfront cash payment to Takeda of $10 million and $35 million issued to Takeda in Calithera Series A preferred stock. Additionally, Takeda will to eligible to receive from Calithera clinical development, regulatory and sales milestone payments across both programs. Calithera will pay tiered royalties of high single-digits to low teens on future net sales should these candidates achieve regulatory approvals and subsequent commercial availability.</w:t>
      </w:r>
    </w:p>
    <w:p>
      <w:pPr>
        <w:pStyle w:val="TextBody"/>
        <w:bidi w:val="0"/>
        <w:spacing w:before="0" w:after="240"/>
        <w:jc w:val="left"/>
        <w:rPr>
          <w:color w:val="000000"/>
        </w:rPr>
      </w:pPr>
      <w:r>
        <w:rPr>
          <w:color w:val="000000"/>
        </w:rPr>
        <w:t>“</w:t>
      </w:r>
      <w:r>
        <w:rPr>
          <w:rFonts w:ascii="sans-serif" w:hAnsi="sans-serif"/>
          <w:color w:val="000000"/>
          <w:sz w:val="22"/>
        </w:rPr>
        <w:t>Collaboration is an important aspect of our R&amp;D strategy and at the center of our efforts to deliver new treatment options to patients. We are confident that Calithera, with their highly capable and experienced team, is the ideal partner to resume the development of sapanisertib and mivavotinib, and to maximize their potential to address underserved patient populations,” said Christopher Arendt, Ph.D., head of Oncology Cell Therapy and Therapeutic Area Unit of Takeda. “We look forward to seeing how these programs advance under Calithera’s leadership.”</w:t>
      </w:r>
    </w:p>
    <w:p>
      <w:pPr>
        <w:pStyle w:val="TextBody"/>
        <w:bidi w:val="0"/>
        <w:spacing w:before="0" w:after="240"/>
        <w:jc w:val="left"/>
        <w:rPr>
          <w:rFonts w:ascii="Times New Roman" w:hAnsi="Times New Roman"/>
          <w:sz w:val="20"/>
        </w:rPr>
      </w:pPr>
      <w:r>
        <w:rPr>
          <w:rFonts w:ascii="sans-serif" w:hAnsi="sans-serif"/>
          <w:color w:val="000000"/>
          <w:sz w:val="22"/>
        </w:rPr>
        <w:t xml:space="preserve">Sapanisertib is a dual TORC 1/2 inhibitor that targets a key survival mechanism in KEAP1/NRF2-mutated tumor cells. These mutations are found in a considerable sub-population of patients across multiple solid tumor types. Sapanisertib has demonstrated promising single-agent activity in patients with relapsed/refractory NRF2-mutated squamous non-small cell lung cancer (NSCLC) and exhibits differential anti-tumor activity compared to rapalog inhibitors of TORC1 in NRF2-mutan: squamous NSCLC </w:t>
      </w:r>
      <w:r>
        <w:rPr>
          <w:rFonts w:ascii="sans-serif" w:hAnsi="sans-serif"/>
          <w:i/>
          <w:color w:val="000000"/>
          <w:sz w:val="22"/>
        </w:rPr>
        <w:t>in vivo</w:t>
      </w:r>
      <w:r>
        <w:rPr>
          <w:rFonts w:ascii="Times New Roman" w:hAnsi="Times New Roman"/>
          <w:color w:val="000000"/>
          <w:sz w:val="20"/>
        </w:rPr>
        <w:t xml:space="preserve"> </w:t>
      </w:r>
      <w:r>
        <w:rPr>
          <w:rFonts w:ascii="sans-serif" w:hAnsi="sans-serif"/>
          <w:color w:val="000000"/>
          <w:sz w:val="22"/>
        </w:rPr>
        <w:t>models. A Phase 2 study planned to begin in the first quarter of 2022 will further evaluate sapanisertib as a monotherapy in patients with squamous NSCLC harboring a NRF2 mutation.</w:t>
      </w:r>
    </w:p>
    <w:p>
      <w:pPr>
        <w:pStyle w:val="TextBody"/>
        <w:bidi w:val="0"/>
        <w:spacing w:before="0" w:after="240"/>
        <w:jc w:val="left"/>
        <w:rPr>
          <w:rFonts w:ascii="sans-serif" w:hAnsi="sans-serif"/>
          <w:color w:val="000000"/>
          <w:sz w:val="22"/>
        </w:rPr>
      </w:pPr>
      <w:r>
        <w:rPr>
          <w:rFonts w:ascii="sans-serif" w:hAnsi="sans-serif"/>
          <w:color w:val="000000"/>
          <w:sz w:val="22"/>
        </w:rPr>
        <w:t>Mivavotinib is a SYK inhibitor that targets the constitutively active BCR pathway in many non-Hodgkin’s lymphoma (NHL) cases as well as the constitutively active inflammatory signaling pathway in MyD88 mutated NHL. In early phase studies, mivavotinib showed promising single-agent responses in relapsed/refractory diffuse large B cell lymphoma (OLBCL). In addition, recent preclinical studies have shown enhanced SYK activity and sensitivity to SYK inhibition in DLBCL and other NHLs harboring mutations in MyD88 and/or CD79, which comprise a distinct genetic subset of DLBCL known to have poor outcomes with standard-of-care therapy. Accordingly, Calithera plans to initiate a Phase 2 study of mivavotinib in 2022 for the treatment of patients with DLBCL with and without mutations in MyD88 and CD79. Beyond DLBCL, both preclinical and clinical data support expansion across additional NHL subtypes and other hematologic malignancies as part of long-term plans.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left"/>
        <w:rPr>
          <w:rFonts w:ascii="sans-serif" w:hAnsi="sans-serif"/>
          <w:color w:val="000000"/>
          <w:sz w:val="22"/>
        </w:rPr>
      </w:pPr>
      <w:r>
        <w:rPr>
          <w:rFonts w:ascii="sans-serif" w:hAnsi="sans-serif"/>
          <w:color w:val="000000"/>
          <w:sz w:val="22"/>
        </w:rPr>
        <w:t>More information about sapanisertib and mivavotinib can be found at calithera.com/pipeline.</w:t>
      </w:r>
    </w:p>
    <w:p>
      <w:pPr>
        <w:pStyle w:val="TextBody"/>
        <w:bidi w:val="0"/>
        <w:spacing w:before="0" w:after="240"/>
        <w:jc w:val="left"/>
        <w:rPr>
          <w:rFonts w:ascii="sans-serif" w:hAnsi="sans-serif"/>
          <w:b/>
          <w:color w:val="000000"/>
          <w:sz w:val="22"/>
        </w:rPr>
      </w:pPr>
      <w:r>
        <w:rPr>
          <w:rFonts w:ascii="sans-serif" w:hAnsi="sans-serif"/>
          <w:b/>
          <w:color w:val="000000"/>
          <w:sz w:val="22"/>
        </w:rPr>
        <w:t>Webcast and Conference Call Information</w:t>
      </w:r>
    </w:p>
    <w:p>
      <w:pPr>
        <w:pStyle w:val="TextBody"/>
        <w:bidi w:val="0"/>
        <w:spacing w:before="0" w:after="240"/>
        <w:jc w:val="left"/>
        <w:rPr>
          <w:rFonts w:ascii="Times New Roman" w:hAnsi="Times New Roman"/>
          <w:sz w:val="20"/>
        </w:rPr>
      </w:pPr>
      <w:r>
        <w:rPr>
          <w:rFonts w:ascii="sans-serif" w:hAnsi="sans-serif"/>
          <w:color w:val="000000"/>
          <w:sz w:val="22"/>
        </w:rPr>
        <w:t xml:space="preserve">Calithera will hold a webcast today, Monday, October 18 at 5:30 p.m. Eastern Time / 2:30 p.m. Pacific Time. To access the link to the webcast, which will be broadcast live in listen-only mode, or the subsequent archived recording, visit the Investors section of the Calithera website at </w:t>
      </w:r>
      <w:r>
        <w:rPr>
          <w:rFonts w:ascii="sans-serif" w:hAnsi="sans-serif"/>
          <w:sz w:val="22"/>
        </w:rPr>
        <w:t>www.calithera.com</w:t>
      </w:r>
      <w:r>
        <w:rPr>
          <w:rFonts w:ascii="sans-serif" w:hAnsi="sans-serif"/>
          <w:color w:val="000000"/>
          <w:sz w:val="22"/>
        </w:rPr>
        <w:t>. Alternatively, the call may be accessed by dialing (855) 783-2599 (domestic) or (631) 485-4877 (international) and referring to conference ID 6946687. The webcast will be recorded and available for replay on Calithera’s website for 30 days.</w:t>
      </w:r>
    </w:p>
    <w:p>
      <w:pPr>
        <w:pStyle w:val="TextBody"/>
        <w:bidi w:val="0"/>
        <w:spacing w:before="0" w:after="240"/>
        <w:jc w:val="left"/>
        <w:rPr>
          <w:rFonts w:ascii="sans-serif" w:hAnsi="sans-serif"/>
          <w:b/>
          <w:color w:val="000000"/>
          <w:sz w:val="22"/>
        </w:rPr>
      </w:pPr>
      <w:r>
        <w:rPr>
          <w:rFonts w:ascii="sans-serif" w:hAnsi="sans-serif"/>
          <w:b/>
          <w:color w:val="000000"/>
          <w:sz w:val="22"/>
        </w:rPr>
        <w:t>About Calithera</w:t>
      </w:r>
    </w:p>
    <w:p>
      <w:pPr>
        <w:pStyle w:val="TextBody"/>
        <w:bidi w:val="0"/>
        <w:spacing w:before="0" w:after="240"/>
        <w:jc w:val="left"/>
        <w:rPr>
          <w:rFonts w:ascii="sans-serif" w:hAnsi="sans-serif"/>
          <w:color w:val="000000"/>
          <w:sz w:val="22"/>
        </w:rPr>
      </w:pPr>
      <w:r>
        <w:rPr>
          <w:rFonts w:ascii="sans-serif" w:hAnsi="sans-serif"/>
          <w:color w:val="000000"/>
          <w:sz w:val="22"/>
        </w:rPr>
        <w:t>Calithera Biosciences is a clinical-stage, precision oncology biopharmaceutical company developing targeted therapies to redefine treatment for biomarker-specific patient populations. Driven by a commitment to rigorous science and a passion for improving the lives of people impacted by cancer and other life-threatening diseases, Calithera is advancing a robust pipeline of investigational, small molecule oncology compounds with a biomarker-driven approach that targets genetic vulnerabilities in cancer cells to deliver new therapies for patients suffering from aggressive hematologic and solid tumor cancers for which there are currently limited treatment options.</w:t>
      </w:r>
    </w:p>
    <w:p>
      <w:pPr>
        <w:pStyle w:val="TextBody"/>
        <w:bidi w:val="0"/>
        <w:spacing w:before="0" w:after="240"/>
        <w:jc w:val="left"/>
        <w:rPr>
          <w:rFonts w:ascii="sans-serif" w:hAnsi="sans-serif"/>
          <w:color w:val="000000"/>
          <w:sz w:val="22"/>
        </w:rPr>
      </w:pPr>
      <w:r>
        <w:rPr>
          <w:rFonts w:ascii="sans-serif" w:hAnsi="sans-serif"/>
          <w:color w:val="000000"/>
          <w:sz w:val="22"/>
        </w:rPr>
        <w:t>Calithera is headquartered in South San Francisco, California. For more information about Calithera, please visit www.calithera.com.</w:t>
      </w:r>
    </w:p>
    <w:p>
      <w:pPr>
        <w:pStyle w:val="TextBody"/>
        <w:bidi w:val="0"/>
        <w:spacing w:before="0" w:after="240"/>
        <w:jc w:val="left"/>
        <w:rPr>
          <w:rFonts w:ascii="sans-serif" w:hAnsi="sans-serif"/>
          <w:b/>
          <w:color w:val="000000"/>
          <w:sz w:val="22"/>
        </w:rPr>
      </w:pPr>
      <w:r>
        <w:rPr>
          <w:rFonts w:ascii="sans-serif" w:hAnsi="sans-serif"/>
          <w:b/>
          <w:color w:val="000000"/>
          <w:sz w:val="22"/>
        </w:rPr>
        <w:t>Forward Looking Statements</w:t>
      </w:r>
    </w:p>
    <w:p>
      <w:pPr>
        <w:pStyle w:val="TextBody"/>
        <w:bidi w:val="0"/>
        <w:spacing w:before="0" w:after="240"/>
        <w:jc w:val="left"/>
        <w:rPr>
          <w:rFonts w:ascii="Times New Roman" w:hAnsi="Times New Roman"/>
          <w:sz w:val="20"/>
        </w:rPr>
      </w:pPr>
      <w:r>
        <w:rPr>
          <w:rFonts w:ascii="sans-serif" w:hAnsi="sans-serif"/>
          <w:color w:val="000000"/>
          <w:sz w:val="22"/>
        </w:rPr>
        <w:t>Statements contained in this press release regarding matters that are not historical facts are “forward-looking statements” within the meaning of the Private Securities Litigation Reform Act of 1995. Words such as “may,” “will,” “expect,” “anticipate,” “estimate,” “intend,” “poised” and similar expressions (as well as other words or expressions referencing future events, conditions, or circumstances) are intended to identify forward-looking statements. These statements include those related to Calithera’s clinical trials, the timing and enrollment of the KEAPSAKE, sapanisertib Phase 2 and mivavotinib Phase 2 trials, the payment of future royalties, development, regulatory and sales milestone payments to Takeda, the potential impact and commercialization of sapanisertib for patients with NSCLC and a NRF2/KEAP1 mutation, the potential impact and commercialization of mivavotinib in patients with NEIL with and without mutations in MyD88 and CD79. Because such statements are subject to risks and uncertainties, actual results may differ materially from those expressed or implied by such forward-looking statements. The potential product candidates that Calithera develops may not progress through clinical development or receive required regulatory approvals within expected timelines or at all. In addition, clinical trials may not confirm any safety, potency or other product characteristics described or assumed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left"/>
        <w:rPr>
          <w:rFonts w:ascii="sans-serif" w:hAnsi="sans-serif"/>
          <w:color w:val="000000"/>
          <w:sz w:val="22"/>
        </w:rPr>
      </w:pPr>
      <w:r>
        <w:rPr>
          <w:rFonts w:ascii="sans-serif" w:hAnsi="sans-serif"/>
          <w:color w:val="000000"/>
          <w:sz w:val="22"/>
        </w:rPr>
        <w:t>in this press release. Such product candidates may not be beneficial to patient or be successfully commercialized. The failure to meet expectations with respect to any of the foregoing matters may have a negative effect on Calithera’s stock price. Additional information concerning these and other risk factors affecting Calithera’s business can be found in Calithera’s periodic filings with the Securities and Exchange Commission at .vww.sec.gov. These forward-looking statements are lot guarantees of future performance and speak only as of the date hereof, and, except as required by law, Calithera disclaims any obligation to update these forward-looking statements to reflect future events or circumstances.</w:t>
      </w:r>
    </w:p>
    <w:p>
      <w:pPr>
        <w:pStyle w:val="TextBody"/>
        <w:bidi w:val="0"/>
        <w:spacing w:before="0" w:after="240"/>
        <w:jc w:val="left"/>
        <w:rPr>
          <w:rFonts w:ascii="sans-serif" w:hAnsi="sans-serif"/>
          <w:b/>
          <w:color w:val="000000"/>
          <w:sz w:val="22"/>
        </w:rPr>
      </w:pPr>
      <w:r>
        <w:rPr>
          <w:rFonts w:ascii="sans-serif" w:hAnsi="sans-serif"/>
          <w:b/>
          <w:color w:val="000000"/>
          <w:sz w:val="22"/>
        </w:rPr>
        <w:t>CONTACTS:</w:t>
      </w:r>
    </w:p>
    <w:p>
      <w:pPr>
        <w:pStyle w:val="TextBody"/>
        <w:bidi w:val="0"/>
        <w:spacing w:before="0" w:after="240"/>
        <w:jc w:val="left"/>
        <w:rPr>
          <w:rFonts w:ascii="sans-serif" w:hAnsi="sans-serif"/>
          <w:color w:val="000000"/>
          <w:sz w:val="22"/>
        </w:rPr>
      </w:pPr>
      <w:r>
        <w:rPr>
          <w:rFonts w:ascii="sans-serif" w:hAnsi="sans-serif"/>
          <w:color w:val="000000"/>
          <w:sz w:val="22"/>
        </w:rPr>
        <w:t>Stephanie Wong</w:t>
        <w:br/>
        <w:t>Chief Financial Officer</w:t>
        <w:br/>
        <w:t>(650) 870-1063</w:t>
        <w:br/>
        <w:t>ir@Calithera.com</w:t>
      </w:r>
    </w:p>
    <w:p>
      <w:pPr>
        <w:pStyle w:val="TextBody"/>
        <w:bidi w:val="0"/>
        <w:spacing w:before="0" w:after="240"/>
        <w:jc w:val="left"/>
        <w:rPr>
          <w:rFonts w:ascii="sans-serif" w:hAnsi="sans-serif"/>
          <w:b/>
          <w:color w:val="000000"/>
          <w:sz w:val="22"/>
        </w:rPr>
      </w:pPr>
      <w:r>
        <w:rPr>
          <w:rFonts w:ascii="sans-serif" w:hAnsi="sans-serif"/>
          <w:b/>
          <w:color w:val="000000"/>
          <w:sz w:val="22"/>
        </w:rPr>
        <w:t>Media</w:t>
      </w:r>
    </w:p>
    <w:p>
      <w:pPr>
        <w:pStyle w:val="TextBody"/>
        <w:bidi w:val="0"/>
        <w:spacing w:before="0" w:after="240"/>
        <w:jc w:val="left"/>
        <w:rPr>
          <w:rFonts w:ascii="sans-serif" w:hAnsi="sans-serif"/>
          <w:color w:val="000000"/>
          <w:sz w:val="22"/>
        </w:rPr>
      </w:pPr>
      <w:r>
        <w:rPr>
          <w:rFonts w:ascii="sans-serif" w:hAnsi="sans-serif"/>
          <w:color w:val="000000"/>
          <w:sz w:val="22"/>
        </w:rPr>
        <w:t>Sam Brown, Inc.</w:t>
        <w:br/>
        <w:t>Audra Friis</w:t>
        <w:br/>
        <w:t>(917) 519-9577</w:t>
        <w:br/>
        <w:t>audrafriis@sambrown.com</w:t>
      </w:r>
    </w:p>
    <w:p>
      <w:pPr>
        <w:pStyle w:val="TextBody"/>
        <w:bidi w:val="0"/>
        <w:spacing w:before="0" w:after="240"/>
        <w:jc w:val="left"/>
        <w:rPr>
          <w:rFonts w:ascii="sans-serif" w:hAnsi="sans-serif"/>
          <w:b/>
          <w:color w:val="000000"/>
          <w:sz w:val="22"/>
        </w:rPr>
      </w:pPr>
      <w:r>
        <w:rPr>
          <w:rFonts w:ascii="sans-serif" w:hAnsi="sans-serif"/>
          <w:b/>
          <w:color w:val="000000"/>
          <w:sz w:val="22"/>
        </w:rPr>
        <w:t>Investors</w:t>
      </w:r>
    </w:p>
    <w:p>
      <w:pPr>
        <w:pStyle w:val="TextBody"/>
        <w:bidi w:val="0"/>
        <w:spacing w:before="0" w:after="240"/>
        <w:jc w:val="left"/>
        <w:rPr>
          <w:rFonts w:ascii="sans-serif" w:hAnsi="sans-serif"/>
          <w:color w:val="000000"/>
          <w:sz w:val="22"/>
        </w:rPr>
      </w:pPr>
      <w:r>
        <w:rPr>
          <w:rFonts w:ascii="sans-serif" w:hAnsi="sans-serif"/>
          <w:color w:val="000000"/>
          <w:sz w:val="22"/>
        </w:rPr>
        <w:t>Burns McClellan</w:t>
        <w:br/>
        <w:t>Lee Roth</w:t>
        <w:br/>
        <w:t>212.213.0006</w:t>
        <w:br/>
        <w:t>Iroth@burnsmc.com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D</w:t>
      </w:r>
    </w:p>
    <w:p>
      <w:pPr>
        <w:pStyle w:val="TextBody"/>
        <w:bidi w:val="0"/>
        <w:spacing w:before="0" w:after="360"/>
        <w:jc w:val="center"/>
        <w:rPr>
          <w:rFonts w:ascii="Times New Roman" w:hAnsi="Times New Roman"/>
          <w:b/>
          <w:color w:val="000000"/>
          <w:sz w:val="22"/>
          <w:u w:val="single"/>
        </w:rPr>
      </w:pPr>
      <w:r>
        <w:rPr>
          <w:rFonts w:ascii="Times New Roman" w:hAnsi="Times New Roman"/>
          <w:b/>
          <w:color w:val="000000"/>
          <w:sz w:val="22"/>
          <w:u w:val="single"/>
        </w:rPr>
        <w:t>Disclosure Schedules</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r>
        <w:rPr>
          <w:rFonts w:ascii="Times New Roman" w:hAnsi="Times New Roman"/>
          <w:color w:val="7F7F7F"/>
          <w:sz w:val="20"/>
        </w:rPr>
        <w:t>Exhibit 10.21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E</w:t>
      </w:r>
    </w:p>
    <w:p>
      <w:pPr>
        <w:pStyle w:val="TextBody"/>
        <w:bidi w:val="0"/>
        <w:spacing w:before="0" w:after="720"/>
        <w:jc w:val="center"/>
        <w:rPr>
          <w:rFonts w:ascii="Times New Roman" w:hAnsi="Times New Roman"/>
          <w:b/>
          <w:color w:val="000000"/>
          <w:sz w:val="22"/>
          <w:u w:val="single"/>
        </w:rPr>
      </w:pPr>
      <w:r>
        <w:rPr>
          <w:rFonts w:ascii="Times New Roman" w:hAnsi="Times New Roman"/>
          <w:b/>
          <w:color w:val="000000"/>
          <w:sz w:val="22"/>
          <w:u w:val="single"/>
        </w:rPr>
        <w:t>Memorandum of Understanding</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See Attached</w:t>
      </w:r>
      <w:r>
        <w:rPr>
          <w:rFonts w:ascii="Times New Roman" w:hAnsi="Times New Roman"/>
          <w:color w:val="000000"/>
          <w:sz w:val="22"/>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bookmarkStart w:id="54" w:name="snse-ex10_22.htm"/>
      <w:bookmarkStart w:id="55" w:name="kssnseex10_22"/>
      <w:bookmarkEnd w:id="54"/>
      <w:bookmarkEnd w:id="55"/>
      <w:r>
        <w:rPr>
          <w:rFonts w:ascii="Times New Roman" w:hAnsi="Times New Roman"/>
          <w:color w:val="7F7F7F"/>
          <w:sz w:val="20"/>
        </w:rPr>
        <w:t>Exhibit 10.22</w:t>
      </w:r>
      <w:r>
        <w:br w:type="page"/>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CERTAIN INFORMATION HAS BEEN EXCLUDED FROM THIS AGREEMENT (INDICATED BY “[***]”) BECAUSE SUCH INFORMATION IS BOTH (A) NOT MATERIAL AND (B) THE TYPE THAT THE REGISTRANT CUSTOMARILY AND ACTUALLY TREATS AS PRIVATE OR CONFIDENTIAL.</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jc w:val="right"/>
        <w:rPr>
          <w:rFonts w:ascii="Times New Roman" w:hAnsi="Times New Roman"/>
          <w:color w:val="000000"/>
          <w:sz w:val="24"/>
        </w:rPr>
      </w:pPr>
      <w:r>
        <w:rPr>
          <w:rFonts w:ascii="Times New Roman" w:hAnsi="Times New Roman"/>
          <w:color w:val="000000"/>
          <w:sz w:val="24"/>
        </w:rPr>
        <w:t>EXECUTION VERSION</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May 15, 2023</w:t>
      </w:r>
    </w:p>
    <w:p>
      <w:pPr>
        <w:pStyle w:val="TextBody"/>
        <w:bidi w:val="0"/>
        <w:jc w:val="left"/>
        <w:rPr>
          <w:rFonts w:ascii="Times New Roman" w:hAnsi="Times New Roman"/>
          <w:color w:val="000000"/>
          <w:sz w:val="24"/>
        </w:rPr>
      </w:pPr>
      <w:r>
        <w:rPr>
          <w:rFonts w:ascii="Times New Roman" w:hAnsi="Times New Roman"/>
          <w:color w:val="000000"/>
          <w:sz w:val="24"/>
        </w:rPr>
        <w:t>Millennium Pharmaceuticals, Inc.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40 Landsdowne Street </w:t>
        <w:br/>
        <w:t xml:space="preserve">Cambridge, MA 02139 </w:t>
        <w:br/>
        <w:t>United States</w:t>
      </w:r>
    </w:p>
    <w:p>
      <w:pPr>
        <w:pStyle w:val="TextBody"/>
        <w:bidi w:val="0"/>
        <w:spacing w:before="0" w:after="240"/>
        <w:jc w:val="both"/>
        <w:rPr>
          <w:rFonts w:ascii="Times New Roman" w:hAnsi="Times New Roman"/>
          <w:sz w:val="20"/>
        </w:rPr>
      </w:pPr>
      <w:r>
        <w:rPr>
          <w:rFonts w:ascii="Times New Roman" w:hAnsi="Times New Roman"/>
          <w:color w:val="000000"/>
          <w:sz w:val="24"/>
        </w:rPr>
        <w:t>Re: Combination Product under Amended and Restated TAK-228 Asset Purchase Agreement dated May 15, 2023 between Millennium Pharmaceuticals, Inc. (“</w:t>
      </w:r>
      <w:r>
        <w:rPr>
          <w:rFonts w:ascii="Times New Roman" w:hAnsi="Times New Roman"/>
          <w:b/>
          <w:color w:val="000000"/>
          <w:sz w:val="24"/>
        </w:rPr>
        <w:t>Takeda</w:t>
      </w:r>
      <w:r>
        <w:rPr>
          <w:rFonts w:ascii="Times New Roman" w:hAnsi="Times New Roman"/>
          <w:color w:val="000000"/>
          <w:sz w:val="20"/>
        </w:rPr>
        <w:t>”</w:t>
      </w:r>
      <w:r>
        <w:rPr>
          <w:rFonts w:ascii="Times New Roman" w:hAnsi="Times New Roman"/>
          <w:color w:val="000000"/>
          <w:sz w:val="24"/>
        </w:rPr>
        <w:t>) and Calithera Biosciences, Inc. (“</w:t>
      </w:r>
      <w:r>
        <w:rPr>
          <w:rFonts w:ascii="Times New Roman" w:hAnsi="Times New Roman"/>
          <w:b/>
          <w:color w:val="000000"/>
          <w:sz w:val="24"/>
        </w:rPr>
        <w:t>Calithera</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TAK-228 APA</w:t>
      </w:r>
      <w:r>
        <w:rPr>
          <w:rFonts w:ascii="Times New Roman" w:hAnsi="Times New Roman"/>
          <w:color w:val="000000"/>
          <w:sz w:val="20"/>
        </w:rPr>
        <w:t>”</w:t>
      </w:r>
      <w:r>
        <w:rPr>
          <w:rFonts w:ascii="Times New Roman" w:hAnsi="Times New Roman"/>
          <w:color w:val="000000"/>
          <w:sz w:val="24"/>
        </w:rPr>
        <w:t>) and License Agreement dated March 18, 2019 between Takeda Pharmaceutical Company Limited and Faeth Therapeutics, Inc. (“</w:t>
      </w:r>
      <w:r>
        <w:rPr>
          <w:rFonts w:ascii="Times New Roman" w:hAnsi="Times New Roman"/>
          <w:b/>
          <w:color w:val="000000"/>
          <w:sz w:val="24"/>
        </w:rPr>
        <w:t>Faeth</w:t>
      </w:r>
      <w:r>
        <w:rPr>
          <w:rFonts w:ascii="Times New Roman" w:hAnsi="Times New Roman"/>
          <w:color w:val="000000"/>
          <w:sz w:val="20"/>
        </w:rPr>
        <w:t>”</w:t>
      </w:r>
      <w:r>
        <w:rPr>
          <w:rFonts w:ascii="Times New Roman" w:hAnsi="Times New Roman"/>
          <w:color w:val="000000"/>
          <w:sz w:val="24"/>
        </w:rPr>
        <w:t>) (as successor in interest to Petra Pharma Corporation and Ravenna Pharmaceuticals, Inc.) (“</w:t>
      </w:r>
      <w:r>
        <w:rPr>
          <w:rFonts w:ascii="Times New Roman" w:hAnsi="Times New Roman"/>
          <w:b/>
          <w:color w:val="000000"/>
          <w:sz w:val="24"/>
        </w:rPr>
        <w:t>TAK-117 License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Dear Sir/Madam:</w:t>
      </w:r>
    </w:p>
    <w:p>
      <w:pPr>
        <w:pStyle w:val="TextBody"/>
        <w:bidi w:val="0"/>
        <w:spacing w:before="0" w:after="240"/>
        <w:jc w:val="both"/>
        <w:rPr>
          <w:rFonts w:ascii="Times New Roman" w:hAnsi="Times New Roman"/>
          <w:sz w:val="20"/>
        </w:rPr>
      </w:pPr>
      <w:r>
        <w:rPr>
          <w:rFonts w:ascii="Times New Roman" w:hAnsi="Times New Roman"/>
          <w:color w:val="000000"/>
          <w:sz w:val="24"/>
        </w:rPr>
        <w:t>This letter agreement (“</w:t>
      </w:r>
      <w:r>
        <w:rPr>
          <w:rFonts w:ascii="Times New Roman" w:hAnsi="Times New Roman"/>
          <w:b/>
          <w:color w:val="000000"/>
          <w:sz w:val="24"/>
        </w:rPr>
        <w:t>Letter Agreement</w:t>
      </w:r>
      <w:r>
        <w:rPr>
          <w:rFonts w:ascii="Times New Roman" w:hAnsi="Times New Roman"/>
          <w:color w:val="000000"/>
          <w:sz w:val="20"/>
        </w:rPr>
        <w:t>”</w:t>
      </w:r>
      <w:r>
        <w:rPr>
          <w:rFonts w:ascii="Times New Roman" w:hAnsi="Times New Roman"/>
          <w:color w:val="000000"/>
          <w:sz w:val="24"/>
        </w:rPr>
        <w:t>) is being entered into in connection with the execution of the assignment and assumption of the rights and certain obligations of Calithera under the TAK-228 APA to Faeth as of the date of this Letter Agreement (the “</w:t>
      </w:r>
      <w:r>
        <w:rPr>
          <w:rFonts w:ascii="Times New Roman" w:hAnsi="Times New Roman"/>
          <w:b/>
          <w:color w:val="000000"/>
          <w:sz w:val="24"/>
        </w:rPr>
        <w:t>Assignment</w:t>
      </w:r>
      <w:r>
        <w:rPr>
          <w:rFonts w:ascii="Times New Roman" w:hAnsi="Times New Roman"/>
          <w:color w:val="000000"/>
          <w:sz w:val="20"/>
        </w:rPr>
        <w:t>”</w:t>
      </w:r>
      <w:r>
        <w:rPr>
          <w:rFonts w:ascii="Times New Roman" w:hAnsi="Times New Roman"/>
          <w:color w:val="000000"/>
          <w:sz w:val="24"/>
        </w:rPr>
        <w:t>). Any capitalized terms not defined here shall be as defined in the TAK-228 APA or TAK-117 License Agreement, as applicable.</w:t>
      </w:r>
    </w:p>
    <w:p>
      <w:pPr>
        <w:pStyle w:val="TextBody"/>
        <w:bidi w:val="0"/>
        <w:spacing w:before="0" w:after="240"/>
        <w:jc w:val="both"/>
        <w:rPr>
          <w:rFonts w:ascii="Times New Roman" w:hAnsi="Times New Roman"/>
          <w:sz w:val="20"/>
        </w:rPr>
      </w:pPr>
      <w:r>
        <w:rPr>
          <w:rFonts w:ascii="Times New Roman" w:hAnsi="Times New Roman"/>
          <w:color w:val="000000"/>
          <w:sz w:val="24"/>
        </w:rPr>
        <w:t>Upon consummation of the Assignment, Faeth will have rights and obligations under both the TAK-228 APA and TAK-117 License Agreement. In consideration of the mutual promises set forth herein, Takeda and Faeth (each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 have agreed as follows solely with respect to a Combination Product under (and as defined in) the TAK-228 APA that includes a Program Molecule under TAK-228 APA and the Licensed Compound under the TAK-117 License Agreement (a “</w:t>
      </w:r>
      <w:r>
        <w:rPr>
          <w:rFonts w:ascii="Times New Roman" w:hAnsi="Times New Roman"/>
          <w:b/>
          <w:color w:val="000000"/>
          <w:sz w:val="24"/>
        </w:rPr>
        <w:t>228+117 Combination Product</w:t>
      </w:r>
      <w:r>
        <w:rPr>
          <w:rFonts w:ascii="Times New Roman" w:hAnsi="Times New Roman"/>
          <w:color w:val="000000"/>
          <w:sz w:val="20"/>
        </w:rPr>
        <w:t>”</w:t>
      </w:r>
      <w:r>
        <w:rPr>
          <w:rFonts w:ascii="Times New Roman" w:hAnsi="Times New Roman"/>
          <w:color w:val="000000"/>
          <w:sz w:val="24"/>
        </w:rPr>
        <w:t>). For clarity, and notwithstanding anything in the TAK-228 APA or TAK-117 License Agreement to the contrary, a 228+117 Combination Product shall be a Product under the TAK-228 APA and under the TAK-117 License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0" w:after="240"/>
        <w:ind w:left="0" w:right="0" w:hanging="72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228+117 [***] Milestone Payments.</w:t>
      </w:r>
      <w:r>
        <w:rPr>
          <w:rFonts w:ascii="Times New Roman" w:hAnsi="Times New Roman"/>
          <w:color w:val="000000"/>
          <w:sz w:val="20"/>
        </w:rPr>
        <w:t xml:space="preserve"> </w:t>
      </w:r>
      <w:r>
        <w:rPr>
          <w:rFonts w:ascii="Times New Roman" w:hAnsi="Times New Roman"/>
          <w:color w:val="000000"/>
          <w:sz w:val="24"/>
        </w:rPr>
        <w:t>Notwithstanding the milestones set forth in [***], [***], the following development milestone events set forth in the table below (each a “[</w:t>
      </w:r>
      <w:r>
        <w:rPr>
          <w:rFonts w:ascii="Times New Roman" w:hAnsi="Times New Roman"/>
          <w:b/>
          <w:color w:val="000000"/>
          <w:sz w:val="24"/>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Milestone Event</w:t>
      </w:r>
      <w:r>
        <w:rPr>
          <w:rFonts w:ascii="Times New Roman" w:hAnsi="Times New Roman"/>
          <w:color w:val="000000"/>
          <w:sz w:val="20"/>
        </w:rPr>
        <w:t>”</w:t>
      </w:r>
      <w:r>
        <w:rPr>
          <w:rFonts w:ascii="Times New Roman" w:hAnsi="Times New Roman"/>
          <w:color w:val="000000"/>
          <w:sz w:val="24"/>
        </w:rPr>
        <w:t>) shall apply in lieu of [***]. Following the first achievement of each [***] Milestone Event with respect to the first Product to achieve such [***] Milestone Event, Faeth shall pay, or cause to be paid, to Takeda a one-time, non-refundable and non-creditable corresponding milestone payment (each, a “[</w:t>
      </w:r>
      <w:r>
        <w:rPr>
          <w:rFonts w:ascii="Times New Roman" w:hAnsi="Times New Roman"/>
          <w:b/>
          <w:color w:val="000000"/>
          <w:sz w:val="24"/>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Milestone Payment</w:t>
      </w:r>
      <w:r>
        <w:rPr>
          <w:rFonts w:ascii="Times New Roman" w:hAnsi="Times New Roman"/>
          <w:color w:val="000000"/>
          <w:sz w:val="20"/>
        </w:rPr>
        <w:t>”</w:t>
      </w:r>
      <w:r>
        <w:rPr>
          <w:rFonts w:ascii="Times New Roman" w:hAnsi="Times New Roman"/>
          <w:color w:val="000000"/>
          <w:sz w:val="24"/>
        </w:rPr>
        <w:t>) within [***]. Faeth shall notify Takeda within [***] after each [***] Milestone Event is first achieved. For the avoidance of doubt, each [***] Milestone Payment shall be payable one (1) time upon the first achievement of the corresponding [***] Milestone Event with respect to an applicable Product, regardless of the number of times such [***] Milestone Event may be achieved by the same or different Products. [***] For purposes of the foregoing, “Indication” shall have the meaning set forth in the TAK-228 APA.</w:t>
      </w:r>
    </w:p>
    <w:tbl>
      <w:tblPr>
        <w:tblW w:w="5272" w:type="dxa"/>
        <w:jc w:val="left"/>
        <w:tblInd w:w="0" w:type="dxa"/>
        <w:tblLayout w:type="fixed"/>
        <w:tblCellMar>
          <w:top w:w="28" w:type="dxa"/>
          <w:left w:w="28" w:type="dxa"/>
          <w:bottom w:w="28" w:type="dxa"/>
          <w:right w:w="28" w:type="dxa"/>
        </w:tblCellMar>
      </w:tblPr>
      <w:tblGrid>
        <w:gridCol w:w="2427"/>
        <w:gridCol w:w="929"/>
        <w:gridCol w:w="929"/>
        <w:gridCol w:w="987"/>
      </w:tblGrid>
      <w:tr>
        <w:trPr/>
        <w:tc>
          <w:tcPr>
            <w:tcW w:w="24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427"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101"/>
              <w:jc w:val="left"/>
              <w:rPr>
                <w:rFonts w:ascii="Times New Roman" w:hAnsi="Times New Roman"/>
                <w:b/>
                <w:color w:val="000000"/>
                <w:sz w:val="24"/>
              </w:rPr>
            </w:pPr>
            <w:r>
              <w:rPr>
                <w:rFonts w:ascii="Times New Roman" w:hAnsi="Times New Roman"/>
                <w:b/>
                <w:color w:val="000000"/>
                <w:sz w:val="24"/>
              </w:rPr>
              <w:t>[***] Milestone Event</w:t>
            </w:r>
          </w:p>
        </w:tc>
        <w:tc>
          <w:tcPr>
            <w:tcW w:w="2845" w:type="dxa"/>
            <w:gridSpan w:val="3"/>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101" w:right="0" w:firstLine="101"/>
              <w:jc w:val="left"/>
              <w:rPr>
                <w:rFonts w:ascii="Times New Roman" w:hAnsi="Times New Roman"/>
                <w:b/>
                <w:color w:val="000000"/>
                <w:sz w:val="24"/>
              </w:rPr>
            </w:pPr>
            <w:r>
              <w:rPr>
                <w:rFonts w:ascii="Times New Roman" w:hAnsi="Times New Roman"/>
                <w:b/>
                <w:color w:val="000000"/>
                <w:sz w:val="24"/>
              </w:rPr>
              <w:t>[***] Milestone Payments</w:t>
            </w:r>
          </w:p>
        </w:tc>
      </w:tr>
      <w:tr>
        <w:trPr/>
        <w:tc>
          <w:tcPr>
            <w:tcW w:w="2427"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08"/>
              <w:jc w:val="left"/>
              <w:rPr>
                <w:sz w:val="4"/>
                <w:szCs w:val="4"/>
              </w:rPr>
            </w:pPr>
            <w:r>
              <w:rPr>
                <w:sz w:val="4"/>
                <w:szCs w:val="4"/>
              </w:rPr>
            </w:r>
          </w:p>
        </w:tc>
        <w:tc>
          <w:tcPr>
            <w:tcW w:w="92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b/>
                <w:color w:val="000000"/>
                <w:sz w:val="24"/>
              </w:rPr>
            </w:pPr>
            <w:r>
              <w:rPr>
                <w:rFonts w:ascii="Times New Roman" w:hAnsi="Times New Roman"/>
                <w:b/>
                <w:color w:val="000000"/>
                <w:sz w:val="24"/>
              </w:rPr>
              <w:t>[***]</w:t>
            </w:r>
          </w:p>
        </w:tc>
        <w:tc>
          <w:tcPr>
            <w:tcW w:w="92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b/>
                <w:color w:val="000000"/>
                <w:sz w:val="24"/>
              </w:rPr>
            </w:pPr>
            <w:r>
              <w:rPr>
                <w:rFonts w:ascii="Times New Roman" w:hAnsi="Times New Roman"/>
                <w:b/>
                <w:color w:val="000000"/>
                <w:sz w:val="24"/>
              </w:rPr>
              <w:t>[***]</w:t>
            </w:r>
          </w:p>
        </w:tc>
        <w:tc>
          <w:tcPr>
            <w:tcW w:w="987"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b/>
                <w:color w:val="000000"/>
                <w:sz w:val="24"/>
              </w:rPr>
            </w:pPr>
            <w:r>
              <w:rPr>
                <w:rFonts w:ascii="Times New Roman" w:hAnsi="Times New Roman"/>
                <w:b/>
                <w:color w:val="000000"/>
                <w:sz w:val="24"/>
              </w:rPr>
              <w:t>[***]</w:t>
            </w:r>
          </w:p>
        </w:tc>
      </w:tr>
      <w:tr>
        <w:trPr/>
        <w:tc>
          <w:tcPr>
            <w:tcW w:w="2427"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92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4"/>
              </w:rPr>
            </w:pPr>
            <w:r>
              <w:rPr>
                <w:rFonts w:ascii="Times New Roman" w:hAnsi="Times New Roman"/>
                <w:color w:val="000000"/>
                <w:sz w:val="24"/>
              </w:rPr>
              <w:t>[***]</w:t>
            </w:r>
          </w:p>
        </w:tc>
        <w:tc>
          <w:tcPr>
            <w:tcW w:w="92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987"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w:t>
            </w:r>
          </w:p>
        </w:tc>
      </w:tr>
      <w:tr>
        <w:trPr/>
        <w:tc>
          <w:tcPr>
            <w:tcW w:w="2427"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92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4"/>
              </w:rPr>
            </w:pPr>
            <w:r>
              <w:rPr>
                <w:rFonts w:ascii="Times New Roman" w:hAnsi="Times New Roman"/>
                <w:color w:val="000000"/>
                <w:sz w:val="24"/>
              </w:rPr>
              <w:t>[***]</w:t>
            </w:r>
          </w:p>
        </w:tc>
        <w:tc>
          <w:tcPr>
            <w:tcW w:w="92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987"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w:t>
            </w:r>
          </w:p>
        </w:tc>
      </w:tr>
      <w:tr>
        <w:trPr/>
        <w:tc>
          <w:tcPr>
            <w:tcW w:w="2427"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92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4"/>
              </w:rPr>
            </w:pPr>
            <w:r>
              <w:rPr>
                <w:rFonts w:ascii="Times New Roman" w:hAnsi="Times New Roman"/>
                <w:color w:val="000000"/>
                <w:sz w:val="24"/>
              </w:rPr>
              <w:t>[***]</w:t>
            </w:r>
          </w:p>
        </w:tc>
        <w:tc>
          <w:tcPr>
            <w:tcW w:w="929"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987"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101" w:right="0" w:firstLine="101"/>
              <w:jc w:val="left"/>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48" w:type="dxa"/>
        <w:jc w:val="left"/>
        <w:tblInd w:w="0" w:type="dxa"/>
        <w:tblLayout w:type="fixed"/>
        <w:tblCellMar>
          <w:top w:w="28" w:type="dxa"/>
          <w:left w:w="28" w:type="dxa"/>
          <w:bottom w:w="28" w:type="dxa"/>
          <w:right w:w="28" w:type="dxa"/>
        </w:tblCellMar>
      </w:tblPr>
      <w:tblGrid>
        <w:gridCol w:w="2464"/>
        <w:gridCol w:w="1048"/>
        <w:gridCol w:w="1035"/>
        <w:gridCol w:w="1201"/>
      </w:tblGrid>
      <w:tr>
        <w:trPr/>
        <w:tc>
          <w:tcPr>
            <w:tcW w:w="246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464"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1048"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105"/>
              <w:jc w:val="left"/>
              <w:rPr>
                <w:rFonts w:ascii="Times New Roman" w:hAnsi="Times New Roman"/>
                <w:color w:val="000000"/>
                <w:sz w:val="24"/>
              </w:rPr>
            </w:pPr>
            <w:r>
              <w:rPr>
                <w:rFonts w:ascii="Times New Roman" w:hAnsi="Times New Roman"/>
                <w:color w:val="000000"/>
                <w:sz w:val="24"/>
              </w:rPr>
              <w:t>[***]</w:t>
            </w:r>
          </w:p>
        </w:tc>
        <w:tc>
          <w:tcPr>
            <w:tcW w:w="1035"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1201"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w:t>
            </w:r>
          </w:p>
        </w:tc>
      </w:tr>
      <w:tr>
        <w:trPr/>
        <w:tc>
          <w:tcPr>
            <w:tcW w:w="246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104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4"/>
              </w:rPr>
            </w:pPr>
            <w:r>
              <w:rPr>
                <w:rFonts w:ascii="Times New Roman" w:hAnsi="Times New Roman"/>
                <w:color w:val="000000"/>
                <w:sz w:val="24"/>
              </w:rPr>
              <w:t>[***]</w:t>
            </w:r>
          </w:p>
        </w:tc>
        <w:tc>
          <w:tcPr>
            <w:tcW w:w="103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1201"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w:t>
            </w:r>
          </w:p>
        </w:tc>
      </w:tr>
      <w:tr>
        <w:trPr/>
        <w:tc>
          <w:tcPr>
            <w:tcW w:w="246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104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4"/>
              </w:rPr>
            </w:pPr>
            <w:r>
              <w:rPr>
                <w:rFonts w:ascii="Times New Roman" w:hAnsi="Times New Roman"/>
                <w:color w:val="000000"/>
                <w:sz w:val="24"/>
              </w:rPr>
              <w:t>[***]</w:t>
            </w:r>
          </w:p>
        </w:tc>
        <w:tc>
          <w:tcPr>
            <w:tcW w:w="103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1201"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w:t>
            </w:r>
          </w:p>
        </w:tc>
      </w:tr>
      <w:tr>
        <w:trPr/>
        <w:tc>
          <w:tcPr>
            <w:tcW w:w="246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1048"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4"/>
              </w:rPr>
            </w:pPr>
            <w:r>
              <w:rPr>
                <w:rFonts w:ascii="Times New Roman" w:hAnsi="Times New Roman"/>
                <w:color w:val="000000"/>
                <w:sz w:val="24"/>
              </w:rPr>
              <w:t>[***]</w:t>
            </w:r>
          </w:p>
        </w:tc>
        <w:tc>
          <w:tcPr>
            <w:tcW w:w="1035"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1"/>
              <w:jc w:val="left"/>
              <w:rPr>
                <w:rFonts w:ascii="Times New Roman" w:hAnsi="Times New Roman"/>
                <w:color w:val="000000"/>
                <w:sz w:val="24"/>
              </w:rPr>
            </w:pPr>
            <w:r>
              <w:rPr>
                <w:rFonts w:ascii="Times New Roman" w:hAnsi="Times New Roman"/>
                <w:color w:val="000000"/>
                <w:sz w:val="24"/>
              </w:rPr>
              <w:t>[***]</w:t>
            </w:r>
          </w:p>
        </w:tc>
        <w:tc>
          <w:tcPr>
            <w:tcW w:w="1201" w:type="dxa"/>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w:t>
            </w:r>
          </w:p>
        </w:tc>
      </w:tr>
      <w:tr>
        <w:trPr/>
        <w:tc>
          <w:tcPr>
            <w:tcW w:w="246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108" w:right="0" w:firstLine="108"/>
              <w:jc w:val="left"/>
              <w:rPr>
                <w:rFonts w:ascii="Times New Roman" w:hAnsi="Times New Roman"/>
                <w:b/>
                <w:color w:val="000000"/>
                <w:sz w:val="24"/>
              </w:rPr>
            </w:pPr>
            <w:r>
              <w:rPr>
                <w:rFonts w:ascii="Times New Roman" w:hAnsi="Times New Roman"/>
                <w:b/>
                <w:color w:val="000000"/>
                <w:sz w:val="24"/>
              </w:rPr>
              <w:t>Total [***] Milestones</w:t>
            </w:r>
          </w:p>
        </w:tc>
        <w:tc>
          <w:tcPr>
            <w:tcW w:w="3284" w:type="dxa"/>
            <w:gridSpan w:val="3"/>
            <w:tcBorders>
              <w:bottom w:val="single" w:sz="5" w:space="0" w:color="000000"/>
              <w:right w:val="single" w:sz="5" w:space="0" w:color="000000"/>
            </w:tcBorders>
            <w:tcMar>
              <w:top w:w="0" w:type="dxa"/>
              <w:left w:w="0" w:type="dxa"/>
            </w:tcMar>
            <w:vAlign w:val="center"/>
          </w:tcPr>
          <w:p>
            <w:pPr>
              <w:pStyle w:val="TableContents"/>
              <w:bidi w:val="0"/>
              <w:spacing w:before="0" w:after="283"/>
              <w:ind w:left="0" w:right="2625" w:hanging="0"/>
              <w:jc w:val="right"/>
              <w:rPr>
                <w:rFonts w:ascii="Times New Roman" w:hAnsi="Times New Roman"/>
                <w:b/>
                <w:color w:val="000000"/>
                <w:sz w:val="24"/>
              </w:rPr>
            </w:pPr>
            <w:r>
              <w:rPr>
                <w:rFonts w:ascii="Times New Roman" w:hAnsi="Times New Roman"/>
                <w:b/>
                <w:color w:val="000000"/>
                <w:sz w:val="24"/>
              </w:rPr>
              <w:t>[***]</w:t>
            </w:r>
          </w:p>
        </w:tc>
      </w:tr>
    </w:tbl>
    <w:p>
      <w:pPr>
        <w:pStyle w:val="TextBody"/>
        <w:bidi w:val="0"/>
        <w:spacing w:before="24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360" w:hanging="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ind w:left="0" w:right="360" w:hanging="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color w:val="000000"/>
          <w:sz w:val="24"/>
          <w:u w:val="single"/>
        </w:rPr>
        <w:t>Royalties/Earn-Out Payment.</w:t>
      </w:r>
      <w:r>
        <w:rPr>
          <w:color w:val="000000"/>
        </w:rPr>
        <w:t xml:space="preserve"> </w:t>
      </w:r>
      <w:r>
        <w:rPr>
          <w:rFonts w:ascii="Times New Roman" w:hAnsi="Times New Roman"/>
          <w:color w:val="000000"/>
          <w:sz w:val="24"/>
        </w:rPr>
        <w:t xml:space="preserve">Notwithstanding the earn-out payment set forth in Section </w:t>
        <w:br/>
        <w:t>5.2.1 of the TAK-228 APA, [***], Faeth shall pay Takeda an earn-out payment on the Annual Net Sales (as defined in TAK-228 APA) of all 227+117 Combination Products by or on behalf of Faeth, its Affiliates or Licensees in a given Calendar Year (or partial Calendar Year) commencing with the First Commercial Sale of such 228+117 Combination Product in any country in the Territory, at the following rates, subject to [***]:</w:t>
      </w:r>
    </w:p>
    <w:tbl>
      <w:tblPr>
        <w:tblW w:w="10205" w:type="dxa"/>
        <w:jc w:val="left"/>
        <w:tblInd w:w="0" w:type="dxa"/>
        <w:tblLayout w:type="fixed"/>
        <w:tblCellMar>
          <w:top w:w="28" w:type="dxa"/>
          <w:left w:w="28" w:type="dxa"/>
          <w:bottom w:w="28" w:type="dxa"/>
          <w:right w:w="28" w:type="dxa"/>
        </w:tblCellMar>
      </w:tblPr>
      <w:tblGrid>
        <w:gridCol w:w="7790"/>
        <w:gridCol w:w="2415"/>
      </w:tblGrid>
      <w:tr>
        <w:trPr/>
        <w:tc>
          <w:tcPr>
            <w:tcW w:w="7790"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r>
      <w:tr>
        <w:trPr/>
        <w:tc>
          <w:tcPr>
            <w:tcW w:w="7790"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jc w:val="center"/>
              <w:rPr>
                <w:rFonts w:ascii="Times New Roman" w:hAnsi="Times New Roman"/>
                <w:b/>
                <w:color w:val="000000"/>
                <w:sz w:val="24"/>
                <w:u w:val="single"/>
              </w:rPr>
            </w:pPr>
            <w:r>
              <w:rPr>
                <w:rFonts w:ascii="Times New Roman" w:hAnsi="Times New Roman"/>
                <w:b/>
                <w:color w:val="000000"/>
                <w:sz w:val="24"/>
                <w:u w:val="single"/>
              </w:rPr>
              <w:t>Annual Net Sales Increment</w:t>
            </w:r>
          </w:p>
        </w:tc>
        <w:tc>
          <w:tcPr>
            <w:tcW w:w="2415"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108"/>
              <w:jc w:val="center"/>
              <w:rPr>
                <w:rFonts w:ascii="Times New Roman" w:hAnsi="Times New Roman"/>
                <w:b/>
                <w:color w:val="000000"/>
                <w:sz w:val="24"/>
                <w:u w:val="single"/>
              </w:rPr>
            </w:pPr>
            <w:r>
              <w:rPr>
                <w:rFonts w:ascii="Times New Roman" w:hAnsi="Times New Roman"/>
                <w:b/>
                <w:color w:val="000000"/>
                <w:sz w:val="24"/>
                <w:u w:val="single"/>
              </w:rPr>
              <w:t>Earn-Out Payment Rate (%)</w:t>
            </w:r>
          </w:p>
        </w:tc>
      </w:tr>
      <w:tr>
        <w:trPr/>
        <w:tc>
          <w:tcPr>
            <w:tcW w:w="7790"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108" w:right="144" w:firstLine="108"/>
              <w:jc w:val="left"/>
              <w:rPr>
                <w:rFonts w:ascii="Times New Roman" w:hAnsi="Times New Roman"/>
                <w:color w:val="000000"/>
                <w:sz w:val="24"/>
              </w:rPr>
            </w:pPr>
            <w:r>
              <w:rPr>
                <w:rFonts w:ascii="Times New Roman" w:hAnsi="Times New Roman"/>
                <w:color w:val="000000"/>
                <w:sz w:val="24"/>
              </w:rPr>
              <w:t>For the portion of the Annual Net Sales of such 228+117 Combination Product in any given Calendar Year which is [***]</w:t>
            </w:r>
          </w:p>
        </w:tc>
        <w:tc>
          <w:tcPr>
            <w:tcW w:w="2415" w:type="dxa"/>
            <w:tcBorders>
              <w:bottom w:val="single" w:sz="5" w:space="0" w:color="000000"/>
              <w:right w:val="single" w:sz="5"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78"/>
        <w:gridCol w:w="827"/>
      </w:tblGrid>
      <w:tr>
        <w:trPr/>
        <w:tc>
          <w:tcPr>
            <w:tcW w:w="937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9378"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283"/>
              <w:ind w:left="108" w:right="180" w:firstLine="108"/>
              <w:jc w:val="left"/>
              <w:rPr>
                <w:rFonts w:ascii="Times New Roman" w:hAnsi="Times New Roman"/>
                <w:color w:val="000000"/>
                <w:sz w:val="24"/>
              </w:rPr>
            </w:pPr>
            <w:r>
              <w:rPr>
                <w:rFonts w:ascii="Times New Roman" w:hAnsi="Times New Roman"/>
                <w:color w:val="000000"/>
                <w:sz w:val="24"/>
              </w:rPr>
              <w:t>For the portion of the Annual Net Sales of such 228+117 Combination Product in any given Calendar Year which is [***]</w:t>
            </w:r>
          </w:p>
        </w:tc>
        <w:tc>
          <w:tcPr>
            <w:tcW w:w="827"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0" w:after="283"/>
              <w:ind w:left="0" w:right="0" w:firstLine="108"/>
              <w:jc w:val="center"/>
              <w:rPr>
                <w:rFonts w:ascii="Times New Roman" w:hAnsi="Times New Roman"/>
                <w:color w:val="000000"/>
                <w:sz w:val="24"/>
              </w:rPr>
            </w:pPr>
            <w:r>
              <w:rPr>
                <w:rFonts w:ascii="Times New Roman" w:hAnsi="Times New Roman"/>
                <w:color w:val="000000"/>
                <w:sz w:val="24"/>
              </w:rPr>
              <w:t>[***]%</w:t>
            </w:r>
          </w:p>
        </w:tc>
      </w:tr>
      <w:tr>
        <w:trPr/>
        <w:tc>
          <w:tcPr>
            <w:tcW w:w="9378"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108" w:right="360" w:firstLine="108"/>
              <w:jc w:val="left"/>
              <w:rPr>
                <w:rFonts w:ascii="Times New Roman" w:hAnsi="Times New Roman"/>
                <w:color w:val="000000"/>
                <w:sz w:val="24"/>
              </w:rPr>
            </w:pPr>
            <w:r>
              <w:rPr>
                <w:rFonts w:ascii="Times New Roman" w:hAnsi="Times New Roman"/>
                <w:color w:val="000000"/>
                <w:sz w:val="24"/>
              </w:rPr>
              <w:t>For the portion of the Annual Net Sales of such 228+117 Combination Product in any given Calendar Year which is [***]</w:t>
            </w:r>
          </w:p>
        </w:tc>
        <w:tc>
          <w:tcPr>
            <w:tcW w:w="827" w:type="dxa"/>
            <w:tcBorders>
              <w:bottom w:val="single" w:sz="5" w:space="0" w:color="000000"/>
              <w:right w:val="single" w:sz="5"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For clarity, royalty payments set forth in Section 5.6 of the TAK-117 License Agreement will remain in full force and effect with respect to any Product (as defined in the TAK-117 License Agreement).</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left"/>
        <w:rPr/>
      </w:pPr>
      <w:r>
        <w:rPr>
          <w:rFonts w:ascii="Times New Roman" w:hAnsi="Times New Roman"/>
          <w:color w:val="000000"/>
          <w:sz w:val="24"/>
          <w:u w:val="single"/>
        </w:rPr>
        <w:t>Miscellaneous.</w:t>
      </w:r>
      <w:r>
        <w:rPr>
          <w:color w:val="000000"/>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3.1 The TAK-228 APA, this Letter Agreement and the TAK-117 License Agreement constitute the entire agreement between the Parties as to the subject matter of this Letter Agreement. Except as otherwise expressly set forth in this Letter Agreement, the TAK-228 APA shall remain in full force and effect in accordance with its terms.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3.2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3.3 Faeth agrees that it shall not disclose this Letter Agreement or any discussions pertaining hereto to any Third Parties and that, in addition to and to the extent not inconsistent with the foregoing, this Letter Agreement and all discussions pertaining hereto are subject to Article 7 (Confidentiality) of the TAK-228 APA.</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3.4 Neither this Letter Agreement nor any right, interest or obligation of a Party under this Letter Agreement may be assigned by either Party without the written consent of the other Party, except that each Party may assign this Letter Agreement and the rights, obligations and interests of such Party to an Affiliate (as defined in the TAK-228 APA) of such Party to whom the TAK-228 APA is assigned. Any attempted assignment in contravention of this Section 3.4 shall</w:t>
        <w:br/>
        <w:t>be void.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3.5 This Letter Agreement may be executed in counterparts by a single Party, each of which when taken together shall constitute one and the same agreement. Counterparts may be delivered via facsimile, electronic mail (including .pdf or any electronic signature complying 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3.6 This Letter Agreement and its effect are subject to and shall be construed and enforced in accordance with the law of the State of New York, without regard to its conflicts of laws that would require the application of any other Law. Each of the Parties hereby irrevocably and unconditionally consents to submit to the exclusive jurisdiction of the federal courts located</w:t>
        <w:br/>
        <w:t>in the Southern District of the State of New York for any matter arising out of or relating to this Letter Agreement and the transactions contemplated hereby, and agrees not to commence any litigation relating thereto except in such courts. Each of the Parties hereby irrevocably and unconditionally waives any objection to the laying of venue of any matter arising out of this Letter Agreement or the transactions contemplated hereby in the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Letter Agreement shall be exclusively conducted in the English language.</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3.7 To the fullest extent permitted by Law, each of the Parties irrevocably waives all right to trial by jury in any litigation arising out of or relating to this Letter Agreement or any of the transactions contemplated by this Letter Agreement.</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3.8 Nothing in this Letter Agreement shall be construed to require the commission of any act contrary to Law. If any one or more provisions of this Letter Agreement is held to be invalid, illegal or unenforceable, the affected provisions of this Letter Agreement shall be curtailed and limited only to the extent necessary to bring it within the applicable legal requirements and the validity, legality and enforceability of the remaining provisions of this Letter Agreement shall not in any way be affected or impaired thereby.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3.9 A Party’s consent to or waiver, express or implied, of the other Party’s breach of</w:t>
        <w:br/>
        <w:t>its obligations 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Letter Agreement or to exercise any right or remedy consequent upon a breach thereof, no matter how long such failure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3.10 Section headings used herein are for convenient reference only, and are not a part</w:t>
        <w:br/>
        <w:t>of this Letter Agreement.</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Pages Immediately to Follow)</w:t>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I</w:t>
      </w:r>
      <w:r>
        <w:rPr>
          <w:rFonts w:ascii="Times New Roman" w:hAnsi="Times New Roman"/>
          <w:b/>
          <w:color w:val="000000"/>
          <w:sz w:val="19"/>
        </w:rPr>
        <w:t xml:space="preserve">N </w:t>
      </w:r>
      <w:r>
        <w:rPr>
          <w:rFonts w:ascii="Times New Roman" w:hAnsi="Times New Roman"/>
          <w:b/>
          <w:color w:val="000000"/>
          <w:sz w:val="24"/>
        </w:rPr>
        <w:t>W</w:t>
      </w:r>
      <w:r>
        <w:rPr>
          <w:rFonts w:ascii="Times New Roman" w:hAnsi="Times New Roman"/>
          <w:b/>
          <w:color w:val="000000"/>
          <w:sz w:val="19"/>
        </w:rPr>
        <w:t xml:space="preserve">ITNESS </w:t>
      </w:r>
      <w:r>
        <w:rPr>
          <w:rFonts w:ascii="Times New Roman" w:hAnsi="Times New Roman"/>
          <w:b/>
          <w:color w:val="000000"/>
          <w:sz w:val="24"/>
        </w:rPr>
        <w:t>W</w:t>
      </w:r>
      <w:r>
        <w:rPr>
          <w:rFonts w:ascii="Times New Roman" w:hAnsi="Times New Roman"/>
          <w:b/>
          <w:color w:val="000000"/>
          <w:sz w:val="19"/>
        </w:rPr>
        <w:t>HEREOF</w:t>
      </w:r>
      <w:r>
        <w:rPr>
          <w:rFonts w:ascii="Times New Roman" w:hAnsi="Times New Roman"/>
          <w:color w:val="000000"/>
          <w:sz w:val="24"/>
        </w:rPr>
        <w:t>, this Letter Agreement has been executed by the Parties hereto all as of the date first above written.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Millennium Pharmaceuticals, Inc. Faeth Therapeutics, Inc.</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/s/</w:t>
      </w:r>
      <w:r>
        <w:rPr>
          <w:rFonts w:ascii="Times New Roman" w:hAnsi="Times New Roman"/>
          <w:color w:val="000000"/>
          <w:sz w:val="20"/>
          <w:u w:val="single"/>
        </w:rPr>
        <w:t xml:space="preserve"> </w:t>
      </w:r>
      <w:r>
        <w:rPr>
          <w:rFonts w:ascii="Times New Roman" w:hAnsi="Times New Roman"/>
          <w:color w:val="000000"/>
          <w:sz w:val="24"/>
          <w:u w:val="single"/>
        </w:rPr>
        <w:t xml:space="preserve">Michael Martin </w:t>
      </w:r>
      <w:r>
        <w:rPr>
          <w:rFonts w:ascii="Times New Roman" w:hAnsi="Times New Roman"/>
          <w:color w:val="000000"/>
          <w:sz w:val="24"/>
        </w:rPr>
        <w:t xml:space="preserve">By: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Name: Michael Martin Name: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Title: Authorized Signatory Title: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I</w:t>
      </w:r>
      <w:r>
        <w:rPr>
          <w:rFonts w:ascii="Times New Roman" w:hAnsi="Times New Roman"/>
          <w:b/>
          <w:color w:val="000000"/>
          <w:sz w:val="19"/>
        </w:rPr>
        <w:t xml:space="preserve">N </w:t>
      </w:r>
      <w:r>
        <w:rPr>
          <w:rFonts w:ascii="Times New Roman" w:hAnsi="Times New Roman"/>
          <w:b/>
          <w:color w:val="000000"/>
          <w:sz w:val="24"/>
        </w:rPr>
        <w:t>W</w:t>
      </w:r>
      <w:r>
        <w:rPr>
          <w:rFonts w:ascii="Times New Roman" w:hAnsi="Times New Roman"/>
          <w:b/>
          <w:color w:val="000000"/>
          <w:sz w:val="19"/>
        </w:rPr>
        <w:t xml:space="preserve">ITNESS </w:t>
      </w:r>
      <w:r>
        <w:rPr>
          <w:rFonts w:ascii="Times New Roman" w:hAnsi="Times New Roman"/>
          <w:b/>
          <w:color w:val="000000"/>
          <w:sz w:val="24"/>
        </w:rPr>
        <w:t>W</w:t>
      </w:r>
      <w:r>
        <w:rPr>
          <w:rFonts w:ascii="Times New Roman" w:hAnsi="Times New Roman"/>
          <w:b/>
          <w:color w:val="000000"/>
          <w:sz w:val="19"/>
        </w:rPr>
        <w:t>HEREOF</w:t>
      </w:r>
      <w:r>
        <w:rPr>
          <w:rFonts w:ascii="Times New Roman" w:hAnsi="Times New Roman"/>
          <w:color w:val="000000"/>
          <w:sz w:val="24"/>
        </w:rPr>
        <w:t>, this Letter Agreement has been executed by the Parties hereto all as of the date first above written.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Millennium Pharmaceuticals, Inc. Faeth Therapeutics, Inc.</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 xml:space="preserve">By: </w:t>
      </w:r>
      <w:r>
        <w:rPr>
          <w:rFonts w:ascii="Times New Roman" w:hAnsi="Times New Roman"/>
          <w:color w:val="000000"/>
          <w:sz w:val="24"/>
          <w:u w:val="single"/>
        </w:rPr>
        <w:t xml:space="preserve">/s/ Anand Parikh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Name: Anand Parikh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Title: CEO</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0"/>
        </w:rPr>
      </w:pPr>
      <w:bookmarkStart w:id="56" w:name="snse-ex10_23.htm"/>
      <w:bookmarkStart w:id="57" w:name="kssnseex10_23"/>
      <w:bookmarkEnd w:id="56"/>
      <w:bookmarkEnd w:id="57"/>
      <w:r>
        <w:rPr>
          <w:rFonts w:ascii="Times New Roman" w:hAnsi="Times New Roman"/>
          <w:color w:val="7F7F7F"/>
          <w:sz w:val="20"/>
        </w:rPr>
        <w:t>Exhibit 10.23</w:t>
      </w:r>
      <w:r>
        <w:br w:type="page"/>
      </w:r>
    </w:p>
    <w:p>
      <w:pPr>
        <w:pStyle w:val="TextBody"/>
        <w:bidi w:val="0"/>
        <w:jc w:val="right"/>
        <w:rPr/>
      </w:pPr>
      <w:r>
        <w:rPr/>
        <w:t> </w:t>
      </w:r>
    </w:p>
    <w:p>
      <w:pPr>
        <w:pStyle w:val="TextBody"/>
        <w:bidi w:val="0"/>
        <w:jc w:val="left"/>
        <w:rPr>
          <w:rFonts w:ascii="Times New Roman" w:hAnsi="Times New Roman"/>
          <w:i/>
          <w:color w:val="7F7F7F"/>
          <w:sz w:val="20"/>
        </w:rPr>
      </w:pPr>
      <w:r>
        <w:rPr>
          <w:rFonts w:ascii="Times New Roman" w:hAnsi="Times New Roman"/>
          <w:i/>
          <w:color w:val="7F7F7F"/>
          <w:sz w:val="20"/>
        </w:rPr>
        <w:t>CERTAIN INFORMATION HAS BEEN EXCLUDED FROM THIS AGREEMENT (INDICATED BY “[***]”) BECAUSE SUCH INFORMATION IS BOTH (A) NOT MATERIAL AND (B) THE TYPE THAT THE REGISTRANT CUSTOMARILY AND ACTUALLY TREATS AS PRIVATE OR CONFIDENTIAL.</w:t>
      </w:r>
    </w:p>
    <w:p>
      <w:pPr>
        <w:pStyle w:val="TextBody"/>
        <w:bidi w:val="0"/>
        <w:jc w:val="left"/>
        <w:rPr/>
      </w:pPr>
      <w:r>
        <w:rPr/>
        <w:t> </w:t>
      </w:r>
    </w:p>
    <w:p>
      <w:pPr>
        <w:pStyle w:val="TextBody"/>
        <w:bidi w:val="0"/>
        <w:spacing w:before="5" w:after="283"/>
        <w:ind w:left="7704" w:right="0" w:hanging="0"/>
        <w:jc w:val="right"/>
        <w:rPr/>
      </w:pPr>
      <w:r>
        <w:rPr/>
        <w:t> </w:t>
      </w:r>
    </w:p>
    <w:p>
      <w:pPr>
        <w:pStyle w:val="TextBody"/>
        <w:bidi w:val="0"/>
        <w:spacing w:before="207" w:after="283"/>
        <w:jc w:val="left"/>
        <w:rPr>
          <w:rFonts w:ascii="Times New Roman" w:hAnsi="Times New Roman"/>
          <w:b/>
          <w:color w:val="000000"/>
          <w:sz w:val="24"/>
        </w:rPr>
      </w:pPr>
      <w:r>
        <w:rPr>
          <w:rFonts w:ascii="Times New Roman" w:hAnsi="Times New Roman"/>
          <w:b/>
          <w:color w:val="000000"/>
          <w:sz w:val="24"/>
        </w:rPr>
        <w:t>January 29, 2026 (the “Effective Date”)</w:t>
      </w:r>
    </w:p>
    <w:p>
      <w:pPr>
        <w:pStyle w:val="TextBody"/>
        <w:bidi w:val="0"/>
        <w:spacing w:before="480" w:after="283"/>
        <w:jc w:val="left"/>
        <w:rPr>
          <w:rFonts w:ascii="Times New Roman" w:hAnsi="Times New Roman"/>
          <w:b/>
          <w:i/>
          <w:color w:val="000000"/>
          <w:sz w:val="24"/>
        </w:rPr>
      </w:pPr>
      <w:r>
        <w:rPr>
          <w:rFonts w:ascii="Times New Roman" w:hAnsi="Times New Roman"/>
          <w:b/>
          <w:i/>
          <w:color w:val="000000"/>
          <w:sz w:val="24"/>
        </w:rPr>
        <w:t>Millennium Pharmaceuticals, Inc.</w:t>
      </w:r>
    </w:p>
    <w:p>
      <w:pPr>
        <w:pStyle w:val="TextBody"/>
        <w:bidi w:val="0"/>
        <w:jc w:val="left"/>
        <w:rPr>
          <w:rFonts w:ascii="Times New Roman" w:hAnsi="Times New Roman"/>
          <w:color w:val="000000"/>
          <w:sz w:val="24"/>
        </w:rPr>
      </w:pPr>
      <w:r>
        <w:rPr>
          <w:rFonts w:ascii="Times New Roman" w:hAnsi="Times New Roman"/>
          <w:color w:val="000000"/>
          <w:sz w:val="24"/>
        </w:rPr>
        <w:t>40 Landsdowne Street</w:t>
      </w:r>
    </w:p>
    <w:p>
      <w:pPr>
        <w:pStyle w:val="TextBody"/>
        <w:bidi w:val="0"/>
        <w:jc w:val="left"/>
        <w:rPr>
          <w:rFonts w:ascii="Times New Roman" w:hAnsi="Times New Roman"/>
          <w:color w:val="000000"/>
          <w:sz w:val="24"/>
        </w:rPr>
      </w:pPr>
      <w:r>
        <w:rPr>
          <w:rFonts w:ascii="Times New Roman" w:hAnsi="Times New Roman"/>
          <w:color w:val="000000"/>
          <w:sz w:val="24"/>
        </w:rPr>
        <w:t>Cambridge, MA 02139</w:t>
      </w:r>
    </w:p>
    <w:p>
      <w:pPr>
        <w:pStyle w:val="TextBody"/>
        <w:bidi w:val="0"/>
        <w:jc w:val="left"/>
        <w:rPr>
          <w:rFonts w:ascii="Times New Roman" w:hAnsi="Times New Roman"/>
          <w:color w:val="000000"/>
          <w:sz w:val="24"/>
        </w:rPr>
      </w:pPr>
      <w:r>
        <w:rPr>
          <w:rFonts w:ascii="Times New Roman" w:hAnsi="Times New Roman"/>
          <w:color w:val="000000"/>
          <w:sz w:val="24"/>
        </w:rPr>
        <w:t>United States</w:t>
      </w:r>
    </w:p>
    <w:p>
      <w:pPr>
        <w:pStyle w:val="TextBody"/>
        <w:bidi w:val="0"/>
        <w:spacing w:before="480" w:after="283"/>
        <w:jc w:val="left"/>
        <w:rPr>
          <w:rFonts w:ascii="Times New Roman" w:hAnsi="Times New Roman"/>
          <w:b/>
          <w:i/>
          <w:color w:val="000000"/>
          <w:sz w:val="24"/>
        </w:rPr>
      </w:pPr>
      <w:r>
        <w:rPr>
          <w:rFonts w:ascii="Times New Roman" w:hAnsi="Times New Roman"/>
          <w:b/>
          <w:i/>
          <w:color w:val="000000"/>
          <w:sz w:val="24"/>
        </w:rPr>
        <w:t>Takeda Pharmaceutical Company Limited</w:t>
      </w:r>
    </w:p>
    <w:p>
      <w:pPr>
        <w:pStyle w:val="TextBody"/>
        <w:bidi w:val="0"/>
        <w:jc w:val="left"/>
        <w:rPr>
          <w:rFonts w:ascii="Times New Roman" w:hAnsi="Times New Roman"/>
          <w:color w:val="000000"/>
          <w:sz w:val="24"/>
        </w:rPr>
      </w:pPr>
      <w:r>
        <w:rPr>
          <w:rFonts w:ascii="Times New Roman" w:hAnsi="Times New Roman"/>
          <w:color w:val="000000"/>
          <w:sz w:val="24"/>
        </w:rPr>
        <w:t>40 Landsdowne Street</w:t>
      </w:r>
    </w:p>
    <w:p>
      <w:pPr>
        <w:pStyle w:val="TextBody"/>
        <w:bidi w:val="0"/>
        <w:jc w:val="left"/>
        <w:rPr>
          <w:rFonts w:ascii="Times New Roman" w:hAnsi="Times New Roman"/>
          <w:color w:val="000000"/>
          <w:sz w:val="24"/>
        </w:rPr>
      </w:pPr>
      <w:r>
        <w:rPr>
          <w:rFonts w:ascii="Times New Roman" w:hAnsi="Times New Roman"/>
          <w:color w:val="000000"/>
          <w:sz w:val="24"/>
        </w:rPr>
        <w:t>Cambridge, MA 02139</w:t>
      </w:r>
    </w:p>
    <w:p>
      <w:pPr>
        <w:pStyle w:val="TextBody"/>
        <w:bidi w:val="0"/>
        <w:spacing w:before="186" w:after="283"/>
        <w:jc w:val="left"/>
        <w:rPr>
          <w:rFonts w:ascii="Times New Roman" w:hAnsi="Times New Roman"/>
          <w:color w:val="000000"/>
          <w:sz w:val="24"/>
        </w:rPr>
      </w:pPr>
      <w:r>
        <w:rPr>
          <w:rFonts w:ascii="Times New Roman" w:hAnsi="Times New Roman"/>
          <w:color w:val="000000"/>
          <w:sz w:val="24"/>
        </w:rPr>
        <w:t>United States</w:t>
      </w:r>
    </w:p>
    <w:p>
      <w:pPr>
        <w:pStyle w:val="TextBody"/>
        <w:bidi w:val="0"/>
        <w:spacing w:before="623" w:after="283"/>
        <w:jc w:val="left"/>
        <w:rPr>
          <w:rFonts w:ascii="Times New Roman" w:hAnsi="Times New Roman"/>
          <w:b/>
          <w:color w:val="000000"/>
          <w:sz w:val="24"/>
        </w:rPr>
      </w:pPr>
      <w:r>
        <w:rPr>
          <w:rFonts w:ascii="Times New Roman" w:hAnsi="Times New Roman"/>
          <w:b/>
          <w:color w:val="000000"/>
          <w:sz w:val="24"/>
        </w:rPr>
        <w:t>Re: TAK-228 and TAK-117 Combination Product</w:t>
      </w:r>
    </w:p>
    <w:p>
      <w:pPr>
        <w:pStyle w:val="TextBody"/>
        <w:bidi w:val="0"/>
        <w:spacing w:before="171" w:after="283"/>
        <w:jc w:val="both"/>
        <w:rPr>
          <w:rFonts w:ascii="Times New Roman" w:hAnsi="Times New Roman"/>
          <w:sz w:val="20"/>
        </w:rPr>
      </w:pPr>
      <w:r>
        <w:rPr>
          <w:rFonts w:ascii="Times New Roman" w:hAnsi="Times New Roman"/>
          <w:color w:val="000000"/>
          <w:sz w:val="24"/>
        </w:rPr>
        <w:t>Faeth Therapeutics, Inc. (“</w:t>
      </w:r>
      <w:r>
        <w:rPr>
          <w:rFonts w:ascii="Times New Roman" w:hAnsi="Times New Roman"/>
          <w:b/>
          <w:color w:val="000000"/>
          <w:sz w:val="24"/>
        </w:rPr>
        <w:t>Faeth</w:t>
      </w:r>
      <w:r>
        <w:rPr>
          <w:rFonts w:ascii="Times New Roman" w:hAnsi="Times New Roman"/>
          <w:color w:val="000000"/>
          <w:sz w:val="20"/>
        </w:rPr>
        <w:t>”</w:t>
      </w:r>
      <w:r>
        <w:rPr>
          <w:rFonts w:ascii="Times New Roman" w:hAnsi="Times New Roman"/>
          <w:color w:val="000000"/>
          <w:sz w:val="24"/>
        </w:rPr>
        <w:t>) and Takeda Pharmaceutical Company Limited (“</w:t>
      </w:r>
      <w:r>
        <w:rPr>
          <w:rFonts w:ascii="Times New Roman" w:hAnsi="Times New Roman"/>
          <w:b/>
          <w:color w:val="000000"/>
          <w:sz w:val="24"/>
        </w:rPr>
        <w:t>Takeda Pharmaceutical</w:t>
      </w:r>
      <w:r>
        <w:rPr>
          <w:rFonts w:ascii="Times New Roman" w:hAnsi="Times New Roman"/>
          <w:color w:val="000000"/>
          <w:sz w:val="20"/>
        </w:rPr>
        <w:t>”</w:t>
      </w:r>
      <w:r>
        <w:rPr>
          <w:rFonts w:ascii="Times New Roman" w:hAnsi="Times New Roman"/>
          <w:color w:val="000000"/>
          <w:sz w:val="24"/>
        </w:rPr>
        <w:t>) are parties to that certain License Agreement dated March 18, 2019 (“</w:t>
      </w:r>
      <w:r>
        <w:rPr>
          <w:rFonts w:ascii="Times New Roman" w:hAnsi="Times New Roman"/>
          <w:b/>
          <w:color w:val="000000"/>
          <w:sz w:val="24"/>
        </w:rPr>
        <w:t>TAK-</w:t>
        <w:br/>
        <w:t>117 License Agreement</w:t>
      </w:r>
      <w:r>
        <w:rPr>
          <w:rFonts w:ascii="Times New Roman" w:hAnsi="Times New Roman"/>
          <w:color w:val="000000"/>
          <w:sz w:val="20"/>
        </w:rPr>
        <w:t>”</w:t>
      </w:r>
      <w:r>
        <w:rPr>
          <w:rFonts w:ascii="Times New Roman" w:hAnsi="Times New Roman"/>
          <w:color w:val="000000"/>
          <w:sz w:val="24"/>
        </w:rPr>
        <w:t>), pursuant to which, among other things, Faeth was granted an</w:t>
        <w:br/>
        <w:t>exclusive, worldwide right and license to develop, commercialize or otherwise exploit TAK-117. Faeth and Millennium Pharmaceuticals, Inc. (“</w:t>
      </w:r>
      <w:r>
        <w:rPr>
          <w:rFonts w:ascii="Times New Roman" w:hAnsi="Times New Roman"/>
          <w:b/>
          <w:color w:val="000000"/>
          <w:sz w:val="24"/>
        </w:rPr>
        <w:t>Millennium</w:t>
      </w:r>
      <w:r>
        <w:rPr>
          <w:rFonts w:ascii="Times New Roman" w:hAnsi="Times New Roman"/>
          <w:color w:val="000000"/>
          <w:sz w:val="20"/>
        </w:rPr>
        <w:t xml:space="preserve">” </w:t>
      </w:r>
      <w:r>
        <w:rPr>
          <w:rFonts w:ascii="Times New Roman" w:hAnsi="Times New Roman"/>
          <w:color w:val="000000"/>
          <w:sz w:val="24"/>
        </w:rPr>
        <w:t>and together with “</w:t>
      </w:r>
      <w:r>
        <w:rPr>
          <w:rFonts w:ascii="Times New Roman" w:hAnsi="Times New Roman"/>
          <w:b/>
          <w:color w:val="000000"/>
          <w:sz w:val="24"/>
        </w:rPr>
        <w:t>Takeda Pharmaceutical</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Takeda</w:t>
      </w:r>
      <w:r>
        <w:rPr>
          <w:rFonts w:ascii="Times New Roman" w:hAnsi="Times New Roman"/>
          <w:color w:val="000000"/>
          <w:sz w:val="20"/>
        </w:rPr>
        <w:t>”</w:t>
      </w:r>
      <w:r>
        <w:rPr>
          <w:rFonts w:ascii="Times New Roman" w:hAnsi="Times New Roman"/>
          <w:color w:val="000000"/>
          <w:sz w:val="24"/>
        </w:rPr>
        <w:t>) are parties to that certain Amended and Restated TAK 228 Asset Purchase Agreement dated May 15, 2023 (“</w:t>
      </w:r>
      <w:r>
        <w:rPr>
          <w:rFonts w:ascii="Times New Roman" w:hAnsi="Times New Roman"/>
          <w:b/>
          <w:color w:val="000000"/>
          <w:sz w:val="24"/>
        </w:rPr>
        <w:t>TAK-228 APA</w:t>
      </w:r>
      <w:r>
        <w:rPr>
          <w:rFonts w:ascii="Times New Roman" w:hAnsi="Times New Roman"/>
          <w:color w:val="000000"/>
          <w:sz w:val="20"/>
        </w:rPr>
        <w:t>”</w:t>
      </w:r>
      <w:r>
        <w:rPr>
          <w:rFonts w:ascii="Times New Roman" w:hAnsi="Times New Roman"/>
          <w:color w:val="000000"/>
          <w:sz w:val="24"/>
        </w:rPr>
        <w:t>), pursuant to which, among other things, Faeth has acquired rights to develop, commercialize or otherwise exploit TAK-228. On May 15, 2023, Faeth and Millennium have entered into that certain letter agreement (“</w:t>
      </w:r>
      <w:r>
        <w:rPr>
          <w:rFonts w:ascii="Times New Roman" w:hAnsi="Times New Roman"/>
          <w:b/>
          <w:color w:val="000000"/>
          <w:sz w:val="24"/>
        </w:rPr>
        <w:t>First Letter Agreement</w:t>
      </w:r>
      <w:r>
        <w:rPr>
          <w:rFonts w:ascii="Times New Roman" w:hAnsi="Times New Roman"/>
          <w:color w:val="000000"/>
          <w:sz w:val="20"/>
        </w:rPr>
        <w:t xml:space="preserve">” </w:t>
      </w:r>
      <w:r>
        <w:rPr>
          <w:rFonts w:ascii="Times New Roman" w:hAnsi="Times New Roman"/>
          <w:color w:val="000000"/>
          <w:sz w:val="24"/>
        </w:rPr>
        <w:t>and, together with the TAK-117 License Agreement and the TAK-228 APA, the “</w:t>
      </w:r>
      <w:r>
        <w:rPr>
          <w:rFonts w:ascii="Times New Roman" w:hAnsi="Times New Roman"/>
          <w:b/>
          <w:color w:val="000000"/>
          <w:sz w:val="24"/>
        </w:rPr>
        <w:t>Existing Agreements</w:t>
      </w:r>
      <w:r>
        <w:rPr>
          <w:rFonts w:ascii="Times New Roman" w:hAnsi="Times New Roman"/>
          <w:color w:val="000000"/>
          <w:sz w:val="20"/>
        </w:rPr>
        <w:t>”</w:t>
      </w:r>
      <w:r>
        <w:rPr>
          <w:rFonts w:ascii="Times New Roman" w:hAnsi="Times New Roman"/>
          <w:color w:val="000000"/>
          <w:sz w:val="24"/>
        </w:rPr>
        <w:t>) to specify, among other things, (a) that, notwithstanding anything to the contrary provided in the TAK-117 License Agreement or the TAK-228 APA, Faeth has, and will have, the right to develop, commercialize or otherwise exploit a Combination Product (as defined in the TAK-228 APA) that includes a Program Molecule (as defined in the TAK-228 APA) and</w:t>
        <w:br/>
        <w:t>the Licensed Compound (as defined in the TAK-117 License Agreement) as the only active pharmaceutical or biological ingredients (such Combination Product, the “</w:t>
      </w:r>
      <w:r>
        <w:rPr>
          <w:rFonts w:ascii="Times New Roman" w:hAnsi="Times New Roman"/>
          <w:b/>
          <w:color w:val="000000"/>
          <w:sz w:val="24"/>
        </w:rPr>
        <w:t>228+117 Combination Product</w:t>
      </w:r>
      <w:r>
        <w:rPr>
          <w:rFonts w:ascii="Times New Roman" w:hAnsi="Times New Roman"/>
          <w:color w:val="000000"/>
          <w:sz w:val="20"/>
        </w:rPr>
        <w:t>”</w:t>
      </w:r>
      <w:r>
        <w:rPr>
          <w:rFonts w:ascii="Times New Roman" w:hAnsi="Times New Roman"/>
          <w:color w:val="000000"/>
          <w:sz w:val="24"/>
        </w:rPr>
        <w:t>) and (b) Faeth’s payment obligations to Takeda with respect to such development, commercialization or other exploitation of 228+117 Combination Product by Faeth.</w:t>
      </w:r>
    </w:p>
    <w:p>
      <w:pPr>
        <w:pStyle w:val="TextBody"/>
        <w:bidi w:val="0"/>
        <w:spacing w:before="160" w:after="283"/>
        <w:jc w:val="both"/>
        <w:rPr>
          <w:rFonts w:ascii="Times New Roman" w:hAnsi="Times New Roman"/>
          <w:sz w:val="20"/>
        </w:rPr>
      </w:pPr>
      <w:r>
        <w:rPr>
          <w:rFonts w:ascii="Times New Roman" w:hAnsi="Times New Roman"/>
          <w:color w:val="000000"/>
          <w:sz w:val="24"/>
        </w:rPr>
        <w:t>Under this second letter agreement (“</w:t>
      </w:r>
      <w:r>
        <w:rPr>
          <w:rFonts w:ascii="Times New Roman" w:hAnsi="Times New Roman"/>
          <w:b/>
          <w:color w:val="000000"/>
          <w:sz w:val="24"/>
        </w:rPr>
        <w:t>Second Letter Agreement</w:t>
      </w:r>
      <w:r>
        <w:rPr>
          <w:rFonts w:ascii="Times New Roman" w:hAnsi="Times New Roman"/>
          <w:color w:val="000000"/>
          <w:sz w:val="20"/>
        </w:rPr>
        <w:t>”</w:t>
      </w:r>
      <w:r>
        <w:rPr>
          <w:rFonts w:ascii="Times New Roman" w:hAnsi="Times New Roman"/>
          <w:color w:val="000000"/>
          <w:sz w:val="24"/>
        </w:rPr>
        <w:t>), Faeth and Takeda (each,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 desire to amend the Existing Agreements in order to modify certain terms and conditions therein.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7"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07" w:after="283"/>
        <w:jc w:val="both"/>
        <w:rPr/>
      </w:pPr>
      <w:r>
        <w:rPr>
          <w:rFonts w:ascii="Times New Roman" w:hAnsi="Times New Roman"/>
          <w:b/>
          <w:color w:val="000000"/>
          <w:sz w:val="24"/>
        </w:rPr>
        <w:t>Definitions</w:t>
      </w:r>
      <w:r>
        <w:rPr>
          <w:rFonts w:ascii="Times New Roman" w:hAnsi="Times New Roman"/>
          <w:color w:val="000000"/>
          <w:sz w:val="24"/>
        </w:rPr>
        <w:t>. Capitalized terms used in this Second Letter Agreement shall have the meanings set forth in the Existing Agreements, unless otherwise defined in this Second Letter Agreement.</w:t>
      </w:r>
    </w:p>
    <w:p>
      <w:pPr>
        <w:pStyle w:val="TextBody"/>
        <w:bidi w:val="0"/>
        <w:spacing w:before="266"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66" w:after="283"/>
        <w:jc w:val="both"/>
        <w:rPr/>
      </w:pPr>
      <w:r>
        <w:rPr>
          <w:rFonts w:ascii="Times New Roman" w:hAnsi="Times New Roman"/>
          <w:b/>
          <w:color w:val="000000"/>
          <w:sz w:val="24"/>
        </w:rPr>
        <w:t>Amendments to TAK-117 License Agreement</w:t>
      </w:r>
      <w:r>
        <w:rPr>
          <w:rFonts w:ascii="Times New Roman" w:hAnsi="Times New Roman"/>
          <w:color w:val="000000"/>
          <w:sz w:val="24"/>
        </w:rPr>
        <w:t>.</w:t>
      </w:r>
    </w:p>
    <w:p>
      <w:pPr>
        <w:pStyle w:val="TextBody"/>
        <w:bidi w:val="0"/>
        <w:spacing w:before="264" w:after="283"/>
        <w:ind w:left="0" w:right="0" w:firstLine="90"/>
        <w:jc w:val="left"/>
        <w:rPr>
          <w:rFonts w:ascii="Times New Roman" w:hAnsi="Times New Roman"/>
          <w:sz w:val="20"/>
        </w:rPr>
      </w:pPr>
      <w:r>
        <w:rPr>
          <w:rFonts w:ascii="Times New Roman" w:hAnsi="Times New Roman"/>
          <w:b/>
          <w:color w:val="000000"/>
          <w:sz w:val="24"/>
        </w:rPr>
        <w:t xml:space="preserve">2.1 </w:t>
      </w:r>
      <w:r>
        <w:rPr>
          <w:rFonts w:ascii="Times New Roman" w:hAnsi="Times New Roman"/>
          <w:color w:val="000000"/>
          <w:sz w:val="24"/>
        </w:rPr>
        <w:t>The following sentence is hereby added to the end of Section 1.30 (Definition of “Product”) of the TAK-117 License Agreement:</w:t>
      </w:r>
    </w:p>
    <w:p>
      <w:pPr>
        <w:pStyle w:val="TextBody"/>
        <w:bidi w:val="0"/>
        <w:spacing w:before="266" w:after="283"/>
        <w:ind w:left="720" w:right="0" w:hanging="0"/>
        <w:jc w:val="left"/>
        <w:rPr>
          <w:color w:val="000000"/>
        </w:rPr>
      </w:pPr>
      <w:r>
        <w:rPr>
          <w:color w:val="000000"/>
        </w:rPr>
        <w:t>“</w:t>
      </w:r>
      <w:r>
        <w:rPr>
          <w:rFonts w:ascii="Times New Roman" w:hAnsi="Times New Roman"/>
          <w:color w:val="000000"/>
          <w:sz w:val="24"/>
        </w:rPr>
        <w:t>For clarity, Product includes the 228+117 Combination Product.”</w:t>
      </w:r>
    </w:p>
    <w:p>
      <w:pPr>
        <w:pStyle w:val="TextBody"/>
        <w:bidi w:val="0"/>
        <w:spacing w:before="264" w:after="283"/>
        <w:ind w:left="0" w:right="0" w:firstLine="90"/>
        <w:jc w:val="left"/>
        <w:rPr>
          <w:rFonts w:ascii="Times New Roman" w:hAnsi="Times New Roman"/>
          <w:sz w:val="20"/>
        </w:rPr>
      </w:pPr>
      <w:r>
        <w:rPr>
          <w:rFonts w:ascii="Times New Roman" w:hAnsi="Times New Roman"/>
          <w:b/>
          <w:color w:val="000000"/>
          <w:sz w:val="24"/>
        </w:rPr>
        <w:t xml:space="preserve">2.2 </w:t>
      </w:r>
      <w:r>
        <w:rPr>
          <w:rFonts w:ascii="Times New Roman" w:hAnsi="Times New Roman"/>
          <w:color w:val="000000"/>
          <w:sz w:val="24"/>
        </w:rPr>
        <w:t>The following is hereby added to Article 1 (Definitions) of the TAK-117 License Agreement as a new definition, in alphanumerical order with the other definitions contained therein:</w:t>
      </w:r>
    </w:p>
    <w:p>
      <w:pPr>
        <w:pStyle w:val="TextBody"/>
        <w:bidi w:val="0"/>
        <w:spacing w:before="264" w:after="283"/>
        <w:ind w:left="720" w:right="0" w:firstLine="720"/>
        <w:jc w:val="both"/>
        <w:rPr/>
      </w:pPr>
      <w:r>
        <w:rPr>
          <w:color w:val="000000"/>
        </w:rPr>
        <w:t>“</w:t>
      </w:r>
      <w:r>
        <w:rPr>
          <w:rFonts w:ascii="Times New Roman" w:hAnsi="Times New Roman"/>
          <w:b/>
          <w:color w:val="000000"/>
          <w:sz w:val="24"/>
        </w:rPr>
        <w:t>228+117 Combination Product Know-How</w:t>
      </w:r>
      <w:r>
        <w:rPr>
          <w:rFonts w:ascii="Times New Roman" w:hAnsi="Times New Roman"/>
          <w:color w:val="000000"/>
          <w:sz w:val="20"/>
        </w:rPr>
        <w:t xml:space="preserve">” </w:t>
      </w:r>
      <w:r>
        <w:rPr>
          <w:rFonts w:ascii="Times New Roman" w:hAnsi="Times New Roman"/>
          <w:color w:val="000000"/>
          <w:sz w:val="24"/>
        </w:rPr>
        <w:t xml:space="preserve">means Know-How that is listed in [***]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(Takeda Know-How) or any document referenced therein, solely to the extent it relates to a 228+117 Combination Product.”</w:t>
      </w:r>
    </w:p>
    <w:p>
      <w:pPr>
        <w:pStyle w:val="TextBody"/>
        <w:bidi w:val="0"/>
        <w:spacing w:before="264" w:after="283"/>
        <w:ind w:left="0" w:right="0" w:firstLine="90"/>
        <w:jc w:val="left"/>
        <w:rPr>
          <w:rFonts w:ascii="Times New Roman" w:hAnsi="Times New Roman"/>
          <w:sz w:val="20"/>
        </w:rPr>
      </w:pPr>
      <w:r>
        <w:rPr>
          <w:rFonts w:ascii="Times New Roman" w:hAnsi="Times New Roman"/>
          <w:b/>
          <w:color w:val="000000"/>
          <w:sz w:val="24"/>
        </w:rPr>
        <w:t xml:space="preserve">2.3 </w:t>
      </w:r>
      <w:r>
        <w:rPr>
          <w:rFonts w:ascii="Times New Roman" w:hAnsi="Times New Roman"/>
          <w:color w:val="000000"/>
          <w:sz w:val="24"/>
        </w:rPr>
        <w:t>Section 1.36 (Definition of “Takeda Know-How”) of the TAK-117 License Agreement is hereby amended and restated in its entirety as follows:</w:t>
      </w:r>
    </w:p>
    <w:p>
      <w:pPr>
        <w:pStyle w:val="TextBody"/>
        <w:bidi w:val="0"/>
        <w:spacing w:before="264" w:after="283"/>
        <w:ind w:left="720" w:right="0" w:firstLine="720"/>
        <w:jc w:val="both"/>
        <w:rPr/>
      </w:pPr>
      <w:r>
        <w:rPr>
          <w:color w:val="000000"/>
        </w:rPr>
        <w:t>“</w:t>
      </w:r>
      <w:r>
        <w:rPr>
          <w:rFonts w:ascii="Times New Roman" w:hAnsi="Times New Roman"/>
          <w:b/>
          <w:color w:val="000000"/>
          <w:sz w:val="24"/>
        </w:rPr>
        <w:t xml:space="preserve">1.36 </w:t>
      </w:r>
      <w:r>
        <w:rPr>
          <w:rFonts w:ascii="Times New Roman" w:hAnsi="Times New Roman"/>
          <w:color w:val="000000"/>
          <w:sz w:val="20"/>
        </w:rPr>
        <w:t>“</w:t>
      </w:r>
      <w:r>
        <w:rPr>
          <w:rFonts w:ascii="Times New Roman" w:hAnsi="Times New Roman"/>
          <w:b/>
          <w:color w:val="000000"/>
          <w:sz w:val="24"/>
        </w:rPr>
        <w:t>Takeda Know-How</w:t>
      </w:r>
      <w:r>
        <w:rPr>
          <w:rFonts w:ascii="Times New Roman" w:hAnsi="Times New Roman"/>
          <w:color w:val="000000"/>
          <w:sz w:val="20"/>
        </w:rPr>
        <w:t xml:space="preserve">” </w:t>
      </w:r>
      <w:r>
        <w:rPr>
          <w:rFonts w:ascii="Times New Roman" w:hAnsi="Times New Roman"/>
          <w:color w:val="000000"/>
          <w:sz w:val="24"/>
        </w:rPr>
        <w:t xml:space="preserve">means any Know-How that is listed in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or</w:t>
        <w:br/>
        <w:t>any document referenced therein, solely to the extent it relates to a Licensed Compound or Product, including the 228+117 Combination Product Know-How. For clarity, except for</w:t>
        <w:br/>
        <w:t>the 228+117 Combination Product Know-How, Know-How that relates to a Licensed Compound or Product in combination with any other compound, molecule, substance, or product is explicitly excluded from Takeda Know-How.”</w:t>
      </w:r>
    </w:p>
    <w:p>
      <w:pPr>
        <w:pStyle w:val="TextBody"/>
        <w:bidi w:val="0"/>
        <w:spacing w:before="264" w:after="283"/>
        <w:ind w:left="0" w:right="0" w:firstLine="90"/>
        <w:jc w:val="left"/>
        <w:rPr>
          <w:rFonts w:ascii="Times New Roman" w:hAnsi="Times New Roman"/>
          <w:sz w:val="20"/>
        </w:rPr>
      </w:pPr>
      <w:r>
        <w:rPr>
          <w:rFonts w:ascii="Times New Roman" w:hAnsi="Times New Roman"/>
          <w:b/>
          <w:color w:val="000000"/>
          <w:sz w:val="24"/>
        </w:rPr>
        <w:t xml:space="preserve">2.4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(Takeda Know-How) of the TAK-117 License Agreement is hereby amended and restated in its entirety as follows:</w:t>
      </w:r>
    </w:p>
    <w:p>
      <w:pPr>
        <w:pStyle w:val="TextBody"/>
        <w:bidi w:val="0"/>
        <w:spacing w:before="265" w:after="283"/>
        <w:ind w:left="4392" w:right="0" w:hanging="0"/>
        <w:jc w:val="left"/>
        <w:rPr>
          <w:rFonts w:ascii="Times New Roman" w:hAnsi="Times New Roman"/>
          <w:b/>
          <w:color w:val="000000"/>
          <w:sz w:val="24"/>
          <w:u w:val="single"/>
        </w:rPr>
      </w:pPr>
      <w:r>
        <w:rPr>
          <w:rFonts w:ascii="Times New Roman" w:hAnsi="Times New Roman"/>
          <w:b/>
          <w:color w:val="000000"/>
          <w:sz w:val="24"/>
          <w:u w:val="single"/>
        </w:rPr>
        <w:t>Takeda Know-How</w:t>
      </w:r>
    </w:p>
    <w:p>
      <w:pPr>
        <w:pStyle w:val="TextBody"/>
        <w:bidi w:val="0"/>
        <w:spacing w:before="120" w:after="283"/>
        <w:ind w:left="720" w:right="0" w:hanging="0"/>
        <w:jc w:val="both"/>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20" w:after="283"/>
        <w:ind w:left="720" w:right="0" w:hanging="0"/>
        <w:jc w:val="both"/>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20" w:after="283"/>
        <w:ind w:left="720" w:right="0" w:hanging="0"/>
        <w:jc w:val="both"/>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20" w:after="283"/>
        <w:ind w:left="720" w:right="0" w:hanging="0"/>
        <w:jc w:val="both"/>
        <w:rPr>
          <w:rFonts w:ascii="Times New Roman" w:hAnsi="Times New Roman"/>
          <w:color w:val="000000"/>
          <w:sz w:val="24"/>
        </w:rPr>
      </w:pPr>
      <w:r>
        <w:rPr>
          <w:rFonts w:ascii="Times New Roman" w:hAnsi="Times New Roman"/>
          <w:color w:val="000000"/>
          <w:sz w:val="24"/>
        </w:rPr>
        <w:t>4.</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20" w:after="283"/>
        <w:ind w:left="1440" w:right="0"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34" w:after="283"/>
        <w:ind w:left="1440" w:right="0"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234"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34" w:after="283"/>
        <w:ind w:left="1440" w:right="0" w:hanging="0"/>
        <w:jc w:val="both"/>
        <w:rPr>
          <w:rFonts w:ascii="Times New Roman" w:hAnsi="Times New Roman"/>
          <w:color w:val="000000"/>
          <w:sz w:val="24"/>
        </w:rPr>
      </w:pPr>
      <w:r>
        <w:rPr>
          <w:rFonts w:ascii="Times New Roman" w:hAnsi="Times New Roman"/>
          <w:color w:val="000000"/>
          <w:sz w:val="24"/>
        </w:rPr>
        <w:t>c.</w:t>
      </w:r>
    </w:p>
    <w:p>
      <w:pPr>
        <w:pStyle w:val="TextBody"/>
        <w:bidi w:val="0"/>
        <w:spacing w:before="234"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34" w:after="283"/>
        <w:ind w:left="1440" w:right="0" w:hanging="0"/>
        <w:jc w:val="both"/>
        <w:rPr>
          <w:rFonts w:ascii="Times New Roman" w:hAnsi="Times New Roman"/>
          <w:color w:val="000000"/>
          <w:sz w:val="24"/>
        </w:rPr>
      </w:pPr>
      <w:r>
        <w:rPr>
          <w:rFonts w:ascii="Times New Roman" w:hAnsi="Times New Roman"/>
          <w:color w:val="000000"/>
          <w:sz w:val="24"/>
        </w:rPr>
        <w:t>d.</w:t>
      </w:r>
    </w:p>
    <w:p>
      <w:pPr>
        <w:pStyle w:val="TextBody"/>
        <w:bidi w:val="0"/>
        <w:spacing w:before="234"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20" w:after="283"/>
        <w:ind w:left="0" w:right="0" w:firstLine="720"/>
        <w:jc w:val="both"/>
        <w:rPr>
          <w:rFonts w:ascii="Times New Roman" w:hAnsi="Times New Roman"/>
          <w:sz w:val="20"/>
        </w:rPr>
      </w:pPr>
      <w:r>
        <w:rPr>
          <w:rFonts w:ascii="Times New Roman" w:hAnsi="Times New Roman"/>
          <w:b/>
          <w:color w:val="000000"/>
          <w:sz w:val="24"/>
        </w:rPr>
        <w:t xml:space="preserve">2.5 </w:t>
      </w:r>
      <w:r>
        <w:rPr>
          <w:rFonts w:ascii="Times New Roman" w:hAnsi="Times New Roman"/>
          <w:color w:val="000000"/>
          <w:sz w:val="24"/>
        </w:rPr>
        <w:t>Section 5.2 (Equity Grant) of the TAK-117 License Agreement is hereby deleted in its entirety and replaced by the following: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5" w:after="283"/>
        <w:ind w:left="720" w:right="0" w:hanging="0"/>
        <w:jc w:val="left"/>
        <w:rPr/>
      </w:pPr>
      <w:r>
        <w:rPr>
          <w:color w:val="000000"/>
        </w:rPr>
        <w:t>“</w:t>
      </w:r>
      <w:r>
        <w:rPr>
          <w:rFonts w:ascii="Times New Roman" w:hAnsi="Times New Roman"/>
          <w:b/>
          <w:color w:val="000000"/>
          <w:sz w:val="24"/>
        </w:rPr>
        <w:t xml:space="preserve">5.2 </w:t>
      </w:r>
      <w:r>
        <w:rPr>
          <w:rFonts w:ascii="Times New Roman" w:hAnsi="Times New Roman"/>
          <w:color w:val="000000"/>
          <w:sz w:val="24"/>
        </w:rPr>
        <w:t>[Intentionally omitted.]”</w:t>
      </w:r>
    </w:p>
    <w:p>
      <w:pPr>
        <w:pStyle w:val="TextBody"/>
        <w:bidi w:val="0"/>
        <w:spacing w:before="246" w:after="283"/>
        <w:jc w:val="left"/>
        <w:rPr>
          <w:rFonts w:ascii="Times New Roman" w:hAnsi="Times New Roman"/>
          <w:sz w:val="20"/>
        </w:rPr>
      </w:pPr>
      <w:r>
        <w:rPr>
          <w:rFonts w:ascii="Times New Roman" w:hAnsi="Times New Roman"/>
          <w:b/>
          <w:color w:val="000000"/>
          <w:sz w:val="24"/>
        </w:rPr>
        <w:t>3. Amendments to TAK-228 APA</w:t>
      </w:r>
      <w:r>
        <w:rPr>
          <w:rFonts w:ascii="Times New Roman" w:hAnsi="Times New Roman"/>
          <w:color w:val="000000"/>
          <w:sz w:val="24"/>
        </w:rPr>
        <w:t>.</w:t>
      </w:r>
    </w:p>
    <w:p>
      <w:pPr>
        <w:pStyle w:val="TextBody"/>
        <w:bidi w:val="0"/>
        <w:spacing w:before="238" w:after="283"/>
        <w:ind w:left="0" w:right="0" w:firstLine="720"/>
        <w:jc w:val="both"/>
        <w:rPr>
          <w:rFonts w:ascii="Times New Roman" w:hAnsi="Times New Roman"/>
          <w:sz w:val="20"/>
        </w:rPr>
      </w:pPr>
      <w:r>
        <w:rPr>
          <w:rFonts w:ascii="Times New Roman" w:hAnsi="Times New Roman"/>
          <w:b/>
          <w:color w:val="000000"/>
          <w:sz w:val="24"/>
        </w:rPr>
        <w:t xml:space="preserve">3.1 </w:t>
      </w:r>
      <w:r>
        <w:rPr>
          <w:rFonts w:ascii="Times New Roman" w:hAnsi="Times New Roman"/>
          <w:color w:val="000000"/>
          <w:sz w:val="24"/>
        </w:rPr>
        <w:t>The definition of “Product” set forth in Article 1 (Definitions) of the TAK-228 APA is hereby amended and restated in its entirety as follows:</w:t>
      </w:r>
    </w:p>
    <w:p>
      <w:pPr>
        <w:pStyle w:val="TextBody"/>
        <w:bidi w:val="0"/>
        <w:spacing w:before="262" w:after="283"/>
        <w:ind w:left="0" w:right="0" w:firstLine="720"/>
        <w:jc w:val="both"/>
        <w:rPr/>
      </w:pPr>
      <w:r>
        <w:rPr>
          <w:color w:val="000000"/>
        </w:rPr>
        <w:t>““</w:t>
      </w:r>
      <w:r>
        <w:rPr>
          <w:rFonts w:ascii="Times New Roman" w:hAnsi="Times New Roman"/>
          <w:b/>
          <w:color w:val="000000"/>
          <w:sz w:val="24"/>
        </w:rPr>
        <w:t>Product</w:t>
      </w:r>
      <w:r>
        <w:rPr>
          <w:rFonts w:ascii="Times New Roman" w:hAnsi="Times New Roman"/>
          <w:color w:val="000000"/>
          <w:sz w:val="20"/>
        </w:rPr>
        <w:t xml:space="preserve">” </w:t>
      </w:r>
      <w:r>
        <w:rPr>
          <w:rFonts w:ascii="Times New Roman" w:hAnsi="Times New Roman"/>
          <w:color w:val="000000"/>
          <w:sz w:val="24"/>
        </w:rPr>
        <w:t>means any product that contains or comprises a Program Molecule, alone or in combination with one or more Additional Active(s), in any formulation or dosage form and for any mode of administration; provided that, in no event will any Product include any Takeda Compounds (other than serabelisib (TAK-117)). For clarity, Product includes the 228+117 Combination Product.”</w:t>
      </w:r>
    </w:p>
    <w:p>
      <w:pPr>
        <w:pStyle w:val="TextBody"/>
        <w:bidi w:val="0"/>
        <w:spacing w:before="215" w:after="283"/>
        <w:ind w:left="0" w:right="0" w:firstLine="720"/>
        <w:jc w:val="both"/>
        <w:rPr>
          <w:rFonts w:ascii="Times New Roman" w:hAnsi="Times New Roman"/>
          <w:sz w:val="20"/>
        </w:rPr>
      </w:pPr>
      <w:r>
        <w:rPr>
          <w:rFonts w:ascii="Times New Roman" w:hAnsi="Times New Roman"/>
          <w:b/>
          <w:color w:val="000000"/>
          <w:sz w:val="24"/>
        </w:rPr>
        <w:t xml:space="preserve">3.2 </w:t>
      </w:r>
      <w:r>
        <w:rPr>
          <w:rFonts w:ascii="Times New Roman" w:hAnsi="Times New Roman"/>
          <w:color w:val="000000"/>
          <w:sz w:val="24"/>
        </w:rPr>
        <w:t>The following is hereby added to Article 1 (Definitions) of the TAK-228 APA as a new definition, in alphanumerical order with the other definitions contained therein:</w:t>
      </w:r>
    </w:p>
    <w:p>
      <w:pPr>
        <w:pStyle w:val="TextBody"/>
        <w:bidi w:val="0"/>
        <w:spacing w:before="260" w:after="283"/>
        <w:ind w:left="720" w:right="0" w:firstLine="720"/>
        <w:jc w:val="both"/>
        <w:rPr/>
      </w:pPr>
      <w:r>
        <w:rPr>
          <w:color w:val="000000"/>
        </w:rPr>
        <w:t>“”</w:t>
      </w:r>
      <w:r>
        <w:rPr>
          <w:rFonts w:ascii="Times New Roman" w:hAnsi="Times New Roman"/>
          <w:b/>
          <w:color w:val="000000"/>
          <w:sz w:val="24"/>
        </w:rPr>
        <w:t>228+117 Combination Product Know-How</w:t>
      </w:r>
      <w:r>
        <w:rPr>
          <w:rFonts w:ascii="Times New Roman" w:hAnsi="Times New Roman"/>
          <w:color w:val="000000"/>
          <w:sz w:val="20"/>
        </w:rPr>
        <w:t xml:space="preserve">” </w:t>
      </w:r>
      <w:r>
        <w:rPr>
          <w:rFonts w:ascii="Times New Roman" w:hAnsi="Times New Roman"/>
          <w:color w:val="000000"/>
          <w:sz w:val="24"/>
        </w:rPr>
        <w:t xml:space="preserve">means Know-How that is listed in [***] of </w:t>
      </w:r>
      <w:r>
        <w:rPr>
          <w:rFonts w:ascii="Times New Roman" w:hAnsi="Times New Roman"/>
          <w:color w:val="000000"/>
          <w:sz w:val="24"/>
          <w:u w:val="single"/>
        </w:rPr>
        <w:t>Schedule 2.6</w:t>
      </w:r>
      <w:r>
        <w:rPr>
          <w:rFonts w:ascii="Times New Roman" w:hAnsi="Times New Roman"/>
          <w:color w:val="000000"/>
          <w:sz w:val="20"/>
        </w:rPr>
        <w:t xml:space="preserve"> </w:t>
      </w:r>
      <w:r>
        <w:rPr>
          <w:rFonts w:ascii="Times New Roman" w:hAnsi="Times New Roman"/>
          <w:color w:val="000000"/>
          <w:sz w:val="24"/>
        </w:rPr>
        <w:t>(Licensed Intellectual Property) or any document referenced therein, solely to the extent it relates to a 228+117 Combination Product.”</w:t>
      </w:r>
    </w:p>
    <w:p>
      <w:pPr>
        <w:pStyle w:val="TextBody"/>
        <w:bidi w:val="0"/>
        <w:spacing w:before="120" w:after="283"/>
        <w:ind w:left="0" w:right="0" w:firstLine="720"/>
        <w:jc w:val="both"/>
        <w:rPr>
          <w:rFonts w:ascii="Times New Roman" w:hAnsi="Times New Roman"/>
          <w:sz w:val="20"/>
        </w:rPr>
      </w:pPr>
      <w:r>
        <w:rPr>
          <w:rFonts w:ascii="Times New Roman" w:hAnsi="Times New Roman"/>
          <w:b/>
          <w:color w:val="000000"/>
          <w:sz w:val="24"/>
        </w:rPr>
        <w:t xml:space="preserve">3.3 </w:t>
      </w:r>
      <w:r>
        <w:rPr>
          <w:rFonts w:ascii="Times New Roman" w:hAnsi="Times New Roman"/>
          <w:color w:val="000000"/>
          <w:sz w:val="24"/>
        </w:rPr>
        <w:t>Section 2.6 (Licensed Intellectual Property) of the TAK-228 APA is hereby amended and restated in its entirety as follows:</w:t>
      </w:r>
    </w:p>
    <w:p>
      <w:pPr>
        <w:pStyle w:val="TextBody"/>
        <w:bidi w:val="0"/>
        <w:spacing w:before="120" w:after="283"/>
        <w:ind w:left="0" w:right="0" w:firstLine="720"/>
        <w:jc w:val="both"/>
        <w:rPr/>
      </w:pPr>
      <w:r>
        <w:rPr>
          <w:color w:val="000000"/>
        </w:rPr>
        <w:t>“</w:t>
      </w:r>
      <w:r>
        <w:rPr>
          <w:rFonts w:ascii="Times New Roman" w:hAnsi="Times New Roman"/>
          <w:b/>
          <w:color w:val="000000"/>
          <w:sz w:val="24"/>
        </w:rPr>
        <w:t>2.6 Licensed Intellectual Property</w:t>
      </w:r>
      <w:r>
        <w:rPr>
          <w:rFonts w:ascii="Times New Roman" w:hAnsi="Times New Roman"/>
          <w:color w:val="000000"/>
          <w:sz w:val="24"/>
        </w:rPr>
        <w:t>. To the extent Seller or its Affiliate Controls any</w:t>
        <w:br/>
        <w:t xml:space="preserve">Patent Rights or Know-How (a) as of the Closing Date; or (b) on or after the Closing Date and (A) included in the Transaction IP, (B) Controlled pursuant to a Non-Assignable Contract or Related Agreement, in each case (A) and (B) pursuant to </w:t>
      </w:r>
      <w:r>
        <w:rPr>
          <w:rFonts w:ascii="Times New Roman" w:hAnsi="Times New Roman"/>
          <w:color w:val="000000"/>
          <w:sz w:val="24"/>
          <w:u w:val="single"/>
        </w:rPr>
        <w:t>Section 4.3,</w:t>
      </w:r>
      <w:r>
        <w:rPr>
          <w:rFonts w:ascii="Times New Roman" w:hAnsi="Times New Roman"/>
          <w:color w:val="000000"/>
          <w:sz w:val="20"/>
        </w:rPr>
        <w:t xml:space="preserve"> </w:t>
      </w:r>
      <w:r>
        <w:rPr>
          <w:rFonts w:ascii="Times New Roman" w:hAnsi="Times New Roman"/>
          <w:color w:val="000000"/>
          <w:sz w:val="24"/>
        </w:rPr>
        <w:t>or (C) constituting Section 2.5(b) IP, that in each case (a) and (b) are necessary to research and develop, make, have made, use, sell,</w:t>
        <w:br/>
        <w:t>offer for sale, and import Products (including researching, developing, and making Program Molecules for the purpose of exercising such license with respect to Products) in the Field in the Territory and that are not included in Assigned Intellectual Property or licensed under the Assigned Agreements (“</w:t>
      </w:r>
      <w:r>
        <w:rPr>
          <w:rFonts w:ascii="Times New Roman" w:hAnsi="Times New Roman"/>
          <w:b/>
          <w:color w:val="000000"/>
          <w:sz w:val="24"/>
        </w:rPr>
        <w:t>Licensed Intellectual Property</w:t>
      </w:r>
      <w:r>
        <w:rPr>
          <w:rFonts w:ascii="Times New Roman" w:hAnsi="Times New Roman"/>
          <w:color w:val="000000"/>
          <w:sz w:val="20"/>
        </w:rPr>
        <w:t>”</w:t>
      </w:r>
      <w:r>
        <w:rPr>
          <w:rFonts w:ascii="Times New Roman" w:hAnsi="Times New Roman"/>
          <w:color w:val="000000"/>
          <w:sz w:val="24"/>
        </w:rPr>
        <w:t>), Seller hereby grants Buyer a non-exclusive license under and to such Licensed Intellectual Property, with the right to grant sublicenses through multiple tiers, for the sole purpose of researching, developing, making, having made, using and importing Program Molecules and researching and developing, making, having made, using, selling, offering for sale, and importing Products in the Field in the Territory; provided, that Licensed Intellectual Property does not include any Patent Rights or Know-How that relate to a Program Molecule or Product in combination with a Takeda Compound (but for clarity, Licensed Intellectual Property does include the 228+117 Combination Product Know-How). Each</w:t>
        <w:br/>
        <w:t xml:space="preserve">sublicense shall be consistent with the terms and conditions of this Agreement, including requiring each such sublicensee to protect and keep confidential any Confidential Information of the Parties in accordance with </w:t>
      </w:r>
      <w:r>
        <w:rPr>
          <w:rFonts w:ascii="Times New Roman" w:hAnsi="Times New Roman"/>
          <w:color w:val="000000"/>
          <w:sz w:val="24"/>
          <w:u w:val="single"/>
        </w:rPr>
        <w:t>Article 7</w:t>
      </w:r>
      <w:r>
        <w:rPr>
          <w:rFonts w:ascii="Times New Roman" w:hAnsi="Times New Roman"/>
          <w:color w:val="000000"/>
          <w:sz w:val="20"/>
        </w:rPr>
        <w:t xml:space="preserve"> </w:t>
      </w:r>
      <w:r>
        <w:rPr>
          <w:rFonts w:ascii="Times New Roman" w:hAnsi="Times New Roman"/>
          <w:color w:val="000000"/>
          <w:sz w:val="24"/>
        </w:rPr>
        <w:t xml:space="preserve">of this Agreement. For clarity, Licensed Intellectual Property, other than Section 2.5(b) IP, does not include Patent Rights or Know-How owned by Seller or its Affiliate that solely relate to any Program Molecule, which is included in Assigned Intellectual Property. </w:t>
      </w:r>
      <w:r>
        <w:rPr>
          <w:rFonts w:ascii="Times New Roman" w:hAnsi="Times New Roman"/>
          <w:color w:val="000000"/>
          <w:sz w:val="24"/>
          <w:u w:val="single"/>
        </w:rPr>
        <w:t>Schedule 2.6</w:t>
      </w:r>
      <w:r>
        <w:rPr>
          <w:rFonts w:ascii="Times New Roman" w:hAnsi="Times New Roman"/>
          <w:color w:val="000000"/>
          <w:sz w:val="20"/>
        </w:rPr>
        <w:t xml:space="preserve"> </w:t>
      </w:r>
      <w:r>
        <w:rPr>
          <w:rFonts w:ascii="Times New Roman" w:hAnsi="Times New Roman"/>
          <w:color w:val="000000"/>
          <w:sz w:val="24"/>
        </w:rPr>
        <w:t>sets forth the Licensed Intellectual Property as of the Closing Date; such schedule may be updated by the Parties from time to time. For clarity, to the extent any Know-</w:t>
        <w:br/>
        <w:t xml:space="preserve">How listed in </w:t>
      </w:r>
      <w:r>
        <w:rPr>
          <w:rFonts w:ascii="Times New Roman" w:hAnsi="Times New Roman"/>
          <w:color w:val="000000"/>
          <w:sz w:val="24"/>
          <w:u w:val="single"/>
        </w:rPr>
        <w:t>Schedule 2.6</w:t>
      </w:r>
      <w:r>
        <w:rPr>
          <w:rFonts w:ascii="Times New Roman" w:hAnsi="Times New Roman"/>
          <w:color w:val="000000"/>
          <w:sz w:val="20"/>
        </w:rPr>
        <w:t xml:space="preserve"> </w:t>
      </w:r>
      <w:r>
        <w:rPr>
          <w:rFonts w:ascii="Times New Roman" w:hAnsi="Times New Roman"/>
          <w:color w:val="000000"/>
          <w:sz w:val="24"/>
        </w:rPr>
        <w:t>or the documents referenced therein relates to a compound, molecule, substance, or product other than a Program Molecule, a Licensed Compound (as defined in the TAK-117 License Agreement), or a 228+117 Combination Product, such Know-How is excluded from the Licensed Intellectual Property. Without limiting the foregoing, with respect to Patent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Rights included in Section 2.5(b) IP, Buyer shall have the right to notify Seller that it desires to obtain an exclusive license with respect thereto for the sole purpose of researching, developing, making, have made, using and importing Program Molecules and researching and developing, making, having made, using, selling, offering for sale, and importing Products in the Field in the Territory, and upon receipt of any such notification the Parties shall negotiate in good faith appropriate financial consideration to be provided by Buyer to Seller for such an exclusive license to the extent that Seller has the right and ability to grant such a license; provided that neither Party has an obligation to enter into any such exclusive license.”</w:t>
      </w:r>
    </w:p>
    <w:p>
      <w:pPr>
        <w:pStyle w:val="TextBody"/>
        <w:bidi w:val="0"/>
        <w:spacing w:before="241" w:after="283"/>
        <w:ind w:left="720" w:right="0" w:hanging="0"/>
        <w:jc w:val="left"/>
        <w:rPr>
          <w:rFonts w:ascii="Times New Roman" w:hAnsi="Times New Roman"/>
          <w:sz w:val="20"/>
        </w:rPr>
      </w:pPr>
      <w:r>
        <w:rPr>
          <w:rFonts w:ascii="Times New Roman" w:hAnsi="Times New Roman"/>
          <w:b/>
          <w:color w:val="000000"/>
          <w:sz w:val="24"/>
        </w:rPr>
        <w:t xml:space="preserve">3.4 </w:t>
      </w:r>
      <w:r>
        <w:rPr>
          <w:rFonts w:ascii="Times New Roman" w:hAnsi="Times New Roman"/>
          <w:color w:val="000000"/>
          <w:sz w:val="24"/>
          <w:u w:val="single"/>
        </w:rPr>
        <w:t>Schedule 2.6</w:t>
      </w:r>
      <w:r>
        <w:rPr>
          <w:rFonts w:ascii="Times New Roman" w:hAnsi="Times New Roman"/>
          <w:color w:val="000000"/>
          <w:sz w:val="20"/>
        </w:rPr>
        <w:t xml:space="preserve"> </w:t>
      </w:r>
      <w:r>
        <w:rPr>
          <w:rFonts w:ascii="Times New Roman" w:hAnsi="Times New Roman"/>
          <w:color w:val="000000"/>
          <w:sz w:val="24"/>
        </w:rPr>
        <w:t>(Licensed Intellectual Property) of the TAK-228 APA is hereby</w:t>
      </w:r>
    </w:p>
    <w:p>
      <w:pPr>
        <w:pStyle w:val="TextBody"/>
        <w:bidi w:val="0"/>
        <w:spacing w:before="23" w:after="283"/>
        <w:jc w:val="left"/>
        <w:rPr>
          <w:rFonts w:ascii="Times New Roman" w:hAnsi="Times New Roman"/>
          <w:color w:val="000000"/>
          <w:sz w:val="24"/>
        </w:rPr>
      </w:pPr>
      <w:r>
        <w:rPr>
          <w:rFonts w:ascii="Times New Roman" w:hAnsi="Times New Roman"/>
          <w:color w:val="000000"/>
          <w:sz w:val="24"/>
        </w:rPr>
        <w:t>amended and restated in its entirety as follows:</w:t>
      </w:r>
    </w:p>
    <w:p>
      <w:pPr>
        <w:pStyle w:val="TextBody"/>
        <w:bidi w:val="0"/>
        <w:spacing w:before="242" w:after="283"/>
        <w:ind w:left="4392" w:right="0" w:hanging="0"/>
        <w:jc w:val="left"/>
        <w:rPr>
          <w:rFonts w:ascii="Times New Roman" w:hAnsi="Times New Roman"/>
          <w:b/>
          <w:color w:val="000000"/>
          <w:sz w:val="24"/>
          <w:u w:val="single"/>
        </w:rPr>
      </w:pPr>
      <w:r>
        <w:rPr>
          <w:rFonts w:ascii="Times New Roman" w:hAnsi="Times New Roman"/>
          <w:b/>
          <w:color w:val="000000"/>
          <w:sz w:val="24"/>
          <w:u w:val="single"/>
        </w:rPr>
        <w:t>Schedule 2.6</w:t>
      </w:r>
    </w:p>
    <w:p>
      <w:pPr>
        <w:pStyle w:val="TextBody"/>
        <w:bidi w:val="0"/>
        <w:spacing w:before="250" w:after="283"/>
        <w:ind w:left="3456" w:right="0" w:hanging="0"/>
        <w:jc w:val="left"/>
        <w:rPr>
          <w:rFonts w:ascii="Times New Roman" w:hAnsi="Times New Roman"/>
          <w:b/>
          <w:color w:val="000000"/>
          <w:sz w:val="24"/>
          <w:u w:val="single"/>
        </w:rPr>
      </w:pPr>
      <w:r>
        <w:rPr>
          <w:rFonts w:ascii="Times New Roman" w:hAnsi="Times New Roman"/>
          <w:b/>
          <w:color w:val="000000"/>
          <w:sz w:val="24"/>
          <w:u w:val="single"/>
        </w:rPr>
        <w:t>Licensed Intellectual Property</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360" w:after="283"/>
        <w:jc w:val="left"/>
        <w:rPr>
          <w:rFonts w:ascii="Times New Roman" w:hAnsi="Times New Roman"/>
          <w:sz w:val="20"/>
        </w:rPr>
      </w:pPr>
      <w:r>
        <w:rPr>
          <w:rFonts w:ascii="Times New Roman" w:hAnsi="Times New Roman"/>
          <w:b/>
          <w:color w:val="000000"/>
          <w:sz w:val="24"/>
        </w:rPr>
        <w:t>4. Amendments to First Letter Agreement</w:t>
      </w:r>
      <w:r>
        <w:rPr>
          <w:rFonts w:ascii="Times New Roman" w:hAnsi="Times New Roman"/>
          <w:color w:val="000000"/>
          <w:sz w:val="24"/>
        </w:rPr>
        <w:t>.</w:t>
      </w:r>
    </w:p>
    <w:p>
      <w:pPr>
        <w:pStyle w:val="TextBody"/>
        <w:bidi w:val="0"/>
        <w:spacing w:before="238" w:after="283"/>
        <w:ind w:left="0" w:right="0" w:firstLine="720"/>
        <w:jc w:val="both"/>
        <w:rPr>
          <w:rFonts w:ascii="Times New Roman" w:hAnsi="Times New Roman"/>
          <w:sz w:val="20"/>
        </w:rPr>
      </w:pPr>
      <w:r>
        <w:rPr>
          <w:rFonts w:ascii="Times New Roman" w:hAnsi="Times New Roman"/>
          <w:b/>
          <w:color w:val="000000"/>
          <w:sz w:val="24"/>
        </w:rPr>
        <w:t xml:space="preserve">4.1 </w:t>
      </w:r>
      <w:r>
        <w:rPr>
          <w:rFonts w:ascii="Times New Roman" w:hAnsi="Times New Roman"/>
          <w:color w:val="000000"/>
          <w:sz w:val="24"/>
        </w:rPr>
        <w:t>Section 1 (228+117 [***] Milestone Payments) of the First Letter Agreement is hereby amended and restated in its entirety as follows:</w:t>
      </w:r>
    </w:p>
    <w:p>
      <w:pPr>
        <w:pStyle w:val="TextBody"/>
        <w:bidi w:val="0"/>
        <w:spacing w:before="120" w:after="213"/>
        <w:ind w:left="0" w:right="0" w:firstLine="720"/>
        <w:jc w:val="both"/>
        <w:rPr/>
      </w:pPr>
      <w:r>
        <w:rPr>
          <w:color w:val="000000"/>
        </w:rPr>
        <w:t>“</w:t>
      </w:r>
      <w:r>
        <w:rPr>
          <w:rFonts w:ascii="Times New Roman" w:hAnsi="Times New Roman"/>
          <w:color w:val="000000"/>
          <w:sz w:val="24"/>
        </w:rPr>
        <w:t xml:space="preserve">1. </w:t>
      </w:r>
      <w:r>
        <w:rPr>
          <w:rFonts w:ascii="Times New Roman" w:hAnsi="Times New Roman"/>
          <w:color w:val="000000"/>
          <w:sz w:val="24"/>
          <w:u w:val="single"/>
        </w:rPr>
        <w:t>228+117 [***] Milestone Payments.</w:t>
      </w:r>
      <w:r>
        <w:rPr>
          <w:rFonts w:ascii="Times New Roman" w:hAnsi="Times New Roman"/>
          <w:color w:val="000000"/>
          <w:sz w:val="20"/>
        </w:rPr>
        <w:t xml:space="preserve"> </w:t>
      </w:r>
      <w:r>
        <w:rPr>
          <w:rFonts w:ascii="Times New Roman" w:hAnsi="Times New Roman"/>
          <w:color w:val="000000"/>
          <w:sz w:val="24"/>
        </w:rPr>
        <w:t xml:space="preserve">Notwithstanding the milestones set forth in Section 5.3 of the TAK-228 APA and the milestones set forth in Section 5.3 of the TAK-117 License Agreement, the following development milestone events set forth in the table below (each a “[***] </w:t>
      </w:r>
      <w:r>
        <w:rPr>
          <w:rFonts w:ascii="Times New Roman" w:hAnsi="Times New Roman"/>
          <w:b/>
          <w:color w:val="000000"/>
          <w:sz w:val="24"/>
        </w:rPr>
        <w:t>Milestone Event</w:t>
      </w:r>
      <w:r>
        <w:rPr>
          <w:rFonts w:ascii="Times New Roman" w:hAnsi="Times New Roman"/>
          <w:color w:val="000000"/>
          <w:sz w:val="20"/>
        </w:rPr>
        <w:t>”</w:t>
      </w:r>
      <w:r>
        <w:rPr>
          <w:rFonts w:ascii="Times New Roman" w:hAnsi="Times New Roman"/>
          <w:color w:val="000000"/>
          <w:sz w:val="24"/>
        </w:rPr>
        <w:t>) shall apply in lieu of (and supersede) Section 5.3 of the TAK-228 APA and Section 5.3 of the TAK-117 License Agreement. Following the first achievement by Faeth (or any of its Affiliates, Licensees, or Sublicensees, as applicable) of each [***] Milestone Event with respect to the first Non-228+117 Combination Product or 228+117 Combination Product, as applicable, to achieve such [***] Milestone Event, Faeth shall pay, or cause to be paid, to Takeda a one-time, non-refundable and non-creditable corresponding milestone payment (each, a “[***]</w:t>
      </w:r>
      <w:r>
        <w:rPr>
          <w:rFonts w:ascii="Times New Roman" w:hAnsi="Times New Roman"/>
          <w:color w:val="000000"/>
          <w:sz w:val="20"/>
        </w:rPr>
        <w:t xml:space="preserve"> </w:t>
      </w:r>
      <w:r>
        <w:rPr>
          <w:rFonts w:ascii="Times New Roman" w:hAnsi="Times New Roman"/>
          <w:b/>
          <w:color w:val="000000"/>
          <w:sz w:val="24"/>
        </w:rPr>
        <w:t>Milestone Payment</w:t>
      </w:r>
      <w:r>
        <w:rPr>
          <w:rFonts w:ascii="Times New Roman" w:hAnsi="Times New Roman"/>
          <w:color w:val="000000"/>
          <w:sz w:val="20"/>
        </w:rPr>
        <w:t>”</w:t>
      </w:r>
      <w:r>
        <w:rPr>
          <w:rFonts w:ascii="Times New Roman" w:hAnsi="Times New Roman"/>
          <w:color w:val="000000"/>
          <w:sz w:val="24"/>
        </w:rPr>
        <w:t>) within [***]. Faeth shall notify Takeda within [***] after each [***] Milestone Event is first achieved. For the avoidance of doubt, each [***] Milestone Payment shall be payable one (1) time upon the first achievement of the corresponding [***] Milestone Event with respect to an applicable Non-228+117 Combination Product</w:t>
        <w:br/>
        <w:t>or 228+117 Combination Product, regardless of the number of times such [***] Milestone Event may be achieved by the same or different Non-228+117 Combination Products or 228+117 Combination Products. For purposes of the foregoing, “Indication” shall have the meaning set forth in the TAK-228 APA.</w:t>
      </w:r>
    </w:p>
    <w:tbl>
      <w:tblPr>
        <w:tblW w:w="4510" w:type="dxa"/>
        <w:jc w:val="left"/>
        <w:tblInd w:w="0" w:type="dxa"/>
        <w:tblLayout w:type="fixed"/>
        <w:tblCellMar>
          <w:top w:w="28" w:type="dxa"/>
          <w:left w:w="28" w:type="dxa"/>
          <w:bottom w:w="28" w:type="dxa"/>
          <w:right w:w="28" w:type="dxa"/>
        </w:tblCellMar>
      </w:tblPr>
      <w:tblGrid>
        <w:gridCol w:w="2076"/>
        <w:gridCol w:w="779"/>
        <w:gridCol w:w="822"/>
        <w:gridCol w:w="833"/>
      </w:tblGrid>
      <w:tr>
        <w:trPr/>
        <w:tc>
          <w:tcPr>
            <w:tcW w:w="20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ind w:left="0" w:right="0" w:firstLine="110"/>
              <w:jc w:val="left"/>
              <w:rPr>
                <w:sz w:val="4"/>
                <w:szCs w:val="4"/>
              </w:rPr>
            </w:pPr>
            <w:r>
              <w:rPr>
                <w:sz w:val="4"/>
                <w:szCs w:val="4"/>
              </w:rPr>
            </w:r>
          </w:p>
        </w:tc>
      </w:tr>
      <w:tr>
        <w:trPr/>
        <w:tc>
          <w:tcPr>
            <w:tcW w:w="2076" w:type="dxa"/>
            <w:tcBorders>
              <w:top w:val="single" w:sz="5" w:space="0" w:color="000000"/>
              <w:left w:val="single" w:sz="5" w:space="0" w:color="000000"/>
              <w:bottom w:val="single" w:sz="5" w:space="0" w:color="000000"/>
              <w:right w:val="single" w:sz="5" w:space="0" w:color="000000"/>
            </w:tcBorders>
            <w:shd w:fill="D9D9D9" w:val="clear"/>
            <w:vAlign w:val="center"/>
          </w:tcPr>
          <w:p>
            <w:pPr>
              <w:pStyle w:val="TableContents"/>
              <w:bidi w:val="0"/>
              <w:spacing w:before="32" w:after="11"/>
              <w:ind w:left="0" w:right="0" w:firstLine="110"/>
              <w:jc w:val="left"/>
              <w:rPr>
                <w:rFonts w:ascii="Times New Roman" w:hAnsi="Times New Roman"/>
                <w:b/>
                <w:color w:val="000000"/>
                <w:sz w:val="20"/>
              </w:rPr>
            </w:pPr>
            <w:r>
              <w:rPr>
                <w:rFonts w:ascii="Times New Roman" w:hAnsi="Times New Roman"/>
                <w:b/>
                <w:color w:val="000000"/>
                <w:sz w:val="20"/>
              </w:rPr>
              <w:t>[***] Milestone Event</w:t>
            </w:r>
          </w:p>
        </w:tc>
        <w:tc>
          <w:tcPr>
            <w:tcW w:w="2434" w:type="dxa"/>
            <w:gridSpan w:val="3"/>
            <w:tcBorders>
              <w:top w:val="single" w:sz="5" w:space="0" w:color="000000"/>
              <w:bottom w:val="single" w:sz="5" w:space="0" w:color="000000"/>
              <w:right w:val="single" w:sz="5" w:space="0" w:color="000000"/>
            </w:tcBorders>
            <w:shd w:fill="D9D9D9" w:val="clear"/>
            <w:tcMar>
              <w:left w:w="0" w:type="dxa"/>
            </w:tcMar>
            <w:vAlign w:val="center"/>
          </w:tcPr>
          <w:p>
            <w:pPr>
              <w:pStyle w:val="TableContents"/>
              <w:bidi w:val="0"/>
              <w:spacing w:before="32" w:after="11"/>
              <w:ind w:left="110" w:right="0" w:firstLine="110"/>
              <w:jc w:val="left"/>
              <w:rPr>
                <w:rFonts w:ascii="Times New Roman" w:hAnsi="Times New Roman"/>
                <w:b/>
                <w:color w:val="000000"/>
                <w:sz w:val="20"/>
              </w:rPr>
            </w:pPr>
            <w:r>
              <w:rPr>
                <w:rFonts w:ascii="Times New Roman" w:hAnsi="Times New Roman"/>
                <w:b/>
                <w:color w:val="000000"/>
                <w:sz w:val="20"/>
              </w:rPr>
              <w:t>[***] Milestone Payments</w:t>
            </w:r>
          </w:p>
        </w:tc>
      </w:tr>
      <w:tr>
        <w:trPr/>
        <w:tc>
          <w:tcPr>
            <w:tcW w:w="2076"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44"/>
              <w:jc w:val="left"/>
              <w:rPr>
                <w:sz w:val="4"/>
                <w:szCs w:val="4"/>
              </w:rPr>
            </w:pPr>
            <w:r>
              <w:rPr>
                <w:sz w:val="4"/>
                <w:szCs w:val="4"/>
              </w:rPr>
            </w:r>
          </w:p>
        </w:tc>
        <w:tc>
          <w:tcPr>
            <w:tcW w:w="779" w:type="dxa"/>
            <w:tcBorders>
              <w:bottom w:val="single" w:sz="5" w:space="0" w:color="000000"/>
              <w:right w:val="single" w:sz="5" w:space="0" w:color="000000"/>
            </w:tcBorders>
            <w:tcMar>
              <w:top w:w="0" w:type="dxa"/>
              <w:left w:w="0" w:type="dxa"/>
            </w:tcMar>
            <w:vAlign w:val="center"/>
          </w:tcPr>
          <w:p>
            <w:pPr>
              <w:pStyle w:val="TableContents"/>
              <w:bidi w:val="0"/>
              <w:spacing w:before="0" w:after="462"/>
              <w:ind w:left="0" w:right="0" w:firstLine="108"/>
              <w:jc w:val="left"/>
              <w:rPr>
                <w:rFonts w:ascii="Times New Roman" w:hAnsi="Times New Roman"/>
                <w:b/>
                <w:color w:val="000000"/>
                <w:sz w:val="20"/>
              </w:rPr>
            </w:pPr>
            <w:r>
              <w:rPr>
                <w:rFonts w:ascii="Times New Roman" w:hAnsi="Times New Roman"/>
                <w:b/>
                <w:color w:val="000000"/>
                <w:sz w:val="20"/>
              </w:rPr>
              <w:t>[***]</w:t>
            </w:r>
          </w:p>
        </w:tc>
        <w:tc>
          <w:tcPr>
            <w:tcW w:w="822" w:type="dxa"/>
            <w:tcBorders>
              <w:bottom w:val="single" w:sz="5" w:space="0" w:color="000000"/>
              <w:right w:val="single" w:sz="5" w:space="0" w:color="000000"/>
            </w:tcBorders>
            <w:tcMar>
              <w:top w:w="0" w:type="dxa"/>
              <w:left w:w="0" w:type="dxa"/>
            </w:tcMar>
            <w:vAlign w:val="center"/>
          </w:tcPr>
          <w:p>
            <w:pPr>
              <w:pStyle w:val="TableContents"/>
              <w:bidi w:val="0"/>
              <w:spacing w:before="0" w:after="693"/>
              <w:ind w:left="0" w:right="0" w:firstLine="144"/>
              <w:jc w:val="left"/>
              <w:rPr>
                <w:rFonts w:ascii="Times New Roman" w:hAnsi="Times New Roman"/>
                <w:b/>
                <w:color w:val="000000"/>
                <w:sz w:val="20"/>
              </w:rPr>
            </w:pPr>
            <w:r>
              <w:rPr>
                <w:rFonts w:ascii="Times New Roman" w:hAnsi="Times New Roman"/>
                <w:b/>
                <w:color w:val="000000"/>
                <w:sz w:val="20"/>
              </w:rPr>
              <w:t>[***]</w:t>
            </w:r>
          </w:p>
        </w:tc>
        <w:tc>
          <w:tcPr>
            <w:tcW w:w="833" w:type="dxa"/>
            <w:tcBorders>
              <w:bottom w:val="single" w:sz="5" w:space="0" w:color="000000"/>
              <w:right w:val="single" w:sz="5" w:space="0" w:color="000000"/>
            </w:tcBorders>
            <w:tcMar>
              <w:top w:w="0" w:type="dxa"/>
              <w:left w:w="0" w:type="dxa"/>
            </w:tcMar>
            <w:vAlign w:val="center"/>
          </w:tcPr>
          <w:p>
            <w:pPr>
              <w:pStyle w:val="TableContents"/>
              <w:bidi w:val="0"/>
              <w:spacing w:before="0" w:after="2"/>
              <w:ind w:left="0" w:right="0" w:firstLine="108"/>
              <w:jc w:val="left"/>
              <w:rPr>
                <w:rFonts w:ascii="Times New Roman" w:hAnsi="Times New Roman"/>
                <w:b/>
                <w:color w:val="000000"/>
                <w:sz w:val="20"/>
              </w:rPr>
            </w:pPr>
            <w:r>
              <w:rPr>
                <w:rFonts w:ascii="Times New Roman" w:hAnsi="Times New Roman"/>
                <w:b/>
                <w:color w:val="000000"/>
                <w:sz w:val="20"/>
              </w:rPr>
              <w:t>[***]</w:t>
            </w:r>
          </w:p>
        </w:tc>
      </w:tr>
      <w:tr>
        <w:trPr/>
        <w:tc>
          <w:tcPr>
            <w:tcW w:w="2076"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31" w:after="6"/>
              <w:ind w:left="0" w:right="0" w:firstLine="110"/>
              <w:jc w:val="left"/>
              <w:rPr>
                <w:rFonts w:ascii="Times New Roman" w:hAnsi="Times New Roman"/>
                <w:color w:val="000000"/>
                <w:sz w:val="20"/>
              </w:rPr>
            </w:pPr>
            <w:r>
              <w:rPr>
                <w:rFonts w:ascii="Times New Roman" w:hAnsi="Times New Roman"/>
                <w:color w:val="000000"/>
                <w:sz w:val="20"/>
              </w:rPr>
              <w:t>[***</w:t>
            </w:r>
          </w:p>
        </w:tc>
        <w:tc>
          <w:tcPr>
            <w:tcW w:w="779" w:type="dxa"/>
            <w:tcBorders>
              <w:bottom w:val="single" w:sz="5" w:space="0" w:color="000000"/>
              <w:right w:val="single" w:sz="5" w:space="0" w:color="000000"/>
            </w:tcBorders>
            <w:tcMar>
              <w:top w:w="0" w:type="dxa"/>
              <w:left w:w="0" w:type="dxa"/>
            </w:tcMar>
            <w:vAlign w:val="center"/>
          </w:tcPr>
          <w:p>
            <w:pPr>
              <w:pStyle w:val="TableContents"/>
              <w:bidi w:val="0"/>
              <w:spacing w:before="37" w:after="237"/>
              <w:ind w:left="0" w:right="0" w:firstLine="105"/>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5" w:space="0" w:color="000000"/>
              <w:right w:val="single" w:sz="5" w:space="0" w:color="000000"/>
            </w:tcBorders>
            <w:tcMar>
              <w:top w:w="0" w:type="dxa"/>
              <w:left w:w="0" w:type="dxa"/>
            </w:tcMar>
            <w:vAlign w:val="center"/>
          </w:tcPr>
          <w:p>
            <w:pPr>
              <w:pStyle w:val="TableContents"/>
              <w:bidi w:val="0"/>
              <w:spacing w:before="37" w:after="237"/>
              <w:ind w:left="0" w:right="0" w:firstLine="106"/>
              <w:jc w:val="left"/>
              <w:rPr>
                <w:rFonts w:ascii="Times New Roman" w:hAnsi="Times New Roman"/>
                <w:color w:val="000000"/>
                <w:sz w:val="20"/>
              </w:rPr>
            </w:pPr>
            <w:r>
              <w:rPr>
                <w:rFonts w:ascii="Times New Roman" w:hAnsi="Times New Roman"/>
                <w:color w:val="000000"/>
                <w:sz w:val="20"/>
              </w:rPr>
              <w:t>[***]</w:t>
            </w:r>
          </w:p>
        </w:tc>
        <w:tc>
          <w:tcPr>
            <w:tcW w:w="833" w:type="dxa"/>
            <w:tcBorders>
              <w:bottom w:val="single" w:sz="5" w:space="0" w:color="000000"/>
              <w:right w:val="single" w:sz="5" w:space="0" w:color="000000"/>
            </w:tcBorders>
            <w:tcMar>
              <w:top w:w="0" w:type="dxa"/>
              <w:left w:w="0" w:type="dxa"/>
            </w:tcMar>
            <w:vAlign w:val="center"/>
          </w:tcPr>
          <w:p>
            <w:pPr>
              <w:pStyle w:val="TableContents"/>
              <w:bidi w:val="0"/>
              <w:spacing w:before="37" w:after="237"/>
              <w:ind w:left="106" w:right="0" w:firstLine="106"/>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910" w:type="dxa"/>
        <w:jc w:val="left"/>
        <w:tblInd w:w="0" w:type="dxa"/>
        <w:tblLayout w:type="fixed"/>
        <w:tblCellMar>
          <w:top w:w="28" w:type="dxa"/>
          <w:left w:w="28" w:type="dxa"/>
          <w:bottom w:w="28" w:type="dxa"/>
          <w:right w:w="28" w:type="dxa"/>
        </w:tblCellMar>
      </w:tblPr>
      <w:tblGrid>
        <w:gridCol w:w="2914"/>
        <w:gridCol w:w="1270"/>
        <w:gridCol w:w="1254"/>
        <w:gridCol w:w="1472"/>
      </w:tblGrid>
      <w:tr>
        <w:trPr/>
        <w:tc>
          <w:tcPr>
            <w:tcW w:w="291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91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33" w:after="17"/>
              <w:ind w:left="0" w:right="0" w:firstLine="105"/>
              <w:jc w:val="left"/>
              <w:rPr>
                <w:rFonts w:ascii="Times New Roman" w:hAnsi="Times New Roman"/>
                <w:color w:val="000000"/>
                <w:sz w:val="20"/>
              </w:rPr>
            </w:pPr>
            <w:r>
              <w:rPr>
                <w:rFonts w:ascii="Times New Roman" w:hAnsi="Times New Roman"/>
                <w:color w:val="000000"/>
                <w:sz w:val="20"/>
              </w:rPr>
              <w:t>[***]</w:t>
            </w:r>
          </w:p>
        </w:tc>
        <w:tc>
          <w:tcPr>
            <w:tcW w:w="127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2" w:after="473"/>
              <w:ind w:left="0" w:right="0" w:firstLine="105"/>
              <w:jc w:val="left"/>
              <w:rPr>
                <w:rFonts w:ascii="Times New Roman" w:hAnsi="Times New Roman"/>
                <w:color w:val="000000"/>
                <w:sz w:val="20"/>
              </w:rPr>
            </w:pPr>
            <w:r>
              <w:rPr>
                <w:rFonts w:ascii="Times New Roman" w:hAnsi="Times New Roman"/>
                <w:color w:val="000000"/>
                <w:sz w:val="20"/>
              </w:rPr>
              <w:t>***]</w:t>
            </w:r>
          </w:p>
        </w:tc>
        <w:tc>
          <w:tcPr>
            <w:tcW w:w="125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2" w:after="473"/>
              <w:ind w:left="0" w:right="0" w:firstLine="101"/>
              <w:jc w:val="left"/>
              <w:rPr>
                <w:rFonts w:ascii="Times New Roman" w:hAnsi="Times New Roman"/>
                <w:color w:val="000000"/>
                <w:sz w:val="20"/>
              </w:rPr>
            </w:pPr>
            <w:r>
              <w:rPr>
                <w:rFonts w:ascii="Times New Roman" w:hAnsi="Times New Roman"/>
                <w:color w:val="000000"/>
                <w:sz w:val="20"/>
              </w:rPr>
              <w:t>[***]</w:t>
            </w:r>
          </w:p>
        </w:tc>
        <w:tc>
          <w:tcPr>
            <w:tcW w:w="147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2" w:after="473"/>
              <w:ind w:left="0" w:right="0" w:firstLine="108"/>
              <w:jc w:val="left"/>
              <w:rPr>
                <w:rFonts w:ascii="Times New Roman" w:hAnsi="Times New Roman"/>
                <w:color w:val="000000"/>
                <w:sz w:val="20"/>
              </w:rPr>
            </w:pPr>
            <w:r>
              <w:rPr>
                <w:rFonts w:ascii="Times New Roman" w:hAnsi="Times New Roman"/>
                <w:color w:val="000000"/>
                <w:sz w:val="20"/>
              </w:rPr>
              <w:t>[***]</w:t>
            </w:r>
          </w:p>
        </w:tc>
      </w:tr>
      <w:tr>
        <w:trPr/>
        <w:tc>
          <w:tcPr>
            <w:tcW w:w="291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w:t>
            </w:r>
          </w:p>
        </w:tc>
        <w:tc>
          <w:tcPr>
            <w:tcW w:w="1270" w:type="dxa"/>
            <w:tcBorders>
              <w:bottom w:val="single" w:sz="5" w:space="0" w:color="000000"/>
              <w:right w:val="single" w:sz="5" w:space="0" w:color="000000"/>
            </w:tcBorders>
            <w:tcMar>
              <w:top w:w="0" w:type="dxa"/>
              <w:left w:w="0" w:type="dxa"/>
            </w:tcMar>
            <w:vAlign w:val="center"/>
          </w:tcPr>
          <w:p>
            <w:pPr>
              <w:pStyle w:val="TableContents"/>
              <w:bidi w:val="0"/>
              <w:spacing w:before="32" w:after="720"/>
              <w:ind w:left="0" w:right="0" w:firstLine="105"/>
              <w:jc w:val="left"/>
              <w:rPr>
                <w:rFonts w:ascii="Times New Roman" w:hAnsi="Times New Roman"/>
                <w:color w:val="000000"/>
                <w:sz w:val="20"/>
              </w:rPr>
            </w:pPr>
            <w:r>
              <w:rPr>
                <w:rFonts w:ascii="Times New Roman" w:hAnsi="Times New Roman"/>
                <w:color w:val="000000"/>
                <w:sz w:val="20"/>
              </w:rPr>
              <w:t>[***]</w:t>
            </w:r>
          </w:p>
        </w:tc>
        <w:tc>
          <w:tcPr>
            <w:tcW w:w="1254" w:type="dxa"/>
            <w:tcBorders>
              <w:bottom w:val="single" w:sz="5" w:space="0" w:color="000000"/>
              <w:right w:val="single" w:sz="5" w:space="0" w:color="000000"/>
            </w:tcBorders>
            <w:tcMar>
              <w:top w:w="0" w:type="dxa"/>
              <w:left w:w="0" w:type="dxa"/>
            </w:tcMar>
            <w:vAlign w:val="center"/>
          </w:tcPr>
          <w:p>
            <w:pPr>
              <w:pStyle w:val="TableContents"/>
              <w:bidi w:val="0"/>
              <w:spacing w:before="32" w:after="720"/>
              <w:ind w:left="0" w:right="0" w:firstLine="101"/>
              <w:jc w:val="left"/>
              <w:rPr>
                <w:rFonts w:ascii="Times New Roman" w:hAnsi="Times New Roman"/>
                <w:color w:val="000000"/>
                <w:sz w:val="20"/>
              </w:rPr>
            </w:pPr>
            <w:r>
              <w:rPr>
                <w:rFonts w:ascii="Times New Roman" w:hAnsi="Times New Roman"/>
                <w:color w:val="000000"/>
                <w:sz w:val="20"/>
              </w:rPr>
              <w:t>[***]</w:t>
            </w:r>
          </w:p>
        </w:tc>
        <w:tc>
          <w:tcPr>
            <w:tcW w:w="1472" w:type="dxa"/>
            <w:tcBorders>
              <w:bottom w:val="single" w:sz="5" w:space="0" w:color="000000"/>
              <w:right w:val="single" w:sz="5" w:space="0" w:color="000000"/>
            </w:tcBorders>
            <w:tcMar>
              <w:top w:w="0" w:type="dxa"/>
              <w:left w:w="0" w:type="dxa"/>
            </w:tcMar>
            <w:vAlign w:val="center"/>
          </w:tcPr>
          <w:p>
            <w:pPr>
              <w:pStyle w:val="TableContents"/>
              <w:bidi w:val="0"/>
              <w:spacing w:before="32" w:after="720"/>
              <w:ind w:left="0" w:right="0" w:firstLine="110"/>
              <w:jc w:val="left"/>
              <w:rPr>
                <w:rFonts w:ascii="Times New Roman" w:hAnsi="Times New Roman"/>
                <w:color w:val="000000"/>
                <w:sz w:val="20"/>
              </w:rPr>
            </w:pPr>
            <w:r>
              <w:rPr>
                <w:rFonts w:ascii="Times New Roman" w:hAnsi="Times New Roman"/>
                <w:color w:val="000000"/>
                <w:sz w:val="20"/>
              </w:rPr>
              <w:t>[***]</w:t>
            </w:r>
          </w:p>
        </w:tc>
      </w:tr>
      <w:tr>
        <w:trPr/>
        <w:tc>
          <w:tcPr>
            <w:tcW w:w="291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37" w:after="12"/>
              <w:ind w:left="0" w:right="0" w:firstLine="105"/>
              <w:jc w:val="left"/>
              <w:rPr>
                <w:rFonts w:ascii="Times New Roman" w:hAnsi="Times New Roman"/>
                <w:color w:val="000000"/>
                <w:sz w:val="20"/>
              </w:rPr>
            </w:pPr>
            <w:r>
              <w:rPr>
                <w:rFonts w:ascii="Times New Roman" w:hAnsi="Times New Roman"/>
                <w:color w:val="000000"/>
                <w:sz w:val="20"/>
              </w:rPr>
              <w:t>[***]</w:t>
            </w:r>
          </w:p>
        </w:tc>
        <w:tc>
          <w:tcPr>
            <w:tcW w:w="1270" w:type="dxa"/>
            <w:tcBorders>
              <w:bottom w:val="single" w:sz="5" w:space="0" w:color="000000"/>
              <w:right w:val="single" w:sz="5" w:space="0" w:color="000000"/>
            </w:tcBorders>
            <w:tcMar>
              <w:top w:w="0" w:type="dxa"/>
              <w:left w:w="0" w:type="dxa"/>
            </w:tcMar>
            <w:vAlign w:val="center"/>
          </w:tcPr>
          <w:p>
            <w:pPr>
              <w:pStyle w:val="TableContents"/>
              <w:bidi w:val="0"/>
              <w:spacing w:before="37" w:after="12"/>
              <w:ind w:left="0" w:right="0" w:firstLine="105"/>
              <w:jc w:val="left"/>
              <w:rPr>
                <w:rFonts w:ascii="Times New Roman" w:hAnsi="Times New Roman"/>
                <w:color w:val="000000"/>
                <w:sz w:val="20"/>
              </w:rPr>
            </w:pPr>
            <w:r>
              <w:rPr>
                <w:rFonts w:ascii="Times New Roman" w:hAnsi="Times New Roman"/>
                <w:color w:val="000000"/>
                <w:sz w:val="20"/>
              </w:rPr>
              <w:t>[***]</w:t>
            </w:r>
          </w:p>
        </w:tc>
        <w:tc>
          <w:tcPr>
            <w:tcW w:w="1254" w:type="dxa"/>
            <w:tcBorders>
              <w:bottom w:val="single" w:sz="5" w:space="0" w:color="000000"/>
              <w:right w:val="single" w:sz="5" w:space="0" w:color="000000"/>
            </w:tcBorders>
            <w:tcMar>
              <w:top w:w="0" w:type="dxa"/>
              <w:left w:w="0" w:type="dxa"/>
            </w:tcMar>
            <w:vAlign w:val="center"/>
          </w:tcPr>
          <w:p>
            <w:pPr>
              <w:pStyle w:val="TableContents"/>
              <w:bidi w:val="0"/>
              <w:spacing w:before="37" w:after="12"/>
              <w:ind w:left="0" w:right="0" w:firstLine="101"/>
              <w:jc w:val="left"/>
              <w:rPr>
                <w:rFonts w:ascii="Times New Roman" w:hAnsi="Times New Roman"/>
                <w:color w:val="000000"/>
                <w:sz w:val="20"/>
              </w:rPr>
            </w:pPr>
            <w:r>
              <w:rPr>
                <w:rFonts w:ascii="Times New Roman" w:hAnsi="Times New Roman"/>
                <w:color w:val="000000"/>
                <w:sz w:val="20"/>
              </w:rPr>
              <w:t>[***]</w:t>
            </w:r>
          </w:p>
        </w:tc>
        <w:tc>
          <w:tcPr>
            <w:tcW w:w="1472" w:type="dxa"/>
            <w:tcBorders>
              <w:bottom w:val="single" w:sz="5" w:space="0" w:color="000000"/>
              <w:right w:val="single" w:sz="5" w:space="0" w:color="000000"/>
            </w:tcBorders>
            <w:tcMar>
              <w:top w:w="0" w:type="dxa"/>
              <w:left w:w="0" w:type="dxa"/>
            </w:tcMar>
            <w:vAlign w:val="center"/>
          </w:tcPr>
          <w:p>
            <w:pPr>
              <w:pStyle w:val="TableContents"/>
              <w:bidi w:val="0"/>
              <w:spacing w:before="37" w:after="12"/>
              <w:ind w:left="0" w:right="0" w:firstLine="108"/>
              <w:jc w:val="left"/>
              <w:rPr>
                <w:rFonts w:ascii="Times New Roman" w:hAnsi="Times New Roman"/>
                <w:color w:val="000000"/>
                <w:sz w:val="20"/>
              </w:rPr>
            </w:pPr>
            <w:r>
              <w:rPr>
                <w:rFonts w:ascii="Times New Roman" w:hAnsi="Times New Roman"/>
                <w:color w:val="000000"/>
                <w:sz w:val="20"/>
              </w:rPr>
              <w:t>[***]</w:t>
            </w:r>
          </w:p>
        </w:tc>
      </w:tr>
      <w:tr>
        <w:trPr/>
        <w:tc>
          <w:tcPr>
            <w:tcW w:w="291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7"/>
              <w:ind w:left="0" w:right="0" w:firstLine="105"/>
              <w:jc w:val="left"/>
              <w:rPr>
                <w:rFonts w:ascii="Times New Roman" w:hAnsi="Times New Roman"/>
                <w:color w:val="000000"/>
                <w:sz w:val="20"/>
              </w:rPr>
            </w:pPr>
            <w:r>
              <w:rPr>
                <w:rFonts w:ascii="Times New Roman" w:hAnsi="Times New Roman"/>
                <w:color w:val="000000"/>
                <w:sz w:val="20"/>
              </w:rPr>
              <w:t>[***]</w:t>
            </w:r>
          </w:p>
        </w:tc>
        <w:tc>
          <w:tcPr>
            <w:tcW w:w="1270" w:type="dxa"/>
            <w:tcBorders>
              <w:bottom w:val="single" w:sz="5" w:space="0" w:color="000000"/>
              <w:right w:val="single" w:sz="5" w:space="0" w:color="000000"/>
            </w:tcBorders>
            <w:tcMar>
              <w:top w:w="0" w:type="dxa"/>
              <w:left w:w="0" w:type="dxa"/>
            </w:tcMar>
            <w:vAlign w:val="center"/>
          </w:tcPr>
          <w:p>
            <w:pPr>
              <w:pStyle w:val="TableContents"/>
              <w:bidi w:val="0"/>
              <w:spacing w:before="32" w:after="238"/>
              <w:ind w:left="0" w:right="0" w:firstLine="105"/>
              <w:jc w:val="left"/>
              <w:rPr>
                <w:rFonts w:ascii="Times New Roman" w:hAnsi="Times New Roman"/>
                <w:color w:val="000000"/>
                <w:sz w:val="20"/>
              </w:rPr>
            </w:pPr>
            <w:r>
              <w:rPr>
                <w:rFonts w:ascii="Times New Roman" w:hAnsi="Times New Roman"/>
                <w:color w:val="000000"/>
                <w:sz w:val="20"/>
              </w:rPr>
              <w:t>[***]</w:t>
            </w:r>
          </w:p>
        </w:tc>
        <w:tc>
          <w:tcPr>
            <w:tcW w:w="1254" w:type="dxa"/>
            <w:tcBorders>
              <w:bottom w:val="single" w:sz="5" w:space="0" w:color="000000"/>
              <w:right w:val="single" w:sz="5" w:space="0" w:color="000000"/>
            </w:tcBorders>
            <w:tcMar>
              <w:top w:w="0" w:type="dxa"/>
              <w:left w:w="0" w:type="dxa"/>
            </w:tcMar>
            <w:vAlign w:val="center"/>
          </w:tcPr>
          <w:p>
            <w:pPr>
              <w:pStyle w:val="TableContents"/>
              <w:bidi w:val="0"/>
              <w:spacing w:before="32" w:after="238"/>
              <w:ind w:left="0" w:right="0" w:firstLine="101"/>
              <w:jc w:val="left"/>
              <w:rPr>
                <w:rFonts w:ascii="Times New Roman" w:hAnsi="Times New Roman"/>
                <w:color w:val="000000"/>
                <w:sz w:val="20"/>
              </w:rPr>
            </w:pPr>
            <w:r>
              <w:rPr>
                <w:rFonts w:ascii="Times New Roman" w:hAnsi="Times New Roman"/>
                <w:color w:val="000000"/>
                <w:sz w:val="20"/>
              </w:rPr>
              <w:t>[***]</w:t>
            </w:r>
          </w:p>
        </w:tc>
        <w:tc>
          <w:tcPr>
            <w:tcW w:w="1472" w:type="dxa"/>
            <w:tcBorders>
              <w:bottom w:val="single" w:sz="5" w:space="0" w:color="000000"/>
              <w:right w:val="single" w:sz="5" w:space="0" w:color="000000"/>
            </w:tcBorders>
            <w:tcMar>
              <w:top w:w="0" w:type="dxa"/>
              <w:left w:w="0" w:type="dxa"/>
            </w:tcMar>
            <w:vAlign w:val="center"/>
          </w:tcPr>
          <w:p>
            <w:pPr>
              <w:pStyle w:val="TableContents"/>
              <w:bidi w:val="0"/>
              <w:spacing w:before="32" w:after="238"/>
              <w:ind w:left="0" w:right="0" w:firstLine="108"/>
              <w:jc w:val="left"/>
              <w:rPr>
                <w:rFonts w:ascii="Times New Roman" w:hAnsi="Times New Roman"/>
                <w:color w:val="000000"/>
                <w:sz w:val="20"/>
              </w:rPr>
            </w:pPr>
            <w:r>
              <w:rPr>
                <w:rFonts w:ascii="Times New Roman" w:hAnsi="Times New Roman"/>
                <w:color w:val="000000"/>
                <w:sz w:val="20"/>
              </w:rPr>
              <w:t>[***]</w:t>
            </w:r>
          </w:p>
        </w:tc>
      </w:tr>
      <w:tr>
        <w:trPr/>
        <w:tc>
          <w:tcPr>
            <w:tcW w:w="291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13"/>
              <w:ind w:left="0" w:right="0" w:firstLine="105"/>
              <w:jc w:val="left"/>
              <w:rPr>
                <w:rFonts w:ascii="Times New Roman" w:hAnsi="Times New Roman"/>
                <w:color w:val="000000"/>
                <w:sz w:val="20"/>
              </w:rPr>
            </w:pPr>
            <w:r>
              <w:rPr>
                <w:rFonts w:ascii="Times New Roman" w:hAnsi="Times New Roman"/>
                <w:color w:val="000000"/>
                <w:sz w:val="20"/>
              </w:rPr>
              <w:t>[***]</w:t>
            </w:r>
          </w:p>
        </w:tc>
        <w:tc>
          <w:tcPr>
            <w:tcW w:w="1270" w:type="dxa"/>
            <w:tcBorders>
              <w:bottom w:val="single" w:sz="5" w:space="0" w:color="000000"/>
              <w:right w:val="single" w:sz="5" w:space="0" w:color="000000"/>
            </w:tcBorders>
            <w:tcMar>
              <w:top w:w="0" w:type="dxa"/>
              <w:left w:w="0" w:type="dxa"/>
            </w:tcMar>
            <w:vAlign w:val="center"/>
          </w:tcPr>
          <w:p>
            <w:pPr>
              <w:pStyle w:val="TableContents"/>
              <w:bidi w:val="0"/>
              <w:spacing w:before="32" w:after="720"/>
              <w:ind w:left="0" w:right="0" w:firstLine="105"/>
              <w:jc w:val="left"/>
              <w:rPr>
                <w:rFonts w:ascii="Times New Roman" w:hAnsi="Times New Roman"/>
                <w:color w:val="000000"/>
                <w:sz w:val="20"/>
              </w:rPr>
            </w:pPr>
            <w:r>
              <w:rPr>
                <w:rFonts w:ascii="Times New Roman" w:hAnsi="Times New Roman"/>
                <w:color w:val="000000"/>
                <w:sz w:val="20"/>
              </w:rPr>
              <w:t>[***]</w:t>
            </w:r>
          </w:p>
        </w:tc>
        <w:tc>
          <w:tcPr>
            <w:tcW w:w="1254" w:type="dxa"/>
            <w:tcBorders>
              <w:bottom w:val="single" w:sz="5" w:space="0" w:color="000000"/>
              <w:right w:val="single" w:sz="5" w:space="0" w:color="000000"/>
            </w:tcBorders>
            <w:tcMar>
              <w:top w:w="0" w:type="dxa"/>
              <w:left w:w="0" w:type="dxa"/>
            </w:tcMar>
            <w:vAlign w:val="center"/>
          </w:tcPr>
          <w:p>
            <w:pPr>
              <w:pStyle w:val="TableContents"/>
              <w:bidi w:val="0"/>
              <w:spacing w:before="32" w:after="720"/>
              <w:ind w:left="0" w:right="0" w:firstLine="101"/>
              <w:jc w:val="left"/>
              <w:rPr>
                <w:rFonts w:ascii="Times New Roman" w:hAnsi="Times New Roman"/>
                <w:color w:val="000000"/>
                <w:sz w:val="20"/>
              </w:rPr>
            </w:pPr>
            <w:r>
              <w:rPr>
                <w:rFonts w:ascii="Times New Roman" w:hAnsi="Times New Roman"/>
                <w:color w:val="000000"/>
                <w:sz w:val="20"/>
              </w:rPr>
              <w:t>[***]</w:t>
            </w:r>
          </w:p>
        </w:tc>
        <w:tc>
          <w:tcPr>
            <w:tcW w:w="1472" w:type="dxa"/>
            <w:tcBorders>
              <w:bottom w:val="single" w:sz="5" w:space="0" w:color="000000"/>
              <w:right w:val="single" w:sz="5" w:space="0" w:color="000000"/>
            </w:tcBorders>
            <w:tcMar>
              <w:top w:w="0" w:type="dxa"/>
              <w:left w:w="0" w:type="dxa"/>
            </w:tcMar>
            <w:vAlign w:val="center"/>
          </w:tcPr>
          <w:p>
            <w:pPr>
              <w:pStyle w:val="TableContents"/>
              <w:bidi w:val="0"/>
              <w:spacing w:before="32" w:after="720"/>
              <w:ind w:left="0" w:right="0" w:firstLine="110"/>
              <w:jc w:val="left"/>
              <w:rPr>
                <w:rFonts w:ascii="Times New Roman" w:hAnsi="Times New Roman"/>
                <w:color w:val="000000"/>
                <w:sz w:val="20"/>
              </w:rPr>
            </w:pPr>
            <w:r>
              <w:rPr>
                <w:rFonts w:ascii="Times New Roman" w:hAnsi="Times New Roman"/>
                <w:color w:val="000000"/>
                <w:sz w:val="20"/>
              </w:rPr>
              <w:t>[***]</w:t>
            </w:r>
          </w:p>
        </w:tc>
      </w:tr>
      <w:tr>
        <w:trPr/>
        <w:tc>
          <w:tcPr>
            <w:tcW w:w="2914"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32" w:after="8"/>
              <w:ind w:left="0" w:right="0" w:firstLine="105"/>
              <w:jc w:val="left"/>
              <w:rPr>
                <w:rFonts w:ascii="Times New Roman" w:hAnsi="Times New Roman"/>
                <w:color w:val="000000"/>
                <w:sz w:val="20"/>
              </w:rPr>
            </w:pPr>
            <w:r>
              <w:rPr>
                <w:rFonts w:ascii="Times New Roman" w:hAnsi="Times New Roman"/>
                <w:color w:val="000000"/>
                <w:sz w:val="20"/>
              </w:rPr>
              <w:t>[***]</w:t>
            </w:r>
          </w:p>
        </w:tc>
        <w:tc>
          <w:tcPr>
            <w:tcW w:w="1270" w:type="dxa"/>
            <w:tcBorders>
              <w:bottom w:val="single" w:sz="5" w:space="0" w:color="000000"/>
              <w:right w:val="single" w:sz="5" w:space="0" w:color="000000"/>
            </w:tcBorders>
            <w:tcMar>
              <w:top w:w="0" w:type="dxa"/>
              <w:left w:w="0" w:type="dxa"/>
            </w:tcMar>
            <w:vAlign w:val="center"/>
          </w:tcPr>
          <w:p>
            <w:pPr>
              <w:pStyle w:val="TableContents"/>
              <w:bidi w:val="0"/>
              <w:spacing w:before="32" w:after="8"/>
              <w:ind w:left="0" w:right="0" w:firstLine="105"/>
              <w:jc w:val="left"/>
              <w:rPr>
                <w:rFonts w:ascii="Times New Roman" w:hAnsi="Times New Roman"/>
                <w:color w:val="000000"/>
                <w:sz w:val="20"/>
              </w:rPr>
            </w:pPr>
            <w:r>
              <w:rPr>
                <w:rFonts w:ascii="Times New Roman" w:hAnsi="Times New Roman"/>
                <w:color w:val="000000"/>
                <w:sz w:val="20"/>
              </w:rPr>
              <w:t>[***]</w:t>
            </w:r>
          </w:p>
        </w:tc>
        <w:tc>
          <w:tcPr>
            <w:tcW w:w="1254" w:type="dxa"/>
            <w:tcBorders>
              <w:bottom w:val="single" w:sz="5" w:space="0" w:color="000000"/>
              <w:right w:val="single" w:sz="5" w:space="0" w:color="000000"/>
            </w:tcBorders>
            <w:tcMar>
              <w:top w:w="0" w:type="dxa"/>
              <w:left w:w="0" w:type="dxa"/>
            </w:tcMar>
            <w:vAlign w:val="center"/>
          </w:tcPr>
          <w:p>
            <w:pPr>
              <w:pStyle w:val="TableContents"/>
              <w:bidi w:val="0"/>
              <w:spacing w:before="32" w:after="8"/>
              <w:ind w:left="0" w:right="0" w:firstLine="101"/>
              <w:jc w:val="left"/>
              <w:rPr>
                <w:rFonts w:ascii="Times New Roman" w:hAnsi="Times New Roman"/>
                <w:color w:val="000000"/>
                <w:sz w:val="20"/>
              </w:rPr>
            </w:pPr>
            <w:r>
              <w:rPr>
                <w:rFonts w:ascii="Times New Roman" w:hAnsi="Times New Roman"/>
                <w:color w:val="000000"/>
                <w:sz w:val="20"/>
              </w:rPr>
              <w:t>[***]</w:t>
            </w:r>
          </w:p>
        </w:tc>
        <w:tc>
          <w:tcPr>
            <w:tcW w:w="1472" w:type="dxa"/>
            <w:tcBorders>
              <w:bottom w:val="single" w:sz="5" w:space="0" w:color="000000"/>
              <w:right w:val="single" w:sz="5" w:space="0" w:color="000000"/>
            </w:tcBorders>
            <w:tcMar>
              <w:top w:w="0" w:type="dxa"/>
              <w:left w:w="0" w:type="dxa"/>
            </w:tcMar>
            <w:vAlign w:val="center"/>
          </w:tcPr>
          <w:p>
            <w:pPr>
              <w:pStyle w:val="TableContents"/>
              <w:bidi w:val="0"/>
              <w:spacing w:before="32" w:after="8"/>
              <w:ind w:left="0" w:right="0" w:firstLine="108"/>
              <w:jc w:val="left"/>
              <w:rPr>
                <w:rFonts w:ascii="Times New Roman" w:hAnsi="Times New Roman"/>
                <w:color w:val="000000"/>
                <w:sz w:val="20"/>
              </w:rPr>
            </w:pPr>
            <w:r>
              <w:rPr>
                <w:rFonts w:ascii="Times New Roman" w:hAnsi="Times New Roman"/>
                <w:color w:val="000000"/>
                <w:sz w:val="20"/>
              </w:rPr>
              <w:t>[***]</w:t>
            </w:r>
          </w:p>
        </w:tc>
      </w:tr>
      <w:tr>
        <w:trPr/>
        <w:tc>
          <w:tcPr>
            <w:tcW w:w="2914" w:type="dxa"/>
            <w:tcBorders>
              <w:left w:val="single" w:sz="5" w:space="0" w:color="000000"/>
              <w:bottom w:val="single" w:sz="5" w:space="0" w:color="000000"/>
              <w:right w:val="single" w:sz="5" w:space="0" w:color="000000"/>
            </w:tcBorders>
            <w:shd w:fill="D9D9D9" w:val="clear"/>
            <w:tcMar>
              <w:top w:w="0" w:type="dxa"/>
            </w:tcMar>
            <w:vAlign w:val="center"/>
          </w:tcPr>
          <w:p>
            <w:pPr>
              <w:pStyle w:val="TableContents"/>
              <w:bidi w:val="0"/>
              <w:spacing w:before="0" w:after="6"/>
              <w:ind w:left="108" w:right="0" w:firstLine="108"/>
              <w:jc w:val="left"/>
              <w:rPr>
                <w:rFonts w:ascii="Times New Roman" w:hAnsi="Times New Roman"/>
                <w:b/>
                <w:color w:val="000000"/>
                <w:sz w:val="20"/>
              </w:rPr>
            </w:pPr>
            <w:r>
              <w:rPr>
                <w:rFonts w:ascii="Times New Roman" w:hAnsi="Times New Roman"/>
                <w:b/>
                <w:color w:val="000000"/>
                <w:sz w:val="20"/>
              </w:rPr>
              <w:t>Total [***] Milestone Payments</w:t>
            </w:r>
          </w:p>
        </w:tc>
        <w:tc>
          <w:tcPr>
            <w:tcW w:w="3996" w:type="dxa"/>
            <w:gridSpan w:val="3"/>
            <w:tcBorders>
              <w:bottom w:val="single" w:sz="5" w:space="0" w:color="000000"/>
              <w:right w:val="single" w:sz="5" w:space="0" w:color="000000"/>
            </w:tcBorders>
            <w:shd w:fill="D9D9D9" w:val="clear"/>
            <w:tcMar>
              <w:top w:w="0" w:type="dxa"/>
              <w:left w:w="0" w:type="dxa"/>
            </w:tcMar>
            <w:vAlign w:val="center"/>
          </w:tcPr>
          <w:p>
            <w:pPr>
              <w:pStyle w:val="TableContents"/>
              <w:bidi w:val="0"/>
              <w:spacing w:before="32" w:after="237"/>
              <w:ind w:left="0" w:right="2705" w:hanging="0"/>
              <w:jc w:val="right"/>
              <w:rPr>
                <w:rFonts w:ascii="Times New Roman" w:hAnsi="Times New Roman"/>
                <w:b/>
                <w:color w:val="000000"/>
                <w:sz w:val="20"/>
              </w:rPr>
            </w:pPr>
            <w:r>
              <w:rPr>
                <w:rFonts w:ascii="Times New Roman" w:hAnsi="Times New Roman"/>
                <w:b/>
                <w:color w:val="000000"/>
                <w:sz w:val="20"/>
              </w:rPr>
              <w:t>$119,000,000</w:t>
            </w:r>
          </w:p>
        </w:tc>
      </w:tr>
    </w:tbl>
    <w:p>
      <w:pPr>
        <w:pStyle w:val="TextBody"/>
        <w:bidi w:val="0"/>
        <w:spacing w:before="0" w:after="120"/>
        <w:jc w:val="left"/>
        <w:rPr/>
      </w:pPr>
      <w:r>
        <w:rPr/>
        <w:t> </w:t>
      </w:r>
    </w:p>
    <w:p>
      <w:pPr>
        <w:pStyle w:val="TextBody"/>
        <w:bidi w:val="0"/>
        <w:jc w:val="both"/>
        <w:rPr>
          <w:rFonts w:ascii="Times New Roman" w:hAnsi="Times New Roman"/>
          <w:sz w:val="20"/>
        </w:rPr>
      </w:pPr>
      <w:r>
        <w:rPr>
          <w:rFonts w:ascii="Times New Roman" w:hAnsi="Times New Roman"/>
          <w:color w:val="000000"/>
          <w:sz w:val="24"/>
        </w:rPr>
        <w:t>*A “</w:t>
      </w:r>
      <w:r>
        <w:rPr>
          <w:rFonts w:ascii="Times New Roman" w:hAnsi="Times New Roman"/>
          <w:b/>
          <w:color w:val="000000"/>
          <w:sz w:val="24"/>
        </w:rPr>
        <w:t>Non-228+117 Combination Product</w:t>
      </w:r>
      <w:r>
        <w:rPr>
          <w:rFonts w:ascii="Times New Roman" w:hAnsi="Times New Roman"/>
          <w:color w:val="000000"/>
          <w:sz w:val="20"/>
        </w:rPr>
        <w:t xml:space="preserve">” </w:t>
      </w:r>
      <w:r>
        <w:rPr>
          <w:rFonts w:ascii="Times New Roman" w:hAnsi="Times New Roman"/>
          <w:color w:val="000000"/>
          <w:sz w:val="24"/>
        </w:rPr>
        <w:t>means any Product (as defined under the TAK-228 APA or TAK-117 License Agreement) other than a 228+117 Combination Product. Without limiting the generality of the foregoing, “Non-228+117 Combination Product” includes each of the following: [***]</w:t>
      </w:r>
    </w:p>
    <w:p>
      <w:pPr>
        <w:pStyle w:val="TextBody"/>
        <w:bidi w:val="0"/>
        <w:jc w:val="left"/>
        <w:rPr/>
      </w:pPr>
      <w:r>
        <w:rPr/>
        <w:t> </w:t>
      </w:r>
    </w:p>
    <w:p>
      <w:pPr>
        <w:pStyle w:val="TextBody"/>
        <w:bidi w:val="0"/>
        <w:spacing w:before="120" w:after="283"/>
        <w:ind w:left="0" w:right="0" w:firstLine="720"/>
        <w:jc w:val="both"/>
        <w:rPr>
          <w:rFonts w:ascii="Times New Roman" w:hAnsi="Times New Roman"/>
          <w:sz w:val="20"/>
        </w:rPr>
      </w:pPr>
      <w:r>
        <w:rPr>
          <w:rFonts w:ascii="Times New Roman" w:hAnsi="Times New Roman"/>
          <w:b/>
          <w:color w:val="000000"/>
          <w:sz w:val="24"/>
        </w:rPr>
        <w:t xml:space="preserve">4.2 </w:t>
      </w:r>
      <w:r>
        <w:rPr>
          <w:rFonts w:ascii="Times New Roman" w:hAnsi="Times New Roman"/>
          <w:color w:val="000000"/>
          <w:sz w:val="24"/>
        </w:rPr>
        <w:t>Section 2 (Royalties/Earn-Out Payment) of the First Letter Agreement is hereby amended and restated in its entirety as follows:</w:t>
      </w:r>
    </w:p>
    <w:p>
      <w:pPr>
        <w:pStyle w:val="TextBody"/>
        <w:bidi w:val="0"/>
        <w:spacing w:before="264" w:after="206"/>
        <w:ind w:left="0" w:right="0" w:firstLine="720"/>
        <w:jc w:val="both"/>
        <w:rPr/>
      </w:pPr>
      <w:r>
        <w:rPr>
          <w:color w:val="000000"/>
        </w:rPr>
        <w:t>“</w:t>
      </w:r>
      <w:r>
        <w:rPr>
          <w:rFonts w:ascii="Times New Roman" w:hAnsi="Times New Roman"/>
          <w:color w:val="000000"/>
          <w:sz w:val="24"/>
        </w:rPr>
        <w:t xml:space="preserve">2. </w:t>
      </w:r>
      <w:r>
        <w:rPr>
          <w:rFonts w:ascii="Times New Roman" w:hAnsi="Times New Roman"/>
          <w:color w:val="000000"/>
          <w:sz w:val="24"/>
          <w:u w:val="single"/>
        </w:rPr>
        <w:t>Royalties/Earn-Out Payment.</w:t>
      </w:r>
      <w:r>
        <w:rPr>
          <w:rFonts w:ascii="Times New Roman" w:hAnsi="Times New Roman"/>
          <w:color w:val="000000"/>
          <w:sz w:val="20"/>
        </w:rPr>
        <w:t xml:space="preserve"> </w:t>
      </w:r>
      <w:r>
        <w:rPr>
          <w:rFonts w:ascii="Times New Roman" w:hAnsi="Times New Roman"/>
          <w:color w:val="000000"/>
          <w:sz w:val="24"/>
        </w:rPr>
        <w:t>Notwithstanding Section 5.2.1 of the TAK-228 APA and Section 5.6 of the TAK-117 License Agreement, the following payments shall apply in lieu of (and supersede) the earn-out payments set forth in Section 5.2.1 of the TAK-228 APA and the royalty payments set forth in Section 5.6 of the TAK-117 License Agreement, in each case solely with respect to 228+117 Combination Products. Faeth shall pay Takeda earn-out payments on the worldwide, Annual Net Sales (as defined in TAK-228 APA) of all 228+117 Combination Products in the aggregate by or on behalf of Faeth, its Affiliates, Licensees, or Sublicensees in a given Calendar Year (or partial Calendar Year) commencing with the First Commercial Sale of such 228+117 Combination Product in any country in the Territory, at the following rates set forth in this Section 2, subject to Section 5.2.3 (Earn-Out Payment Reduction) of the TAK-228 APA:</w:t>
      </w:r>
    </w:p>
    <w:tbl>
      <w:tblPr>
        <w:tblW w:w="10205" w:type="dxa"/>
        <w:jc w:val="left"/>
        <w:tblInd w:w="0" w:type="dxa"/>
        <w:tblLayout w:type="fixed"/>
        <w:tblCellMar>
          <w:top w:w="28" w:type="dxa"/>
          <w:left w:w="28" w:type="dxa"/>
          <w:bottom w:w="28" w:type="dxa"/>
          <w:right w:w="28" w:type="dxa"/>
        </w:tblCellMar>
      </w:tblPr>
      <w:tblGrid>
        <w:gridCol w:w="8000"/>
        <w:gridCol w:w="2205"/>
      </w:tblGrid>
      <w:tr>
        <w:trPr/>
        <w:tc>
          <w:tcPr>
            <w:tcW w:w="800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8000" w:type="dxa"/>
            <w:tcBorders>
              <w:top w:val="single" w:sz="5" w:space="0" w:color="000000"/>
              <w:left w:val="single" w:sz="5" w:space="0" w:color="000000"/>
              <w:bottom w:val="single" w:sz="5" w:space="0" w:color="000000"/>
              <w:right w:val="single" w:sz="5" w:space="0" w:color="000000"/>
            </w:tcBorders>
            <w:shd w:fill="D9D9D9" w:val="clear"/>
            <w:vAlign w:val="center"/>
          </w:tcPr>
          <w:p>
            <w:pPr>
              <w:pStyle w:val="TableContents"/>
              <w:bidi w:val="0"/>
              <w:spacing w:before="42" w:after="59"/>
              <w:ind w:left="0" w:right="1383" w:hanging="0"/>
              <w:jc w:val="right"/>
              <w:rPr>
                <w:rFonts w:ascii="Times New Roman" w:hAnsi="Times New Roman"/>
                <w:b/>
                <w:color w:val="000000"/>
                <w:sz w:val="20"/>
                <w:u w:val="single"/>
              </w:rPr>
            </w:pPr>
            <w:r>
              <w:rPr>
                <w:rFonts w:ascii="Times New Roman" w:hAnsi="Times New Roman"/>
                <w:b/>
                <w:color w:val="000000"/>
                <w:sz w:val="20"/>
                <w:u w:val="single"/>
              </w:rPr>
              <w:t>Annual Net Sales Increment</w:t>
            </w:r>
          </w:p>
        </w:tc>
        <w:tc>
          <w:tcPr>
            <w:tcW w:w="2205" w:type="dxa"/>
            <w:tcBorders>
              <w:top w:val="single" w:sz="5" w:space="0" w:color="000000"/>
              <w:bottom w:val="single" w:sz="5" w:space="0" w:color="000000"/>
              <w:right w:val="single" w:sz="5" w:space="0" w:color="000000"/>
            </w:tcBorders>
            <w:shd w:fill="D9D9D9" w:val="clear"/>
            <w:tcMar>
              <w:left w:w="0" w:type="dxa"/>
            </w:tcMar>
            <w:vAlign w:val="center"/>
          </w:tcPr>
          <w:p>
            <w:pPr>
              <w:pStyle w:val="TableContents"/>
              <w:bidi w:val="0"/>
              <w:spacing w:before="42" w:after="59"/>
              <w:ind w:left="0" w:right="0" w:firstLine="108"/>
              <w:jc w:val="center"/>
              <w:rPr>
                <w:rFonts w:ascii="Times New Roman" w:hAnsi="Times New Roman"/>
                <w:sz w:val="20"/>
              </w:rPr>
            </w:pPr>
            <w:r>
              <w:rPr>
                <w:rFonts w:ascii="Times New Roman" w:hAnsi="Times New Roman"/>
                <w:b/>
                <w:color w:val="000000"/>
                <w:sz w:val="20"/>
                <w:u w:val="single"/>
              </w:rPr>
              <w:t>Earn-Out Payment Rate (%)</w:t>
            </w:r>
            <w:r>
              <w:rPr>
                <w:rFonts w:ascii="Times New Roman" w:hAnsi="Times New Roman"/>
                <w:color w:val="000000"/>
                <w:sz w:val="20"/>
              </w:rPr>
              <w:t xml:space="preserve"> </w:t>
            </w:r>
          </w:p>
        </w:tc>
      </w:tr>
      <w:tr>
        <w:trPr/>
        <w:tc>
          <w:tcPr>
            <w:tcW w:w="8000"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33" w:after="12"/>
              <w:ind w:left="108" w:right="360" w:firstLine="108"/>
              <w:jc w:val="left"/>
              <w:rPr>
                <w:rFonts w:ascii="Times New Roman" w:hAnsi="Times New Roman"/>
                <w:color w:val="000000"/>
                <w:sz w:val="20"/>
              </w:rPr>
            </w:pPr>
            <w:r>
              <w:rPr>
                <w:rFonts w:ascii="Times New Roman" w:hAnsi="Times New Roman"/>
                <w:color w:val="000000"/>
                <w:sz w:val="20"/>
              </w:rPr>
              <w:t>For the portion of the Annual Net Sales of such 228+117 Combination Product, in any given Calendar Year which is [***]</w:t>
            </w:r>
          </w:p>
        </w:tc>
        <w:tc>
          <w:tcPr>
            <w:tcW w:w="2205" w:type="dxa"/>
            <w:tcBorders>
              <w:bottom w:val="single" w:sz="5" w:space="0" w:color="000000"/>
              <w:right w:val="single" w:sz="5" w:space="0" w:color="000000"/>
            </w:tcBorders>
            <w:tcMar>
              <w:top w:w="0" w:type="dxa"/>
              <w:left w:w="0" w:type="dxa"/>
            </w:tcMar>
            <w:vAlign w:val="center"/>
          </w:tcPr>
          <w:p>
            <w:pPr>
              <w:pStyle w:val="TableContents"/>
              <w:bidi w:val="0"/>
              <w:spacing w:before="37" w:after="468"/>
              <w:ind w:left="0" w:right="0" w:firstLine="108"/>
              <w:jc w:val="center"/>
              <w:rPr>
                <w:rFonts w:ascii="Times New Roman" w:hAnsi="Times New Roman"/>
                <w:color w:val="000000"/>
                <w:sz w:val="20"/>
              </w:rPr>
            </w:pPr>
            <w:r>
              <w:rPr>
                <w:rFonts w:ascii="Times New Roman" w:hAnsi="Times New Roman"/>
                <w:color w:val="000000"/>
                <w:sz w:val="20"/>
              </w:rPr>
              <w:t>[***]%</w:t>
            </w:r>
          </w:p>
        </w:tc>
      </w:tr>
      <w:tr>
        <w:trPr/>
        <w:tc>
          <w:tcPr>
            <w:tcW w:w="8000"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33" w:after="2"/>
              <w:ind w:left="108" w:right="288" w:firstLine="108"/>
              <w:jc w:val="left"/>
              <w:rPr>
                <w:rFonts w:ascii="Times New Roman" w:hAnsi="Times New Roman"/>
                <w:color w:val="000000"/>
                <w:sz w:val="20"/>
              </w:rPr>
            </w:pPr>
            <w:r>
              <w:rPr>
                <w:rFonts w:ascii="Times New Roman" w:hAnsi="Times New Roman"/>
                <w:color w:val="000000"/>
                <w:sz w:val="20"/>
              </w:rPr>
              <w:t>For the portion of the Annual Net Sales of such 228+117 Combination Product, in any given Calendar Year which is [***]</w:t>
            </w:r>
          </w:p>
        </w:tc>
        <w:tc>
          <w:tcPr>
            <w:tcW w:w="2205" w:type="dxa"/>
            <w:tcBorders>
              <w:bottom w:val="single" w:sz="5" w:space="0" w:color="000000"/>
              <w:right w:val="single" w:sz="5" w:space="0" w:color="000000"/>
            </w:tcBorders>
            <w:tcMar>
              <w:top w:w="0" w:type="dxa"/>
              <w:left w:w="0" w:type="dxa"/>
            </w:tcMar>
            <w:vAlign w:val="center"/>
          </w:tcPr>
          <w:p>
            <w:pPr>
              <w:pStyle w:val="TableContents"/>
              <w:bidi w:val="0"/>
              <w:spacing w:before="37" w:after="458"/>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02"/>
        <w:gridCol w:w="703"/>
      </w:tblGrid>
      <w:tr>
        <w:trPr/>
        <w:tc>
          <w:tcPr>
            <w:tcW w:w="95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9502" w:type="dxa"/>
            <w:tcBorders>
              <w:top w:val="single" w:sz="5" w:space="0" w:color="000000"/>
              <w:left w:val="single" w:sz="5" w:space="0" w:color="000000"/>
              <w:bottom w:val="single" w:sz="5" w:space="0" w:color="000000"/>
              <w:right w:val="single" w:sz="5" w:space="0" w:color="000000"/>
            </w:tcBorders>
            <w:vAlign w:val="center"/>
          </w:tcPr>
          <w:p>
            <w:pPr>
              <w:pStyle w:val="TableContents"/>
              <w:bidi w:val="0"/>
              <w:spacing w:before="0" w:after="8"/>
              <w:ind w:left="108" w:right="360" w:firstLine="108"/>
              <w:jc w:val="left"/>
              <w:rPr>
                <w:rFonts w:ascii="Times New Roman" w:hAnsi="Times New Roman"/>
                <w:color w:val="000000"/>
                <w:sz w:val="20"/>
              </w:rPr>
            </w:pPr>
            <w:r>
              <w:rPr>
                <w:rFonts w:ascii="Times New Roman" w:hAnsi="Times New Roman"/>
                <w:color w:val="000000"/>
                <w:sz w:val="20"/>
              </w:rPr>
              <w:t>For the portion of the Annual Net Sales of such 228+117 Combination Product, in any given Calendar Year which is [***]</w:t>
            </w:r>
          </w:p>
        </w:tc>
        <w:tc>
          <w:tcPr>
            <w:tcW w:w="703" w:type="dxa"/>
            <w:tcBorders>
              <w:top w:val="single" w:sz="5" w:space="0" w:color="000000"/>
              <w:bottom w:val="single" w:sz="5" w:space="0" w:color="000000"/>
              <w:right w:val="single" w:sz="5" w:space="0" w:color="000000"/>
            </w:tcBorders>
            <w:tcMar>
              <w:left w:w="0" w:type="dxa"/>
            </w:tcMar>
            <w:vAlign w:val="center"/>
          </w:tcPr>
          <w:p>
            <w:pPr>
              <w:pStyle w:val="TableContents"/>
              <w:bidi w:val="0"/>
              <w:spacing w:before="33" w:after="468"/>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For clarity, royalty payments set forth in Section 5.6 of the TAK-117 License Agreement and earn-out payments set forth in Section 5.2.1 of the TAK-228 APA will remain in full force and effect with respect to any Product (as defined in each of the TAK-228 APA and TAK-117 License Agreement) that is not a 228+117 Combination Product.”</w:t>
      </w:r>
    </w:p>
    <w:p>
      <w:pPr>
        <w:pStyle w:val="TextBody"/>
        <w:bidi w:val="0"/>
        <w:spacing w:before="120" w:after="283"/>
        <w:ind w:left="720" w:right="0" w:hanging="0"/>
        <w:jc w:val="both"/>
        <w:rPr>
          <w:rFonts w:ascii="Times New Roman" w:hAnsi="Times New Roman"/>
          <w:sz w:val="20"/>
        </w:rPr>
      </w:pPr>
      <w:r>
        <w:rPr>
          <w:rFonts w:ascii="Times New Roman" w:hAnsi="Times New Roman"/>
          <w:b/>
          <w:color w:val="000000"/>
          <w:sz w:val="24"/>
        </w:rPr>
        <w:t xml:space="preserve">4.3 </w:t>
      </w:r>
      <w:r>
        <w:rPr>
          <w:rFonts w:ascii="Times New Roman" w:hAnsi="Times New Roman"/>
          <w:color w:val="000000"/>
          <w:sz w:val="24"/>
        </w:rPr>
        <w:t>The following is hereby added to the First Letter Agreement as a new Section 2-A</w:t>
      </w:r>
    </w:p>
    <w:p>
      <w:pPr>
        <w:pStyle w:val="TextBody"/>
        <w:bidi w:val="0"/>
        <w:jc w:val="left"/>
        <w:rPr>
          <w:rFonts w:ascii="Times New Roman" w:hAnsi="Times New Roman"/>
          <w:color w:val="000000"/>
          <w:sz w:val="24"/>
        </w:rPr>
      </w:pPr>
      <w:r>
        <w:rPr>
          <w:rFonts w:ascii="Times New Roman" w:hAnsi="Times New Roman"/>
          <w:color w:val="000000"/>
          <w:sz w:val="24"/>
        </w:rPr>
        <w:t>after Section 2 (Royalties/Earn-Out Payment) and before Section 3 (Miscellaneous):</w:t>
      </w:r>
    </w:p>
    <w:p>
      <w:pPr>
        <w:pStyle w:val="TextBody"/>
        <w:bidi w:val="0"/>
        <w:spacing w:before="240" w:after="283"/>
        <w:ind w:left="0" w:right="0" w:firstLine="720"/>
        <w:jc w:val="both"/>
        <w:rPr/>
      </w:pPr>
      <w:r>
        <w:rPr>
          <w:color w:val="000000"/>
        </w:rPr>
        <w:t>“</w:t>
      </w:r>
      <w:r>
        <w:rPr>
          <w:rFonts w:ascii="Times New Roman" w:hAnsi="Times New Roman"/>
          <w:color w:val="000000"/>
          <w:sz w:val="24"/>
        </w:rPr>
        <w:t>2-A. Notwithstanding the milestones set forth in Section 5.4 of the TAK-228 APA and Section 5.4 of the TAK-117 License Agreement, the following sales milestone events set forth in the table below (each, a “</w:t>
      </w:r>
      <w:r>
        <w:rPr>
          <w:rFonts w:ascii="Times New Roman" w:hAnsi="Times New Roman"/>
          <w:b/>
          <w:color w:val="000000"/>
          <w:sz w:val="24"/>
        </w:rPr>
        <w:t>Sales Milestone Event</w:t>
      </w:r>
      <w:r>
        <w:rPr>
          <w:rFonts w:ascii="Times New Roman" w:hAnsi="Times New Roman"/>
          <w:color w:val="000000"/>
          <w:sz w:val="20"/>
        </w:rPr>
        <w:t>”</w:t>
      </w:r>
      <w:r>
        <w:rPr>
          <w:rFonts w:ascii="Times New Roman" w:hAnsi="Times New Roman"/>
          <w:color w:val="000000"/>
          <w:sz w:val="24"/>
        </w:rPr>
        <w:t>) and corresponding sales milestone payments</w:t>
        <w:br/>
        <w:t>set forth in the table below (each, a “</w:t>
      </w:r>
      <w:r>
        <w:rPr>
          <w:rFonts w:ascii="Times New Roman" w:hAnsi="Times New Roman"/>
          <w:b/>
          <w:color w:val="000000"/>
          <w:sz w:val="24"/>
        </w:rPr>
        <w:t>Sales Milestone Payment</w:t>
      </w:r>
      <w:r>
        <w:rPr>
          <w:rFonts w:ascii="Times New Roman" w:hAnsi="Times New Roman"/>
          <w:color w:val="000000"/>
          <w:sz w:val="20"/>
        </w:rPr>
        <w:t>”</w:t>
      </w:r>
      <w:r>
        <w:rPr>
          <w:rFonts w:ascii="Times New Roman" w:hAnsi="Times New Roman"/>
          <w:color w:val="000000"/>
          <w:sz w:val="24"/>
        </w:rPr>
        <w:t>) shall apply in lieu of (and supersede) Section 5.4 of the TAK-228 APA and Section 5.4 of the TAK-117 License Agreement. The Initial Earn-Out Report and the Earn-Out Report to be issued pursuant to Section 5.2.4 of the TAK-228 APA shall each indicate whether any Sales Milestone Event was achieved during the [***] covered by such report. Upon receipt of an Earn-Out Report indicating that a Sales Milestone Event was achieved, Takeda will issue an invoice to Faeth for the Sales Milestone Payment payable under this Section 2-A. Faeth will pay all Sales Milestone Payments payable under this Section 2-A within [***]. For the avoidance of doubt, each Sales Milestone Payment shall be payable one time upon the first achievement of the corresponding Sales Milestone Event, regardless of the number of times such Sales Milestone Event may be achieved.</w:t>
      </w:r>
    </w:p>
    <w:p>
      <w:pPr>
        <w:pStyle w:val="TextBody"/>
        <w:bidi w:val="0"/>
        <w:jc w:val="left"/>
        <w:rPr/>
      </w:pPr>
      <w:r>
        <w:rPr/>
        <w:t> </w:t>
      </w:r>
    </w:p>
    <w:p>
      <w:pPr>
        <w:pStyle w:val="TextBody"/>
        <w:bidi w:val="0"/>
        <w:spacing w:before="5" w:after="202"/>
        <w:ind w:left="6480" w:right="0" w:hanging="0"/>
        <w:jc w:val="right"/>
        <w:rPr/>
      </w:pPr>
      <w:r>
        <w:rPr/>
        <w:t> </w:t>
      </w:r>
    </w:p>
    <w:tbl>
      <w:tblPr>
        <w:tblW w:w="10205" w:type="dxa"/>
        <w:jc w:val="left"/>
        <w:tblInd w:w="0" w:type="dxa"/>
        <w:tblLayout w:type="fixed"/>
        <w:tblCellMar>
          <w:top w:w="28" w:type="dxa"/>
          <w:left w:w="28" w:type="dxa"/>
          <w:bottom w:w="28" w:type="dxa"/>
          <w:right w:w="28" w:type="dxa"/>
        </w:tblCellMar>
      </w:tblPr>
      <w:tblGrid>
        <w:gridCol w:w="8131"/>
        <w:gridCol w:w="2074"/>
      </w:tblGrid>
      <w:tr>
        <w:trPr/>
        <w:tc>
          <w:tcPr>
            <w:tcW w:w="8131"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r>
      <w:tr>
        <w:trPr/>
        <w:tc>
          <w:tcPr>
            <w:tcW w:w="8131" w:type="dxa"/>
            <w:tcBorders>
              <w:top w:val="single" w:sz="5" w:space="0" w:color="000000"/>
              <w:left w:val="single" w:sz="5" w:space="0" w:color="000000"/>
              <w:bottom w:val="single" w:sz="5" w:space="0" w:color="000000"/>
              <w:right w:val="single" w:sz="5" w:space="0" w:color="000000"/>
            </w:tcBorders>
            <w:shd w:fill="D9D9D9" w:val="clear"/>
            <w:vAlign w:val="center"/>
          </w:tcPr>
          <w:p>
            <w:pPr>
              <w:pStyle w:val="TableContents"/>
              <w:bidi w:val="0"/>
              <w:spacing w:before="0" w:after="220"/>
              <w:jc w:val="center"/>
              <w:rPr>
                <w:rFonts w:ascii="Times New Roman" w:hAnsi="Times New Roman"/>
                <w:b/>
                <w:color w:val="000000"/>
                <w:sz w:val="20"/>
              </w:rPr>
            </w:pPr>
            <w:r>
              <w:rPr>
                <w:rFonts w:ascii="Times New Roman" w:hAnsi="Times New Roman"/>
                <w:b/>
                <w:color w:val="000000"/>
                <w:sz w:val="20"/>
              </w:rPr>
              <w:t>Sales Milestone Event</w:t>
            </w:r>
          </w:p>
        </w:tc>
        <w:tc>
          <w:tcPr>
            <w:tcW w:w="2074" w:type="dxa"/>
            <w:tcBorders>
              <w:top w:val="single" w:sz="5" w:space="0" w:color="000000"/>
              <w:bottom w:val="single" w:sz="5" w:space="0" w:color="000000"/>
              <w:right w:val="single" w:sz="5" w:space="0" w:color="000000"/>
            </w:tcBorders>
            <w:shd w:fill="D9D9D9" w:val="clear"/>
            <w:tcMar>
              <w:left w:w="0" w:type="dxa"/>
            </w:tcMar>
            <w:vAlign w:val="center"/>
          </w:tcPr>
          <w:p>
            <w:pPr>
              <w:pStyle w:val="TableContents"/>
              <w:bidi w:val="0"/>
              <w:spacing w:before="0" w:after="220"/>
              <w:ind w:left="0" w:right="0" w:firstLine="108"/>
              <w:jc w:val="center"/>
              <w:rPr>
                <w:rFonts w:ascii="Times New Roman" w:hAnsi="Times New Roman"/>
                <w:b/>
                <w:color w:val="000000"/>
                <w:sz w:val="20"/>
              </w:rPr>
            </w:pPr>
            <w:r>
              <w:rPr>
                <w:rFonts w:ascii="Times New Roman" w:hAnsi="Times New Roman"/>
                <w:b/>
                <w:color w:val="000000"/>
                <w:sz w:val="20"/>
              </w:rPr>
              <w:t>Sales Milestone Payment</w:t>
            </w:r>
          </w:p>
        </w:tc>
      </w:tr>
      <w:tr>
        <w:trPr/>
        <w:tc>
          <w:tcPr>
            <w:tcW w:w="8131"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36"/>
              <w:ind w:left="108" w:right="108" w:firstLine="108"/>
              <w:jc w:val="both"/>
              <w:rPr>
                <w:rFonts w:ascii="Times New Roman" w:hAnsi="Times New Roman"/>
                <w:color w:val="000000"/>
                <w:sz w:val="20"/>
              </w:rPr>
            </w:pPr>
            <w:r>
              <w:rPr>
                <w:rFonts w:ascii="Times New Roman" w:hAnsi="Times New Roman"/>
                <w:color w:val="000000"/>
                <w:sz w:val="20"/>
              </w:rPr>
              <w:t>Annual Net Sales of all 228+117 Combination Products and/or Non- 228+117 Combination Products equals or exceeds $[***]</w:t>
            </w:r>
          </w:p>
        </w:tc>
        <w:tc>
          <w:tcPr>
            <w:tcW w:w="2074" w:type="dxa"/>
            <w:tcBorders>
              <w:bottom w:val="single" w:sz="5" w:space="0" w:color="000000"/>
              <w:right w:val="single" w:sz="5" w:space="0" w:color="000000"/>
            </w:tcBorders>
            <w:tcMar>
              <w:top w:w="0" w:type="dxa"/>
              <w:left w:w="0" w:type="dxa"/>
            </w:tcMar>
            <w:vAlign w:val="center"/>
          </w:tcPr>
          <w:p>
            <w:pPr>
              <w:pStyle w:val="TableContents"/>
              <w:bidi w:val="0"/>
              <w:spacing w:before="0" w:after="462"/>
              <w:ind w:left="0" w:right="0" w:firstLine="108"/>
              <w:jc w:val="center"/>
              <w:rPr>
                <w:rFonts w:ascii="Times New Roman" w:hAnsi="Times New Roman"/>
                <w:color w:val="000000"/>
                <w:sz w:val="20"/>
              </w:rPr>
            </w:pPr>
            <w:r>
              <w:rPr>
                <w:rFonts w:ascii="Times New Roman" w:hAnsi="Times New Roman"/>
                <w:color w:val="000000"/>
                <w:sz w:val="20"/>
              </w:rPr>
              <w:t>$[***]</w:t>
            </w:r>
          </w:p>
        </w:tc>
      </w:tr>
      <w:tr>
        <w:trPr/>
        <w:tc>
          <w:tcPr>
            <w:tcW w:w="8131"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27"/>
              <w:ind w:left="108" w:right="108" w:firstLine="108"/>
              <w:jc w:val="both"/>
              <w:rPr>
                <w:rFonts w:ascii="Times New Roman" w:hAnsi="Times New Roman"/>
                <w:color w:val="000000"/>
                <w:sz w:val="20"/>
              </w:rPr>
            </w:pPr>
            <w:r>
              <w:rPr>
                <w:rFonts w:ascii="Times New Roman" w:hAnsi="Times New Roman"/>
                <w:color w:val="000000"/>
                <w:sz w:val="20"/>
              </w:rPr>
              <w:t>Annual Net Sales of all 228+117 Combination Products and/or Non- 228+117 Combination Products equals or exceeds $[***]</w:t>
            </w:r>
          </w:p>
        </w:tc>
        <w:tc>
          <w:tcPr>
            <w:tcW w:w="2074" w:type="dxa"/>
            <w:tcBorders>
              <w:bottom w:val="single" w:sz="5" w:space="0" w:color="000000"/>
              <w:right w:val="single" w:sz="5" w:space="0" w:color="000000"/>
            </w:tcBorders>
            <w:tcMar>
              <w:top w:w="0" w:type="dxa"/>
              <w:left w:w="0" w:type="dxa"/>
            </w:tcMar>
            <w:vAlign w:val="center"/>
          </w:tcPr>
          <w:p>
            <w:pPr>
              <w:pStyle w:val="TableContents"/>
              <w:bidi w:val="0"/>
              <w:spacing w:before="0" w:after="462"/>
              <w:ind w:left="0" w:right="0" w:firstLine="108"/>
              <w:jc w:val="center"/>
              <w:rPr>
                <w:rFonts w:ascii="Times New Roman" w:hAnsi="Times New Roman"/>
                <w:color w:val="000000"/>
                <w:sz w:val="20"/>
              </w:rPr>
            </w:pPr>
            <w:r>
              <w:rPr>
                <w:rFonts w:ascii="Times New Roman" w:hAnsi="Times New Roman"/>
                <w:color w:val="000000"/>
                <w:sz w:val="20"/>
              </w:rPr>
              <w:t>$[***]</w:t>
            </w:r>
          </w:p>
        </w:tc>
      </w:tr>
      <w:tr>
        <w:trPr/>
        <w:tc>
          <w:tcPr>
            <w:tcW w:w="8131"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27"/>
              <w:ind w:left="108" w:right="108" w:firstLine="108"/>
              <w:jc w:val="both"/>
              <w:rPr>
                <w:rFonts w:ascii="Times New Roman" w:hAnsi="Times New Roman"/>
                <w:color w:val="000000"/>
                <w:sz w:val="20"/>
              </w:rPr>
            </w:pPr>
            <w:r>
              <w:rPr>
                <w:rFonts w:ascii="Times New Roman" w:hAnsi="Times New Roman"/>
                <w:color w:val="000000"/>
                <w:sz w:val="20"/>
              </w:rPr>
              <w:t>Annual Net Sales of all 228+117 Combination Products and/or Non- 228+117 Combination Products equals or exceeds $[***]</w:t>
            </w:r>
          </w:p>
        </w:tc>
        <w:tc>
          <w:tcPr>
            <w:tcW w:w="2074" w:type="dxa"/>
            <w:tcBorders>
              <w:bottom w:val="single" w:sz="5" w:space="0" w:color="000000"/>
              <w:right w:val="single" w:sz="5" w:space="0" w:color="000000"/>
            </w:tcBorders>
            <w:tcMar>
              <w:top w:w="0" w:type="dxa"/>
              <w:left w:w="0" w:type="dxa"/>
            </w:tcMar>
            <w:vAlign w:val="center"/>
          </w:tcPr>
          <w:p>
            <w:pPr>
              <w:pStyle w:val="TableContents"/>
              <w:bidi w:val="0"/>
              <w:spacing w:before="0" w:after="453"/>
              <w:ind w:left="0" w:right="0" w:firstLine="108"/>
              <w:jc w:val="center"/>
              <w:rPr>
                <w:rFonts w:ascii="Times New Roman" w:hAnsi="Times New Roman"/>
                <w:color w:val="000000"/>
                <w:sz w:val="20"/>
              </w:rPr>
            </w:pPr>
            <w:r>
              <w:rPr>
                <w:rFonts w:ascii="Times New Roman" w:hAnsi="Times New Roman"/>
                <w:color w:val="000000"/>
                <w:sz w:val="20"/>
              </w:rPr>
              <w:t>$[***]</w:t>
            </w:r>
          </w:p>
        </w:tc>
      </w:tr>
      <w:tr>
        <w:trPr/>
        <w:tc>
          <w:tcPr>
            <w:tcW w:w="8131" w:type="dxa"/>
            <w:tcBorders>
              <w:left w:val="single" w:sz="5" w:space="0" w:color="000000"/>
              <w:bottom w:val="single" w:sz="5" w:space="0" w:color="000000"/>
              <w:right w:val="single" w:sz="5" w:space="0" w:color="000000"/>
            </w:tcBorders>
            <w:tcMar>
              <w:top w:w="0" w:type="dxa"/>
            </w:tcMar>
            <w:vAlign w:val="center"/>
          </w:tcPr>
          <w:p>
            <w:pPr>
              <w:pStyle w:val="TableContents"/>
              <w:bidi w:val="0"/>
              <w:spacing w:before="0" w:after="237"/>
              <w:ind w:left="108" w:right="108" w:firstLine="108"/>
              <w:jc w:val="both"/>
              <w:rPr>
                <w:rFonts w:ascii="Times New Roman" w:hAnsi="Times New Roman"/>
                <w:color w:val="000000"/>
                <w:sz w:val="20"/>
              </w:rPr>
            </w:pPr>
            <w:r>
              <w:rPr>
                <w:rFonts w:ascii="Times New Roman" w:hAnsi="Times New Roman"/>
                <w:color w:val="000000"/>
                <w:sz w:val="20"/>
              </w:rPr>
              <w:t>Annual Net Sales of all 228+117 Combination Products and/or Non- 228+117 Combination Products equals or exceeds $[***]</w:t>
            </w:r>
          </w:p>
        </w:tc>
        <w:tc>
          <w:tcPr>
            <w:tcW w:w="2074" w:type="dxa"/>
            <w:tcBorders>
              <w:bottom w:val="single" w:sz="5" w:space="0" w:color="000000"/>
              <w:right w:val="single" w:sz="5" w:space="0" w:color="000000"/>
            </w:tcBorders>
            <w:tcMar>
              <w:top w:w="0" w:type="dxa"/>
              <w:left w:w="0" w:type="dxa"/>
            </w:tcMar>
            <w:vAlign w:val="center"/>
          </w:tcPr>
          <w:p>
            <w:pPr>
              <w:pStyle w:val="TableContents"/>
              <w:bidi w:val="0"/>
              <w:spacing w:before="0" w:after="467"/>
              <w:ind w:left="0" w:right="0" w:firstLine="110"/>
              <w:jc w:val="center"/>
              <w:rPr>
                <w:rFonts w:ascii="Times New Roman" w:hAnsi="Times New Roman"/>
                <w:color w:val="000000"/>
                <w:sz w:val="20"/>
              </w:rPr>
            </w:pPr>
            <w:r>
              <w:rPr>
                <w:rFonts w:ascii="Times New Roman" w:hAnsi="Times New Roman"/>
                <w:color w:val="000000"/>
                <w:sz w:val="20"/>
              </w:rPr>
              <w:t>$[***]</w:t>
            </w:r>
          </w:p>
        </w:tc>
      </w:tr>
      <w:tr>
        <w:trPr/>
        <w:tc>
          <w:tcPr>
            <w:tcW w:w="8131" w:type="dxa"/>
            <w:tcBorders>
              <w:left w:val="single" w:sz="5" w:space="0" w:color="000000"/>
              <w:bottom w:val="single" w:sz="5" w:space="0" w:color="000000"/>
              <w:right w:val="single" w:sz="5" w:space="0" w:color="000000"/>
            </w:tcBorders>
            <w:shd w:fill="D9D9D9" w:val="clear"/>
            <w:tcMar>
              <w:top w:w="0" w:type="dxa"/>
            </w:tcMar>
            <w:vAlign w:val="center"/>
          </w:tcPr>
          <w:p>
            <w:pPr>
              <w:pStyle w:val="TableContents"/>
              <w:bidi w:val="0"/>
              <w:spacing w:before="0" w:after="230"/>
              <w:ind w:left="110" w:right="0" w:firstLine="110"/>
              <w:jc w:val="left"/>
              <w:rPr>
                <w:rFonts w:ascii="Times New Roman" w:hAnsi="Times New Roman"/>
                <w:b/>
                <w:color w:val="000000"/>
                <w:sz w:val="20"/>
              </w:rPr>
            </w:pPr>
            <w:r>
              <w:rPr>
                <w:rFonts w:ascii="Times New Roman" w:hAnsi="Times New Roman"/>
                <w:b/>
                <w:color w:val="000000"/>
                <w:sz w:val="20"/>
              </w:rPr>
              <w:t>Total Sales Milestone Payments</w:t>
            </w:r>
          </w:p>
        </w:tc>
        <w:tc>
          <w:tcPr>
            <w:tcW w:w="2074" w:type="dxa"/>
            <w:tcBorders>
              <w:bottom w:val="single" w:sz="5" w:space="0" w:color="000000"/>
              <w:right w:val="single" w:sz="5" w:space="0" w:color="000000"/>
            </w:tcBorders>
            <w:shd w:fill="D9D9D9" w:val="clear"/>
            <w:tcMar>
              <w:top w:w="0" w:type="dxa"/>
              <w:left w:w="0" w:type="dxa"/>
            </w:tcMar>
            <w:vAlign w:val="center"/>
          </w:tcPr>
          <w:p>
            <w:pPr>
              <w:pStyle w:val="TableContents"/>
              <w:bidi w:val="0"/>
              <w:spacing w:before="0" w:after="232"/>
              <w:jc w:val="center"/>
              <w:rPr>
                <w:rFonts w:ascii="Times New Roman" w:hAnsi="Times New Roman"/>
                <w:color w:val="000000"/>
                <w:sz w:val="20"/>
              </w:rPr>
            </w:pPr>
            <w:r>
              <w:rPr>
                <w:rFonts w:ascii="Times New Roman" w:hAnsi="Times New Roman"/>
                <w:color w:val="000000"/>
                <w:sz w:val="20"/>
              </w:rPr>
              <w:t>$250,000,000</w:t>
            </w:r>
          </w:p>
        </w:tc>
      </w:tr>
    </w:tbl>
    <w:p>
      <w:pPr>
        <w:pStyle w:val="TextBody"/>
        <w:bidi w:val="0"/>
        <w:jc w:val="right"/>
        <w:rPr>
          <w:color w:val="000000"/>
        </w:rPr>
      </w:pPr>
      <w:r>
        <w:rPr>
          <w:color w:val="000000"/>
        </w:rPr>
        <w:t>”</w:t>
      </w:r>
    </w:p>
    <w:p>
      <w:pPr>
        <w:pStyle w:val="TextBody"/>
        <w:bidi w:val="0"/>
        <w:spacing w:before="220" w:after="283"/>
        <w:ind w:left="720" w:right="0" w:hanging="0"/>
        <w:jc w:val="left"/>
        <w:rPr>
          <w:rFonts w:ascii="Times New Roman" w:hAnsi="Times New Roman"/>
          <w:sz w:val="20"/>
        </w:rPr>
      </w:pPr>
      <w:r>
        <w:rPr>
          <w:rFonts w:ascii="Times New Roman" w:hAnsi="Times New Roman"/>
          <w:b/>
          <w:color w:val="000000"/>
          <w:sz w:val="24"/>
        </w:rPr>
        <w:t xml:space="preserve">4.4 </w:t>
      </w:r>
      <w:r>
        <w:rPr>
          <w:rFonts w:ascii="Times New Roman" w:hAnsi="Times New Roman"/>
          <w:color w:val="000000"/>
          <w:sz w:val="24"/>
        </w:rPr>
        <w:t>Section 3.2 of the First Letter Agreement is hereby deleted in its entirety and</w:t>
      </w:r>
    </w:p>
    <w:p>
      <w:pPr>
        <w:pStyle w:val="TextBody"/>
        <w:bidi w:val="0"/>
        <w:spacing w:before="4" w:after="283"/>
        <w:jc w:val="left"/>
        <w:rPr>
          <w:rFonts w:ascii="Times New Roman" w:hAnsi="Times New Roman"/>
          <w:color w:val="000000"/>
          <w:sz w:val="24"/>
        </w:rPr>
      </w:pPr>
      <w:r>
        <w:rPr>
          <w:rFonts w:ascii="Times New Roman" w:hAnsi="Times New Roman"/>
          <w:color w:val="000000"/>
          <w:sz w:val="24"/>
        </w:rPr>
        <w:t>replaced by the following:</w:t>
      </w:r>
    </w:p>
    <w:p>
      <w:pPr>
        <w:pStyle w:val="TextBody"/>
        <w:bidi w:val="0"/>
        <w:spacing w:before="243" w:after="283"/>
        <w:ind w:left="720" w:right="0" w:hanging="0"/>
        <w:jc w:val="left"/>
        <w:rPr>
          <w:color w:val="000000"/>
        </w:rPr>
      </w:pPr>
      <w:r>
        <w:rPr>
          <w:color w:val="000000"/>
        </w:rPr>
        <w:t>“</w:t>
      </w:r>
      <w:r>
        <w:rPr>
          <w:rFonts w:ascii="Times New Roman" w:hAnsi="Times New Roman"/>
          <w:color w:val="000000"/>
          <w:sz w:val="24"/>
        </w:rPr>
        <w:t>3.2 [Intentionally omitted.]”</w:t>
      </w:r>
    </w:p>
    <w:p>
      <w:pPr>
        <w:pStyle w:val="TextBody"/>
        <w:bidi w:val="0"/>
        <w:spacing w:before="225" w:after="283"/>
        <w:ind w:left="720" w:right="0" w:hanging="0"/>
        <w:jc w:val="left"/>
        <w:rPr>
          <w:rFonts w:ascii="Times New Roman" w:hAnsi="Times New Roman"/>
          <w:sz w:val="20"/>
        </w:rPr>
      </w:pPr>
      <w:r>
        <w:rPr>
          <w:rFonts w:ascii="Times New Roman" w:hAnsi="Times New Roman"/>
          <w:b/>
          <w:color w:val="000000"/>
          <w:sz w:val="24"/>
        </w:rPr>
        <w:t xml:space="preserve">4.5 </w:t>
      </w:r>
      <w:r>
        <w:rPr>
          <w:rFonts w:ascii="Times New Roman" w:hAnsi="Times New Roman"/>
          <w:color w:val="000000"/>
          <w:sz w:val="24"/>
        </w:rPr>
        <w:t>Section 3.4 of the First Letter Agreement is hereby amended and restated in its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entirety as follows:</w:t>
      </w:r>
    </w:p>
    <w:p>
      <w:pPr>
        <w:pStyle w:val="TextBody"/>
        <w:bidi w:val="0"/>
        <w:spacing w:before="120" w:after="283"/>
        <w:ind w:left="0" w:right="0" w:firstLine="720"/>
        <w:jc w:val="both"/>
        <w:rPr>
          <w:color w:val="000000"/>
        </w:rPr>
      </w:pPr>
      <w:r>
        <w:rPr>
          <w:color w:val="000000"/>
        </w:rPr>
        <w:t>“</w:t>
      </w:r>
      <w:r>
        <w:rPr>
          <w:rFonts w:ascii="Times New Roman" w:hAnsi="Times New Roman"/>
          <w:color w:val="000000"/>
          <w:sz w:val="24"/>
        </w:rPr>
        <w:t>3.4 Neither this Letter Agreement nor any right, interest or obligation of a Party under</w:t>
        <w:br/>
        <w:t>this Letter Agreement may be assigned by either Party without the written consent of the other</w:t>
        <w:br/>
        <w:t>Party, except that each Party may assign this Letter Agreement and the rights, obligations and interests of such Party to an Affiliate (as defined in the TAK-228 APA) of such Party or in connection with the transfer or sale of all or substantially all of the business of such Party to which this Agreement relates, whether by merger, sale of stock, sale of assets or otherwise. Any attempted assignment in contravention of this Section 3.4 shall be void.”</w:t>
      </w:r>
    </w:p>
    <w:p>
      <w:pPr>
        <w:pStyle w:val="TextBody"/>
        <w:bidi w:val="0"/>
        <w:spacing w:before="120" w:after="283"/>
        <w:jc w:val="left"/>
        <w:rPr>
          <w:rFonts w:ascii="Times New Roman" w:hAnsi="Times New Roman"/>
          <w:sz w:val="20"/>
        </w:rPr>
      </w:pPr>
      <w:r>
        <w:rPr>
          <w:rFonts w:ascii="Times New Roman" w:hAnsi="Times New Roman"/>
          <w:b/>
          <w:color w:val="000000"/>
          <w:sz w:val="24"/>
        </w:rPr>
        <w:t>5. Authorization to Communicate with Vendors</w:t>
      </w:r>
      <w:r>
        <w:rPr>
          <w:rFonts w:ascii="Times New Roman" w:hAnsi="Times New Roman"/>
          <w:color w:val="000000"/>
          <w:sz w:val="24"/>
        </w:rPr>
        <w:t>. Notwithstanding Section 2.9</w:t>
      </w:r>
    </w:p>
    <w:p>
      <w:pPr>
        <w:pStyle w:val="TextBody"/>
        <w:bidi w:val="0"/>
        <w:jc w:val="both"/>
        <w:rPr>
          <w:rFonts w:ascii="Times New Roman" w:hAnsi="Times New Roman"/>
          <w:color w:val="000000"/>
          <w:sz w:val="24"/>
        </w:rPr>
      </w:pPr>
      <w:r>
        <w:rPr>
          <w:rFonts w:ascii="Times New Roman" w:hAnsi="Times New Roman"/>
          <w:color w:val="000000"/>
          <w:sz w:val="24"/>
        </w:rPr>
        <w:t>(Authorization to Communicate with Vendors) of the TAK-117 License Agreement, Takeda shall, upon Faeth’s request during the [***] period following the Effective Date of this Second Letter Agreement, [***] submit letters to vendors that have been or are involved in Development or manufacture of (a) TAK-117 (or other Licensed Compound), (b) TAK-228 (or other Program Molecule), or (c) any intermediates, regulatory starting materials, drug substance, drug product, and studies relating to (a) or (b), the purpose of which letters shall be to instruct each of such vendors to provide to Faeth access to all 228+117 Combination Product Know-How that Faeth is entitled to possess under this Second Letter Agreement, provided that [***].</w:t>
      </w:r>
    </w:p>
    <w:p>
      <w:pPr>
        <w:pStyle w:val="TextBody"/>
        <w:bidi w:val="0"/>
        <w:spacing w:before="219"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19" w:after="283"/>
        <w:jc w:val="both"/>
        <w:rPr/>
      </w:pPr>
      <w:r>
        <w:rPr>
          <w:rFonts w:ascii="Times New Roman" w:hAnsi="Times New Roman"/>
          <w:b/>
          <w:color w:val="000000"/>
          <w:sz w:val="24"/>
        </w:rPr>
        <w:t xml:space="preserve">Transfer of 228+117 Combination Product Know-How; Treatment of Unrelated Know-How. </w:t>
      </w:r>
      <w:r>
        <w:rPr>
          <w:rFonts w:ascii="Times New Roman" w:hAnsi="Times New Roman"/>
          <w:color w:val="000000"/>
          <w:sz w:val="24"/>
        </w:rPr>
        <w:t>Takeda will transfer to Faeth or permit Faeth to obtain the 228+117 Combination Product Know-How in accordance with the process and timing detailed in the transition plan set forth in Exhibit A of this Second Letter Agreement. [***]. Notwithstanding anything to the contrary in this Second Letter Agreement including Exhibit A hereto, the First Letter Agreement, the TAK-117 License Agreement, or the TAK-228 APA, Takeda’s obligations to conduct or assist with transferring such 228+117 Combination Product Know-How shall terminate [***] after [***]. In the event of a conflict between this Second Letter Agreement and the terms set forth in Exhibit A hereto, this Second Letter Agreement will prevail. If either Party becomes aware that any know-how, information, data, documents, or other materials transferred to Faeth pursuant to this Section 6 relates to a compound, molecule, substance, or product other than a Program Molecule (as defined in the TAK-228 APA), a Licensed Compound (as defined in the TAK-117 License Agreement), or a 228+117 Combination Product, such Party shall promptly notify the other Party thereof, and promptly upon Takeda’s request, Faeth shall return or destroy (at Takeda’s sole discretion) such know-how, information, data, documents, and other materials.</w:t>
      </w:r>
    </w:p>
    <w:p>
      <w:pPr>
        <w:pStyle w:val="TextBody"/>
        <w:bidi w:val="0"/>
        <w:spacing w:before="242"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2" w:after="283"/>
        <w:jc w:val="both"/>
        <w:rPr/>
      </w:pPr>
      <w:r>
        <w:rPr>
          <w:rFonts w:ascii="Times New Roman" w:hAnsi="Times New Roman"/>
          <w:b/>
          <w:color w:val="000000"/>
          <w:sz w:val="24"/>
        </w:rPr>
        <w:t xml:space="preserve">Payment. </w:t>
      </w:r>
      <w:r>
        <w:rPr>
          <w:rFonts w:ascii="Times New Roman" w:hAnsi="Times New Roman"/>
          <w:color w:val="000000"/>
          <w:sz w:val="24"/>
        </w:rPr>
        <w:t>In partial consideration for the rights granted herein to Faeth, Faeth shall pay to Takeda a one-time, non-refundable and non-creditable payment of [***].</w:t>
      </w:r>
    </w:p>
    <w:p>
      <w:pPr>
        <w:pStyle w:val="TextBody"/>
        <w:bidi w:val="0"/>
        <w:spacing w:before="256"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56" w:after="283"/>
        <w:jc w:val="both"/>
        <w:rPr/>
      </w:pPr>
      <w:r>
        <w:rPr>
          <w:rFonts w:ascii="Times New Roman" w:hAnsi="Times New Roman"/>
          <w:b/>
          <w:color w:val="000000"/>
          <w:sz w:val="24"/>
        </w:rPr>
        <w:t>No Other Amendments and No New Takeda Obligations</w:t>
      </w:r>
      <w:r>
        <w:rPr>
          <w:rFonts w:ascii="Times New Roman" w:hAnsi="Times New Roman"/>
          <w:color w:val="000000"/>
          <w:sz w:val="24"/>
        </w:rPr>
        <w:t>. Except as otherwise</w:t>
        <w:br/>
        <w:t>expressly set forth in this Second Letter Agreement, the Existing Agreements shall remain in full force and effect in accordance with their terms. Except for the transfer of 228+117 Combination Product Know-How pursuant to Section 6 (Transfer of 228+117 Combination Product Know-</w:t>
        <w:br/>
        <w:t>How) of this Second Letter Agreement, [***]. Faeth acknowledges it has received, prior to the Effective Date of this Second Letter Agreement, and agrees that [***].</w:t>
      </w:r>
    </w:p>
    <w:p>
      <w:pPr>
        <w:pStyle w:val="TextBody"/>
        <w:bidi w:val="0"/>
        <w:spacing w:before="243"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3" w:after="283"/>
        <w:jc w:val="both"/>
        <w:rPr/>
      </w:pPr>
      <w:r>
        <w:rPr>
          <w:rFonts w:ascii="Times New Roman" w:hAnsi="Times New Roman"/>
          <w:b/>
          <w:color w:val="000000"/>
          <w:sz w:val="24"/>
        </w:rPr>
        <w:t>Miscellaneous</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4"/>
        </w:rPr>
        <w:t xml:space="preserve">9.1 </w:t>
      </w:r>
      <w:r>
        <w:rPr>
          <w:rFonts w:ascii="Times New Roman" w:hAnsi="Times New Roman"/>
          <w:color w:val="000000"/>
          <w:sz w:val="24"/>
        </w:rPr>
        <w:t>The Existing Agreements and this Second Letter Agreement constitute the entire agreement between the Parties as to the subject matter of this Second Letter Agreement.</w:t>
      </w:r>
    </w:p>
    <w:p>
      <w:pPr>
        <w:pStyle w:val="TextBody"/>
        <w:bidi w:val="0"/>
        <w:jc w:val="left"/>
        <w:rPr>
          <w:rFonts w:ascii="Times New Roman" w:hAnsi="Times New Roman"/>
          <w:sz w:val="20"/>
        </w:rPr>
      </w:pPr>
      <w:r>
        <w:rPr>
          <w:rFonts w:ascii="Times New Roman" w:hAnsi="Times New Roman"/>
          <w:b/>
          <w:color w:val="000000"/>
          <w:sz w:val="24"/>
        </w:rPr>
        <w:t xml:space="preserve">9.2 </w:t>
      </w:r>
      <w:r>
        <w:rPr>
          <w:rFonts w:ascii="Times New Roman" w:hAnsi="Times New Roman"/>
          <w:color w:val="000000"/>
          <w:sz w:val="24"/>
        </w:rPr>
        <w:t>Faeth agrees that it shall not disclose this Second Letter Agreement or any</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discussions pertaining hereto to any Third Parties and that, in addition to and to the extent not inconsistent with the foregoing, this Second Letter Agreement and all discussions pertaining hereto are subject to Article 7 (Confidentiality) of the TAK-228 APA.</w:t>
      </w:r>
    </w:p>
    <w:p>
      <w:pPr>
        <w:pStyle w:val="TextBody"/>
        <w:bidi w:val="0"/>
        <w:spacing w:before="0" w:after="120"/>
        <w:jc w:val="both"/>
        <w:rPr>
          <w:rFonts w:ascii="Times New Roman" w:hAnsi="Times New Roman"/>
          <w:sz w:val="20"/>
        </w:rPr>
      </w:pPr>
      <w:r>
        <w:rPr>
          <w:rFonts w:ascii="Times New Roman" w:hAnsi="Times New Roman"/>
          <w:b/>
          <w:color w:val="000000"/>
          <w:sz w:val="24"/>
        </w:rPr>
        <w:t>9.3</w:t>
      </w:r>
      <w:r>
        <w:rPr>
          <w:rFonts w:ascii="Times New Roman" w:hAnsi="Times New Roman"/>
          <w:color w:val="000000"/>
          <w:sz w:val="20"/>
        </w:rPr>
        <w:t xml:space="preserve"> </w:t>
      </w:r>
      <w:r>
        <w:rPr>
          <w:rFonts w:ascii="Times New Roman" w:hAnsi="Times New Roman"/>
          <w:color w:val="000000"/>
          <w:sz w:val="24"/>
        </w:rPr>
        <w:t>Neither this Second Letter Agreement nor any right, interest or obligation of a Party under this Second Letter Agreement may be assigned by either Party without the written consent of the other Party, except that each Party may assign this Second Letter Agreement and the rights, obligations and interests of such Party in connection with such Party’s assignment of the TAK- 228 APA and the TAK-117) of such Party or in connection with the transfer or sale of all or substantially all of the business of such Party to which this Agreement relates, whether by merger, sale of stock, sale of assets or otherwise. Any attempted assignment in contravention of this Section 7.3 shall be void.</w:t>
      </w:r>
    </w:p>
    <w:p>
      <w:pPr>
        <w:pStyle w:val="TextBody"/>
        <w:bidi w:val="0"/>
        <w:spacing w:before="0" w:after="120"/>
        <w:jc w:val="both"/>
        <w:rPr>
          <w:rFonts w:ascii="Times New Roman" w:hAnsi="Times New Roman"/>
          <w:sz w:val="20"/>
        </w:rPr>
      </w:pPr>
      <w:r>
        <w:rPr>
          <w:rFonts w:ascii="Times New Roman" w:hAnsi="Times New Roman"/>
          <w:b/>
          <w:color w:val="000000"/>
          <w:sz w:val="24"/>
        </w:rPr>
        <w:t>9.4</w:t>
      </w:r>
      <w:r>
        <w:rPr>
          <w:rFonts w:ascii="Times New Roman" w:hAnsi="Times New Roman"/>
          <w:color w:val="000000"/>
          <w:sz w:val="20"/>
        </w:rPr>
        <w:t xml:space="preserve"> </w:t>
      </w:r>
      <w:r>
        <w:rPr>
          <w:rFonts w:ascii="Times New Roman" w:hAnsi="Times New Roman"/>
          <w:color w:val="000000"/>
          <w:sz w:val="24"/>
        </w:rPr>
        <w:t>This Second Letter Agreement may be executed in counterparts by a single Party, each of which when taken together shall constitute one and the same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120"/>
        <w:jc w:val="both"/>
        <w:rPr>
          <w:rFonts w:ascii="Times New Roman" w:hAnsi="Times New Roman"/>
          <w:sz w:val="20"/>
        </w:rPr>
      </w:pPr>
      <w:r>
        <w:rPr>
          <w:rFonts w:ascii="Times New Roman" w:hAnsi="Times New Roman"/>
          <w:b/>
          <w:color w:val="000000"/>
          <w:sz w:val="24"/>
        </w:rPr>
        <w:t>9.5</w:t>
      </w:r>
      <w:r>
        <w:rPr>
          <w:rFonts w:ascii="Times New Roman" w:hAnsi="Times New Roman"/>
          <w:color w:val="000000"/>
          <w:sz w:val="20"/>
        </w:rPr>
        <w:t xml:space="preserve"> </w:t>
      </w:r>
      <w:r>
        <w:rPr>
          <w:rFonts w:ascii="Times New Roman" w:hAnsi="Times New Roman"/>
          <w:color w:val="000000"/>
          <w:sz w:val="24"/>
        </w:rPr>
        <w:t>This Second Letter Agreement and its effect are subject to and shall be construed and enforced in accordance with the law of the State of New York, without regard to its conflicts of laws that would require the application of any other Law. Each of the Parties hereby irrevocably and unconditionally consents to submit to the exclusive jurisdiction of the federal courts located in the Southern District of the State of New York for any matter arising out of or relating to this Second Letter Agreement and the transactions contemplated hereby, and agrees not to commence any litigation relating thereto except in such courts. Each of the Parties hereby irrevocably and unconditionally waives any objection to the laying of venue of any matter arising out of this Second Letter Agreement or the transactions contemplated hereby in the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Second Letter Agreement shall be exclusively conducted in the English language.</w:t>
      </w:r>
    </w:p>
    <w:p>
      <w:pPr>
        <w:pStyle w:val="TextBody"/>
        <w:bidi w:val="0"/>
        <w:spacing w:before="0" w:after="120"/>
        <w:jc w:val="both"/>
        <w:rPr>
          <w:rFonts w:ascii="Times New Roman" w:hAnsi="Times New Roman"/>
          <w:sz w:val="20"/>
        </w:rPr>
      </w:pPr>
      <w:r>
        <w:rPr>
          <w:rFonts w:ascii="Times New Roman" w:hAnsi="Times New Roman"/>
          <w:b/>
          <w:color w:val="000000"/>
          <w:sz w:val="24"/>
        </w:rPr>
        <w:t>9.6</w:t>
      </w:r>
      <w:r>
        <w:rPr>
          <w:rFonts w:ascii="Times New Roman" w:hAnsi="Times New Roman"/>
          <w:color w:val="000000"/>
          <w:sz w:val="20"/>
        </w:rPr>
        <w:t xml:space="preserve"> </w:t>
      </w:r>
      <w:r>
        <w:rPr>
          <w:rFonts w:ascii="Times New Roman" w:hAnsi="Times New Roman"/>
          <w:color w:val="000000"/>
          <w:sz w:val="24"/>
        </w:rPr>
        <w:t>To the fullest extent permitted by Law, each of the Parties irrevocably waives all right to trial by jury in any litigation arising out of or relating to this Second Letter Agreement or any of the transactions contemplated by this Second Letter Agreement.</w:t>
      </w:r>
    </w:p>
    <w:p>
      <w:pPr>
        <w:pStyle w:val="TextBody"/>
        <w:bidi w:val="0"/>
        <w:spacing w:before="0" w:after="120"/>
        <w:ind w:left="0" w:right="0" w:firstLine="720"/>
        <w:jc w:val="both"/>
        <w:rPr>
          <w:rFonts w:ascii="Times New Roman" w:hAnsi="Times New Roman"/>
          <w:sz w:val="20"/>
        </w:rPr>
      </w:pPr>
      <w:r>
        <w:rPr>
          <w:rFonts w:ascii="Times New Roman" w:hAnsi="Times New Roman"/>
          <w:b/>
          <w:color w:val="000000"/>
          <w:sz w:val="24"/>
        </w:rPr>
        <w:t>9.7</w:t>
      </w:r>
      <w:r>
        <w:rPr>
          <w:rFonts w:ascii="Times New Roman" w:hAnsi="Times New Roman"/>
          <w:color w:val="000000"/>
          <w:sz w:val="20"/>
        </w:rPr>
        <w:t xml:space="preserve"> </w:t>
      </w:r>
      <w:r>
        <w:rPr>
          <w:rFonts w:ascii="Times New Roman" w:hAnsi="Times New Roman"/>
          <w:color w:val="000000"/>
          <w:sz w:val="24"/>
        </w:rPr>
        <w:t>Nothing in this Second Letter Agreement shall be construed to require the commission of any act contrary to Law. If any one or more provisions of this Second Letter Agreement is held to be invalid, illegal or unenforceable, the affected provisions of this Second Letter Agreement shall be curtailed and limited only to the extent necessary to bring it within the applicable legal requirements and the validity, legality and enforceability of the remaining provisions of this Second Letter Agreement shall not in any way be affected or impaired thereby.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ind w:left="0" w:right="0" w:firstLine="720"/>
        <w:jc w:val="both"/>
        <w:rPr>
          <w:rFonts w:ascii="Times New Roman" w:hAnsi="Times New Roman"/>
          <w:sz w:val="20"/>
        </w:rPr>
      </w:pPr>
      <w:r>
        <w:rPr>
          <w:rFonts w:ascii="Times New Roman" w:hAnsi="Times New Roman"/>
          <w:b/>
          <w:color w:val="000000"/>
          <w:sz w:val="24"/>
        </w:rPr>
        <w:t xml:space="preserve">9.8 </w:t>
      </w:r>
      <w:r>
        <w:rPr>
          <w:rFonts w:ascii="Times New Roman" w:hAnsi="Times New Roman"/>
          <w:color w:val="000000"/>
          <w:sz w:val="24"/>
        </w:rPr>
        <w:t>A Party’s consent to or waiver, express or implied, of the other Party’s breach of its obligations 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Second Letter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pStyle w:val="TextBody"/>
        <w:bidi w:val="0"/>
        <w:spacing w:before="0" w:after="120"/>
        <w:ind w:left="0" w:right="0" w:firstLine="720"/>
        <w:jc w:val="both"/>
        <w:rPr>
          <w:rFonts w:ascii="Times New Roman" w:hAnsi="Times New Roman"/>
          <w:color w:val="000000"/>
          <w:sz w:val="24"/>
        </w:rPr>
      </w:pPr>
      <w:r>
        <w:rPr>
          <w:rFonts w:ascii="Times New Roman" w:hAnsi="Times New Roman"/>
          <w:color w:val="000000"/>
          <w:sz w:val="24"/>
        </w:rPr>
        <w:t>9.9 Section headings used herein are for convenient reference only, and are not a part of this Second Letter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9" w:after="720"/>
        <w:jc w:val="left"/>
        <w:rPr/>
      </w:pPr>
      <w:r>
        <w:rPr/>
        <w:t> </w:t>
      </w:r>
    </w:p>
    <w:p>
      <w:pPr>
        <w:pStyle w:val="TextBody"/>
        <w:bidi w:val="0"/>
        <w:jc w:val="left"/>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Pages Immediately to Follow</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spacing w:before="5" w:after="283"/>
        <w:jc w:val="left"/>
        <w:rPr/>
      </w:pPr>
      <w:r>
        <w:rPr/>
        <w:t> </w:t>
      </w:r>
    </w:p>
    <w:p>
      <w:pPr>
        <w:pStyle w:val="TextBody"/>
        <w:bidi w:val="0"/>
        <w:spacing w:before="5" w:after="283"/>
        <w:ind w:left="0" w:right="0" w:firstLine="720"/>
        <w:jc w:val="left"/>
        <w:rPr>
          <w:rFonts w:ascii="Times New Roman" w:hAnsi="Times New Roman"/>
          <w:sz w:val="20"/>
        </w:rPr>
      </w:pPr>
      <w:r>
        <w:rPr>
          <w:rFonts w:ascii="Times New Roman" w:hAnsi="Times New Roman"/>
          <w:b/>
          <w:smallCaps/>
          <w:color w:val="000000"/>
          <w:sz w:val="22"/>
        </w:rPr>
        <w:t>In Witness Whereof</w:t>
      </w:r>
      <w:r>
        <w:rPr>
          <w:rFonts w:ascii="Times New Roman" w:hAnsi="Times New Roman"/>
          <w:color w:val="000000"/>
          <w:sz w:val="22"/>
        </w:rPr>
        <w:t>, this Second Letter Agreement has been executed by the Parties</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hereto all as of the Effective Date of this Second Letter Agreement.</w:t>
      </w:r>
    </w:p>
    <w:p>
      <w:pPr>
        <w:pStyle w:val="TextBody"/>
        <w:bidi w:val="0"/>
        <w:spacing w:before="0" w:after="480"/>
        <w:jc w:val="left"/>
        <w:rPr>
          <w:rFonts w:ascii="Times New Roman" w:hAnsi="Times New Roman"/>
          <w:sz w:val="20"/>
        </w:rPr>
      </w:pPr>
      <w:r>
        <w:rPr>
          <w:rFonts w:ascii="Times New Roman" w:hAnsi="Times New Roman"/>
          <w:b/>
          <w:color w:val="000000"/>
          <w:sz w:val="22"/>
        </w:rPr>
        <w:t>Takeda Pharmaceutical Company Limited</w:t>
      </w:r>
      <w:r>
        <w:rPr>
          <w:rFonts w:ascii="Times New Roman" w:hAnsi="Times New Roman"/>
          <w:color w:val="000000"/>
          <w:sz w:val="20"/>
        </w:rPr>
        <w:t xml:space="preserve"> </w:t>
      </w:r>
      <w:r>
        <w:rPr>
          <w:rFonts w:ascii="Times New Roman" w:hAnsi="Times New Roman"/>
          <w:b/>
          <w:color w:val="000000"/>
          <w:sz w:val="24"/>
        </w:rPr>
        <w:t>Faeth Therapeutics, Inc.</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 xml:space="preserve">/s/ Eiko Sakai </w:t>
      </w:r>
      <w:r>
        <w:rPr>
          <w:rFonts w:ascii="Times New Roman" w:hAnsi="Times New Roman"/>
          <w:color w:val="000000"/>
          <w:sz w:val="24"/>
        </w:rPr>
        <w:t xml:space="preserve">By: </w:t>
      </w:r>
      <w:r>
        <w:rPr>
          <w:rFonts w:ascii="Times New Roman" w:hAnsi="Times New Roman"/>
          <w:color w:val="000000"/>
          <w:sz w:val="24"/>
          <w:u w:val="single"/>
        </w:rPr>
        <w:t xml:space="preserve">/s/ Anand Parikh </w:t>
      </w:r>
    </w:p>
    <w:p>
      <w:pPr>
        <w:pStyle w:val="TextBody"/>
        <w:bidi w:val="0"/>
        <w:spacing w:before="253" w:after="283"/>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Eiko Sakai </w:t>
      </w:r>
      <w:r>
        <w:rPr>
          <w:rFonts w:ascii="Times New Roman" w:hAnsi="Times New Roman"/>
          <w:color w:val="000000"/>
          <w:sz w:val="24"/>
        </w:rPr>
        <w:t xml:space="preserve">Name: </w:t>
      </w:r>
      <w:r>
        <w:rPr>
          <w:rFonts w:ascii="Times New Roman" w:hAnsi="Times New Roman"/>
          <w:color w:val="000000"/>
          <w:sz w:val="24"/>
          <w:u w:val="single"/>
        </w:rPr>
        <w:t xml:space="preserve">Anand Parikh </w:t>
      </w:r>
    </w:p>
    <w:p>
      <w:pPr>
        <w:pStyle w:val="TextBody"/>
        <w:bidi w:val="0"/>
        <w:spacing w:before="253" w:after="283"/>
        <w:jc w:val="left"/>
        <w:rPr>
          <w:rFonts w:ascii="Times New Roman" w:hAnsi="Times New Roman"/>
          <w:sz w:val="20"/>
        </w:rPr>
      </w:pPr>
      <w:r>
        <w:rPr>
          <w:rFonts w:ascii="Times New Roman" w:hAnsi="Times New Roman"/>
          <w:color w:val="000000"/>
          <w:sz w:val="24"/>
        </w:rPr>
        <w:t>Title: Lead, Global Alliance Management,</w:t>
        <w:br/>
      </w:r>
      <w:r>
        <w:rPr>
          <w:rFonts w:ascii="Times New Roman" w:hAnsi="Times New Roman"/>
          <w:color w:val="000000"/>
          <w:sz w:val="24"/>
          <w:u w:val="single"/>
        </w:rPr>
        <w:t xml:space="preserve">Global </w:t>
      </w:r>
      <w:r>
        <w:rPr>
          <w:rFonts w:ascii="Times New Roman" w:hAnsi="Times New Roman"/>
          <w:color w:val="000000"/>
          <w:sz w:val="24"/>
        </w:rPr>
        <w:t xml:space="preserve">Title: </w:t>
      </w:r>
      <w:r>
        <w:rPr>
          <w:rFonts w:ascii="Times New Roman" w:hAnsi="Times New Roman"/>
          <w:color w:val="000000"/>
          <w:sz w:val="24"/>
          <w:u w:val="single"/>
        </w:rPr>
        <w:t xml:space="preserve">CEO </w:t>
      </w:r>
    </w:p>
    <w:p>
      <w:pPr>
        <w:pStyle w:val="TextBody"/>
        <w:bidi w:val="0"/>
        <w:spacing w:before="253" w:after="283"/>
        <w:jc w:val="left"/>
        <w:rPr/>
      </w:pPr>
      <w:r>
        <w:rPr/>
        <w:t> </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Millennium Pharmaceuticals, Inc.</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 xml:space="preserve">/s/ Bathery John </w:t>
      </w:r>
    </w:p>
    <w:p>
      <w:pPr>
        <w:pStyle w:val="TextBody"/>
        <w:bidi w:val="0"/>
        <w:spacing w:before="253" w:after="283"/>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Bathery John </w:t>
      </w:r>
    </w:p>
    <w:p>
      <w:pPr>
        <w:pStyle w:val="TextBody"/>
        <w:bidi w:val="0"/>
        <w:spacing w:before="253" w:after="283"/>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Head, Business Development Operations</w:t>
      </w:r>
    </w:p>
    <w:p>
      <w:pPr>
        <w:pStyle w:val="TextBody"/>
        <w:bidi w:val="0"/>
        <w:spacing w:before="5" w:after="283"/>
        <w:jc w:val="left"/>
        <w:rPr/>
      </w:pPr>
      <w:r>
        <w:rPr/>
        <w:t> </w:t>
      </w:r>
    </w:p>
    <w:p>
      <w:pPr>
        <w:pStyle w:val="TextBody"/>
        <w:bidi w:val="0"/>
        <w:spacing w:before="5"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 w:after="283"/>
        <w:ind w:left="7632" w:right="0" w:hanging="0"/>
        <w:jc w:val="left"/>
        <w:rPr/>
      </w:pPr>
      <w:r>
        <w:rPr/>
        <w:t> </w:t>
      </w:r>
    </w:p>
    <w:p>
      <w:pPr>
        <w:pStyle w:val="TextBody"/>
        <w:bidi w:val="0"/>
        <w:spacing w:before="231" w:after="283"/>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265" w:after="283"/>
        <w:jc w:val="center"/>
        <w:rPr>
          <w:rFonts w:ascii="Times New Roman" w:hAnsi="Times New Roman"/>
          <w:b/>
          <w:color w:val="000000"/>
          <w:sz w:val="24"/>
        </w:rPr>
      </w:pPr>
      <w:r>
        <w:rPr>
          <w:rFonts w:ascii="Times New Roman" w:hAnsi="Times New Roman"/>
          <w:b/>
          <w:color w:val="000000"/>
          <w:sz w:val="24"/>
        </w:rPr>
        <w:t>Tech Transfer Plan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4"/>
        </w:rPr>
      </w:pPr>
      <w:bookmarkStart w:id="58" w:name="snse-ex10_24.htm"/>
      <w:bookmarkStart w:id="59" w:name="kssnseex10_24"/>
      <w:bookmarkEnd w:id="58"/>
      <w:bookmarkEnd w:id="59"/>
      <w:r>
        <w:rPr>
          <w:rFonts w:ascii="Times New Roman" w:hAnsi="Times New Roman"/>
          <w:color w:val="7F7F7F"/>
          <w:sz w:val="24"/>
        </w:rPr>
        <w:t>Exhibit 10.24</w:t>
      </w:r>
      <w:r>
        <w:br w:type="page"/>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December 22, 2025</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Christopher W. Gerry</w:t>
      </w:r>
    </w:p>
    <w:p>
      <w:pPr>
        <w:pStyle w:val="TextBody"/>
        <w:bidi w:val="0"/>
        <w:spacing w:before="120" w:after="120"/>
        <w:jc w:val="both"/>
        <w:rPr>
          <w:rFonts w:ascii="Times New Roman" w:hAnsi="Times New Roman"/>
          <w:sz w:val="20"/>
        </w:rPr>
      </w:pPr>
      <w:r>
        <w:rPr>
          <w:rFonts w:ascii="Times New Roman" w:hAnsi="Times New Roman"/>
          <w:b/>
          <w:color w:val="000000"/>
          <w:sz w:val="24"/>
        </w:rPr>
        <w:t xml:space="preserve">RE: </w:t>
      </w:r>
      <w:r>
        <w:rPr>
          <w:rFonts w:ascii="Times New Roman" w:hAnsi="Times New Roman"/>
          <w:b/>
          <w:smallCaps/>
          <w:color w:val="000000"/>
          <w:sz w:val="24"/>
        </w:rPr>
        <w:t>Retention Agreement and</w:t>
      </w:r>
      <w:r>
        <w:rPr>
          <w:rFonts w:ascii="Times New Roman" w:hAnsi="Times New Roman"/>
          <w:color w:val="000000"/>
          <w:sz w:val="20"/>
        </w:rPr>
        <w:t xml:space="preserve"> </w:t>
      </w:r>
      <w:r>
        <w:rPr>
          <w:rFonts w:ascii="Times New Roman" w:hAnsi="Times New Roman"/>
          <w:b/>
          <w:smallCaps/>
          <w:color w:val="000000"/>
          <w:sz w:val="24"/>
        </w:rPr>
        <w:t>Offer of Additional Severance Eligibility</w:t>
      </w:r>
      <w:r>
        <w:rPr>
          <w:rFonts w:ascii="Times New Roman" w:hAnsi="Times New Roman"/>
          <w:smallCaps/>
          <w:color w:val="0070C0"/>
          <w:sz w:val="20"/>
        </w:rPr>
        <w:t xml:space="preserve"> </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Dear Chris:</w:t>
      </w:r>
    </w:p>
    <w:p>
      <w:pPr>
        <w:pStyle w:val="TextBody"/>
        <w:bidi w:val="0"/>
        <w:spacing w:before="0" w:after="120"/>
        <w:jc w:val="both"/>
        <w:rPr>
          <w:rFonts w:ascii="Times New Roman" w:hAnsi="Times New Roman"/>
          <w:sz w:val="20"/>
        </w:rPr>
      </w:pPr>
      <w:r>
        <w:rPr>
          <w:rFonts w:ascii="Times New Roman" w:hAnsi="Times New Roman"/>
          <w:color w:val="000000"/>
          <w:sz w:val="24"/>
        </w:rPr>
        <w:t>Thank you for all of your contributions to Sensei Biotherapeutics,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Your role is critical to the next phase of the Company. Our hope is that you will remain employed with the Company. To financially incentivize you to remain employed by the Company, we are pleased to offer you two retention bonuses in the form of more favorable bonus eligibility terms for the 2025 and 2026 calendar years and potential additional severance eligibility, according to the terms below (the “</w:t>
      </w:r>
      <w:r>
        <w:rPr>
          <w:rFonts w:ascii="Times New Roman" w:hAnsi="Times New Roman"/>
          <w:b/>
          <w:i/>
          <w:color w:val="000000"/>
          <w:sz w:val="24"/>
        </w:rPr>
        <w:t>Retention Agreement</w:t>
      </w:r>
      <w:r>
        <w:rPr>
          <w:rFonts w:ascii="Times New Roman" w:hAnsi="Times New Roman"/>
          <w:color w:val="000000"/>
          <w:sz w:val="20"/>
        </w:rPr>
        <w:t>”</w:t>
      </w:r>
      <w:r>
        <w:rPr>
          <w:rFonts w:ascii="Times New Roman" w:hAnsi="Times New Roman"/>
          <w:color w:val="000000"/>
          <w:sz w:val="24"/>
        </w:rPr>
        <w:t>). Capitalized terms not defined in this Retention Agreement shall have the same meaning as set forth in the Employment Agreement (as defined below).</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Modifications of Base Salary and Target Percentage</w:t>
      </w:r>
    </w:p>
    <w:p>
      <w:pPr>
        <w:pStyle w:val="TextBody"/>
        <w:bidi w:val="0"/>
        <w:spacing w:before="0" w:after="120"/>
        <w:jc w:val="center"/>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This is to confirm our agreement that, effective as of November 14, 2025, your Base Salary increased to $425,000.</w:t>
      </w:r>
    </w:p>
    <w:p>
      <w:pPr>
        <w:pStyle w:val="TextBody"/>
        <w:bidi w:val="0"/>
        <w:spacing w:before="0" w:after="120"/>
        <w:jc w:val="both"/>
        <w:rPr>
          <w:rFonts w:ascii="Times New Roman" w:hAnsi="Times New Roman"/>
          <w:sz w:val="20"/>
        </w:rPr>
      </w:pPr>
      <w:r>
        <w:rPr>
          <w:rFonts w:ascii="Times New Roman" w:hAnsi="Times New Roman"/>
          <w:color w:val="000000"/>
          <w:sz w:val="24"/>
        </w:rPr>
        <w:t>Additionally, for any Annual Bonus that you may be eligible to receive attributable to the 2026 calendar year, your Target Percentage shall be increased to 40% of your then-current Base Salary (the “</w:t>
      </w:r>
      <w:r>
        <w:rPr>
          <w:rFonts w:ascii="Times New Roman" w:hAnsi="Times New Roman"/>
          <w:b/>
          <w:i/>
          <w:color w:val="000000"/>
          <w:sz w:val="24"/>
        </w:rPr>
        <w:t>Modified Target Percentage</w:t>
      </w:r>
      <w:r>
        <w:rPr>
          <w:rFonts w:ascii="Times New Roman" w:hAnsi="Times New Roman"/>
          <w:color w:val="000000"/>
          <w:sz w:val="20"/>
        </w:rPr>
        <w:t>”</w:t>
      </w:r>
      <w:r>
        <w:rPr>
          <w:rFonts w:ascii="Times New Roman" w:hAnsi="Times New Roman"/>
          <w:color w:val="000000"/>
          <w:sz w:val="24"/>
        </w:rPr>
        <w:t>). For the avoidance of doubt, the Modified Target Percentage shall not apply to your Annual Bonus attributable to the 2025 calendar year.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For avoidance of any doubt, your Employment Agreement is amended and modified with respect to these compensation modifications as described herein.</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Retention Bonus</w:t>
      </w:r>
    </w:p>
    <w:p>
      <w:pPr>
        <w:pStyle w:val="TextBody"/>
        <w:bidi w:val="0"/>
        <w:spacing w:before="0" w:after="120"/>
        <w:jc w:val="both"/>
        <w:rPr>
          <w:rFonts w:ascii="Times New Roman" w:hAnsi="Times New Roman"/>
          <w:b/>
          <w:i/>
          <w:color w:val="000000"/>
          <w:sz w:val="24"/>
        </w:rPr>
      </w:pPr>
      <w:r>
        <w:rPr>
          <w:rFonts w:ascii="Times New Roman" w:hAnsi="Times New Roman"/>
          <w:b/>
          <w:i/>
          <w:color w:val="000000"/>
          <w:sz w:val="24"/>
        </w:rPr>
        <w:t>First Retention Bonus</w:t>
      </w:r>
    </w:p>
    <w:p>
      <w:pPr>
        <w:pStyle w:val="TextBody"/>
        <w:bidi w:val="0"/>
        <w:spacing w:before="0" w:after="120"/>
        <w:jc w:val="both"/>
        <w:rPr>
          <w:rFonts w:ascii="Times New Roman" w:hAnsi="Times New Roman"/>
          <w:sz w:val="20"/>
        </w:rPr>
      </w:pPr>
      <w:r>
        <w:rPr>
          <w:rFonts w:ascii="Times New Roman" w:hAnsi="Times New Roman"/>
          <w:color w:val="000000"/>
          <w:sz w:val="24"/>
        </w:rPr>
        <w:t>If you remain employed by the Company through February 13, 2026 (the “</w:t>
      </w:r>
      <w:r>
        <w:rPr>
          <w:rFonts w:ascii="Times New Roman" w:hAnsi="Times New Roman"/>
          <w:b/>
          <w:i/>
          <w:color w:val="000000"/>
          <w:sz w:val="24"/>
        </w:rPr>
        <w:t>Earn Date</w:t>
      </w:r>
      <w:r>
        <w:rPr>
          <w:rFonts w:ascii="Times New Roman" w:hAnsi="Times New Roman"/>
          <w:color w:val="000000"/>
          <w:sz w:val="20"/>
        </w:rPr>
        <w:t>”</w:t>
      </w:r>
      <w:r>
        <w:rPr>
          <w:rFonts w:ascii="Times New Roman" w:hAnsi="Times New Roman"/>
          <w:color w:val="000000"/>
          <w:sz w:val="24"/>
        </w:rPr>
        <w:t>), and provided you have not tendered your resignation before such date and the Company has not terminated your employment for Cause (as defined in your Amended and Restated Employment Agreement, dated as of July 31, 2024 (the “</w:t>
      </w:r>
      <w:r>
        <w:rPr>
          <w:rFonts w:ascii="Times New Roman" w:hAnsi="Times New Roman"/>
          <w:b/>
          <w:i/>
          <w:color w:val="000000"/>
          <w:sz w:val="24"/>
        </w:rPr>
        <w:t>Employment Agreement</w:t>
      </w:r>
      <w:r>
        <w:rPr>
          <w:rFonts w:ascii="Times New Roman" w:hAnsi="Times New Roman"/>
          <w:color w:val="000000"/>
          <w:sz w:val="20"/>
        </w:rPr>
        <w:t>”</w:t>
      </w:r>
      <w:r>
        <w:rPr>
          <w:rFonts w:ascii="Times New Roman" w:hAnsi="Times New Roman"/>
          <w:color w:val="000000"/>
          <w:sz w:val="24"/>
        </w:rPr>
        <w:t>)) before the Earn Date, then, notwithstanding the fact that the Company is unlikely to attain the targeted goals set by the Board of Directors for 2025 and actual bonus calculations would likely be decreased on account of overall economic conditions and related financial factors, you will nevertheless be entitled to receive, an amount equal to your Annual Bonus attributable to the 2025 calendar year, calculated at the full Target Percentage set forth in your Employment Agreement (the “</w:t>
      </w:r>
      <w:r>
        <w:rPr>
          <w:rFonts w:ascii="Times New Roman" w:hAnsi="Times New Roman"/>
          <w:b/>
          <w:i/>
          <w:color w:val="000000"/>
          <w:sz w:val="24"/>
        </w:rPr>
        <w:t>First</w:t>
      </w:r>
      <w:r>
        <w:rPr>
          <w:rFonts w:ascii="Times New Roman" w:hAnsi="Times New Roman"/>
          <w:color w:val="000000"/>
          <w:sz w:val="20"/>
        </w:rPr>
        <w:t xml:space="preserve"> </w:t>
      </w:r>
      <w:r>
        <w:rPr>
          <w:rFonts w:ascii="Times New Roman" w:hAnsi="Times New Roman"/>
          <w:b/>
          <w:i/>
          <w:color w:val="000000"/>
          <w:sz w:val="24"/>
        </w:rPr>
        <w:t>Retention Bonus</w:t>
      </w:r>
      <w:r>
        <w:rPr>
          <w:rFonts w:ascii="Times New Roman" w:hAnsi="Times New Roman"/>
          <w:color w:val="000000"/>
          <w:sz w:val="20"/>
        </w:rPr>
        <w:t>”</w:t>
      </w:r>
      <w:r>
        <w:rPr>
          <w:rFonts w:ascii="Times New Roman" w:hAnsi="Times New Roman"/>
          <w:color w:val="000000"/>
          <w:sz w:val="24"/>
        </w:rPr>
        <w:t>). If earned, the First Retention Bonus will be paid in a lump sum on February 13, 2026, and will be subject to applicable payroll withholdings and deductions. For the avoidance of doubt, the First Retention Bonus will be in lieu of, not in addition to, any other bonus attributable to the 2025 calendar year that you might otherwise be eligible to receive under Section 2.2 of your Employment Agreement.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If the Company terminates your employment without Cause or you terminate your employment for Good Reason, in either case, prior to February 13, 2026 and </w:t>
      </w:r>
      <w:r>
        <w:rPr>
          <w:rFonts w:ascii="Times New Roman" w:hAnsi="Times New Roman"/>
          <w:b/>
          <w:i/>
          <w:color w:val="000000"/>
          <w:sz w:val="24"/>
          <w:u w:val="single"/>
        </w:rPr>
        <w:t>not</w:t>
      </w:r>
      <w:r>
        <w:rPr>
          <w:rFonts w:ascii="Times New Roman" w:hAnsi="Times New Roman"/>
          <w:color w:val="000000"/>
          <w:sz w:val="20"/>
        </w:rPr>
        <w:t xml:space="preserve"> </w:t>
      </w:r>
      <w:r>
        <w:rPr>
          <w:rFonts w:ascii="Times New Roman" w:hAnsi="Times New Roman"/>
          <w:color w:val="000000"/>
          <w:sz w:val="24"/>
        </w:rPr>
        <w:t>during the Change in Control Measurement Period, then, subject to your full compliance with Section 6.1(c) of the Employment Agreement, including but not limited to the Release requirement and your continued compliance with obligations to the Company under your Covenants Agreement (as defined below), as an additional Non-CIC Severance Benefit under Section 6.1 of your Employment Agreement,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Company will pay the First Retention Bonus, less applicable taxes and withholdings (the “</w:t>
      </w:r>
      <w:r>
        <w:rPr>
          <w:rFonts w:ascii="Times New Roman" w:hAnsi="Times New Roman"/>
          <w:b/>
          <w:i/>
          <w:color w:val="000000"/>
          <w:sz w:val="24"/>
        </w:rPr>
        <w:t>Termination Bonus</w:t>
      </w:r>
      <w:r>
        <w:rPr>
          <w:rFonts w:ascii="Times New Roman" w:hAnsi="Times New Roman"/>
          <w:color w:val="000000"/>
          <w:sz w:val="20"/>
        </w:rPr>
        <w:t>”</w:t>
      </w:r>
      <w:r>
        <w:rPr>
          <w:rFonts w:ascii="Times New Roman" w:hAnsi="Times New Roman"/>
          <w:color w:val="000000"/>
          <w:sz w:val="24"/>
        </w:rPr>
        <w:t>). The Termination Bonus will be paid on the next regular payroll date after the Release has become effective.</w:t>
      </w:r>
    </w:p>
    <w:p>
      <w:pPr>
        <w:pStyle w:val="TextBody"/>
        <w:bidi w:val="0"/>
        <w:spacing w:before="0" w:after="120"/>
        <w:jc w:val="both"/>
        <w:rPr>
          <w:rFonts w:ascii="Times New Roman" w:hAnsi="Times New Roman"/>
          <w:b/>
          <w:i/>
          <w:color w:val="000000"/>
          <w:sz w:val="24"/>
        </w:rPr>
      </w:pPr>
      <w:r>
        <w:rPr>
          <w:rFonts w:ascii="Times New Roman" w:hAnsi="Times New Roman"/>
          <w:b/>
          <w:i/>
          <w:color w:val="000000"/>
          <w:sz w:val="24"/>
        </w:rPr>
        <w:t>Second Retention Bonus</w:t>
      </w:r>
    </w:p>
    <w:p>
      <w:pPr>
        <w:pStyle w:val="TextBody"/>
        <w:bidi w:val="0"/>
        <w:spacing w:before="0" w:after="120"/>
        <w:jc w:val="both"/>
        <w:rPr>
          <w:rFonts w:ascii="Times New Roman" w:hAnsi="Times New Roman"/>
          <w:sz w:val="20"/>
        </w:rPr>
      </w:pPr>
      <w:r>
        <w:rPr>
          <w:rFonts w:ascii="Times New Roman" w:hAnsi="Times New Roman"/>
          <w:color w:val="000000"/>
          <w:sz w:val="24"/>
        </w:rPr>
        <w:t>Additionally, notwithstanding anything to the contrary in Section 2.2 of your Employment Agreement, if the Company terminates your employment without Cause or you terminate your employment for Good Reason, in either case, prior to the date that bonuses are paid in respect of the 2026 calendar year, then, subject to your full compliance with Section 6.1(c) of the Employment Agreement, you will be eligible to receive an amount equal to 1/12 of the Annual Bonus attributable to the 2026 calendar year, calculated at the full Modified Target Percentage, multiplied by the number of full months that you were employed by the Company in 2026 (the “</w:t>
      </w:r>
      <w:r>
        <w:rPr>
          <w:rFonts w:ascii="Times New Roman" w:hAnsi="Times New Roman"/>
          <w:b/>
          <w:i/>
          <w:color w:val="000000"/>
          <w:sz w:val="24"/>
        </w:rPr>
        <w:t>Second</w:t>
      </w:r>
      <w:r>
        <w:rPr>
          <w:rFonts w:ascii="Times New Roman" w:hAnsi="Times New Roman"/>
          <w:color w:val="000000"/>
          <w:sz w:val="20"/>
        </w:rPr>
        <w:t xml:space="preserve"> </w:t>
      </w:r>
      <w:r>
        <w:rPr>
          <w:rFonts w:ascii="Times New Roman" w:hAnsi="Times New Roman"/>
          <w:b/>
          <w:i/>
          <w:color w:val="000000"/>
          <w:sz w:val="24"/>
        </w:rPr>
        <w:t>Retention Bonus</w:t>
      </w:r>
      <w:r>
        <w:rPr>
          <w:rFonts w:ascii="Times New Roman" w:hAnsi="Times New Roman"/>
          <w:color w:val="000000"/>
          <w:sz w:val="20"/>
        </w:rPr>
        <w:t>”</w:t>
      </w:r>
      <w:r>
        <w:rPr>
          <w:rFonts w:ascii="Times New Roman" w:hAnsi="Times New Roman"/>
          <w:color w:val="000000"/>
          <w:sz w:val="24"/>
        </w:rPr>
        <w:t>). The Second Retention Bonus will be paid on the next regular payroll date after the Release has become effective.</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Additional Non-CIC Severance Benefit</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If the Company terminates your employment without Cause or you terminate your employment for Good Reason, in either case, at any time during the 2026 calendar year </w:t>
      </w:r>
      <w:r>
        <w:rPr>
          <w:rFonts w:ascii="Times New Roman" w:hAnsi="Times New Roman"/>
          <w:b/>
          <w:i/>
          <w:color w:val="000000"/>
          <w:sz w:val="24"/>
          <w:u w:val="single"/>
        </w:rPr>
        <w:t>except</w:t>
      </w:r>
      <w:r>
        <w:rPr>
          <w:rFonts w:ascii="Times New Roman" w:hAnsi="Times New Roman"/>
          <w:color w:val="000000"/>
          <w:sz w:val="20"/>
        </w:rPr>
        <w:t xml:space="preserve"> </w:t>
      </w:r>
      <w:r>
        <w:rPr>
          <w:rFonts w:ascii="Times New Roman" w:hAnsi="Times New Roman"/>
          <w:color w:val="000000"/>
          <w:sz w:val="24"/>
        </w:rPr>
        <w:t>during the Change in Control Measurement Period, then, subject to your full compliance with Section 6.1(c) of the Employment Agreement, as an additional Non-CIC Severance Benefit under Section 6.1 of your Employment Agreement, you will receive an amount equal to two times the Second Retention Bonus described in the previous paragraph, and calculated based on the applicable separation date.</w:t>
      </w:r>
      <w:r>
        <w:rPr>
          <w:rFonts w:ascii="Times New Roman" w:hAnsi="Times New Roman"/>
          <w:color w:val="000000"/>
          <w:sz w:val="20"/>
        </w:rPr>
        <w:t xml:space="preserve"> </w:t>
      </w:r>
      <w:r>
        <w:rPr>
          <w:rFonts w:ascii="Times New Roman" w:hAnsi="Times New Roman"/>
          <w:color w:val="000000"/>
          <w:sz w:val="24"/>
        </w:rPr>
        <w:t>For the avoidance of doubt, if this additional severance benefit is payable to you, you agree that you will not have any right to receive otherwise, the Second Retention Bonus and/or any annual bonus in respect of the 2026 calendar year.</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Miscellaneous</w:t>
      </w:r>
    </w:p>
    <w:p>
      <w:pPr>
        <w:pStyle w:val="TextBody"/>
        <w:bidi w:val="0"/>
        <w:spacing w:before="0" w:after="120"/>
        <w:jc w:val="both"/>
        <w:rPr>
          <w:rFonts w:ascii="Times New Roman" w:hAnsi="Times New Roman"/>
          <w:sz w:val="20"/>
        </w:rPr>
      </w:pPr>
      <w:r>
        <w:rPr>
          <w:rFonts w:ascii="Times New Roman" w:hAnsi="Times New Roman"/>
          <w:color w:val="000000"/>
          <w:sz w:val="24"/>
        </w:rPr>
        <w:t>This Retention Agreement is intended to provide a financial incentive to you and is not intended to confer any rights to continued employment upon you. Nothing in this Retention Agreement is intended to alter your at-will employment relationship, and except as otherwise modified herein with respect to your Base Salary, Target Percentage, bonus eligibility and severance eligibility, all other provisions of the Employment Agreement and your Employee Confidential Information, Invention Assignment, Non-Solicitation and Non-Competition Agreement (the “</w:t>
      </w:r>
      <w:r>
        <w:rPr>
          <w:rFonts w:ascii="Times New Roman" w:hAnsi="Times New Roman"/>
          <w:b/>
          <w:i/>
          <w:color w:val="000000"/>
          <w:sz w:val="24"/>
        </w:rPr>
        <w:t>Covenants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remain in full force and effect.</w:t>
      </w:r>
    </w:p>
    <w:p>
      <w:pPr>
        <w:pStyle w:val="TextBody"/>
        <w:bidi w:val="0"/>
        <w:spacing w:before="0" w:after="120"/>
        <w:jc w:val="both"/>
        <w:rPr>
          <w:rFonts w:ascii="Times New Roman" w:hAnsi="Times New Roman"/>
          <w:sz w:val="20"/>
        </w:rPr>
      </w:pPr>
      <w:r>
        <w:rPr>
          <w:rFonts w:ascii="Times New Roman" w:hAnsi="Times New Roman"/>
          <w:color w:val="000000"/>
          <w:sz w:val="24"/>
        </w:rPr>
        <w:t>All questions concerning the construction, validity and interpretation of this Retention Agreement will be governed by the laws of the state or commonwealth in which you primarily provide services for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This Retention Agreement is the complete, final and exclusive embodiment of the entire agreement between you and the Company with regard to the benefits provided for herein, and it supersedes and replaces any other agreements (whether written or unwritten) you may have with the Company concerning these matters (other than the Covenants Agreement and, except as explicitly modified herein, the Employment Agreement, both of which remain in full force and effect). The terms of this Retention Agreement may not be modified or amended except in a written agreement signed by you and a duly authorized officer of the Company.</w:t>
      </w:r>
      <w:r>
        <w:rPr>
          <w:rFonts w:ascii="Times New Roman" w:hAnsi="Times New Roman"/>
          <w:color w:val="000000"/>
          <w:sz w:val="20"/>
        </w:rPr>
        <w:t xml:space="preserve"> </w:t>
      </w:r>
    </w:p>
    <w:p>
      <w:pPr>
        <w:pStyle w:val="TextBody"/>
        <w:bidi w:val="0"/>
        <w:spacing w:before="0" w:after="120"/>
        <w:jc w:val="both"/>
        <w:rPr/>
      </w:pPr>
      <w:r>
        <w:rPr/>
        <w:t>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If you would like to accept the Company’s offer herein, please sign below and return to me on or before December 31, 2025.</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0" w:after="12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 Bob Holmen</w:t>
      </w:r>
      <w:r>
        <w:rPr>
          <w:rFonts w:ascii="Times New Roman" w:hAnsi="Times New Roman"/>
          <w:color w:val="000000"/>
          <w:sz w:val="24"/>
        </w:rPr>
        <w:t>_____________</w:t>
      </w:r>
    </w:p>
    <w:p>
      <w:pPr>
        <w:pStyle w:val="TextBody"/>
        <w:bidi w:val="0"/>
        <w:jc w:val="both"/>
        <w:rPr>
          <w:rFonts w:ascii="Times New Roman" w:hAnsi="Times New Roman"/>
          <w:color w:val="000000"/>
          <w:sz w:val="24"/>
        </w:rPr>
      </w:pPr>
      <w:r>
        <w:rPr>
          <w:rFonts w:ascii="Times New Roman" w:hAnsi="Times New Roman"/>
          <w:color w:val="000000"/>
          <w:sz w:val="24"/>
        </w:rPr>
        <w:t>Name: Bob Holmen</w:t>
      </w:r>
    </w:p>
    <w:p>
      <w:pPr>
        <w:pStyle w:val="TextBody"/>
        <w:bidi w:val="0"/>
        <w:jc w:val="both"/>
        <w:rPr>
          <w:rFonts w:ascii="Times New Roman" w:hAnsi="Times New Roman"/>
          <w:sz w:val="20"/>
        </w:rPr>
      </w:pPr>
      <w:r>
        <w:rPr>
          <w:rFonts w:ascii="Times New Roman" w:hAnsi="Times New Roman"/>
          <w:color w:val="000000"/>
          <w:sz w:val="24"/>
        </w:rPr>
        <w:t>Title: Chairman of the Board</w:t>
      </w:r>
      <w:r>
        <w:rPr>
          <w:rFonts w:ascii="Times New Roman" w:hAnsi="Times New Roman"/>
          <w:color w:val="000000"/>
          <w:sz w:val="20"/>
        </w:rPr>
        <w:t xml:space="preserve">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Accepted and Agreed: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/s/ Christopher W. Gerry</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4"/>
          <w:u w:val="single"/>
        </w:rPr>
        <w:t>12/22/2025</w:t>
      </w:r>
    </w:p>
    <w:p>
      <w:pPr>
        <w:pStyle w:val="TextBody"/>
        <w:bidi w:val="0"/>
        <w:jc w:val="left"/>
        <w:rPr>
          <w:rFonts w:ascii="Times New Roman" w:hAnsi="Times New Roman"/>
          <w:color w:val="000000"/>
          <w:sz w:val="24"/>
        </w:rPr>
      </w:pPr>
      <w:r>
        <w:rPr>
          <w:rFonts w:ascii="Times New Roman" w:hAnsi="Times New Roman"/>
          <w:color w:val="000000"/>
          <w:sz w:val="24"/>
        </w:rPr>
        <w:t>Christopher W. Gerry</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7F7F7F"/>
          <w:sz w:val="24"/>
        </w:rPr>
      </w:pPr>
      <w:bookmarkStart w:id="60" w:name="snse-ex10_25.htm"/>
      <w:bookmarkStart w:id="61" w:name="kssnseex10_25"/>
      <w:bookmarkEnd w:id="60"/>
      <w:bookmarkEnd w:id="61"/>
      <w:r>
        <w:rPr>
          <w:rFonts w:ascii="Times New Roman" w:hAnsi="Times New Roman"/>
          <w:color w:val="7F7F7F"/>
          <w:sz w:val="24"/>
        </w:rPr>
        <w:t>Exhibit 10.25</w:t>
      </w:r>
      <w:r>
        <w:br w:type="page"/>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December 22, 2025</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Josiah Craver</w:t>
      </w:r>
    </w:p>
    <w:p>
      <w:pPr>
        <w:pStyle w:val="TextBody"/>
        <w:bidi w:val="0"/>
        <w:spacing w:before="120" w:after="120"/>
        <w:jc w:val="both"/>
        <w:rPr>
          <w:rFonts w:ascii="Times New Roman" w:hAnsi="Times New Roman"/>
          <w:sz w:val="20"/>
        </w:rPr>
      </w:pPr>
      <w:r>
        <w:rPr>
          <w:rFonts w:ascii="Times New Roman" w:hAnsi="Times New Roman"/>
          <w:b/>
          <w:color w:val="000000"/>
          <w:sz w:val="24"/>
        </w:rPr>
        <w:t xml:space="preserve">RE: </w:t>
      </w:r>
      <w:r>
        <w:rPr>
          <w:rFonts w:ascii="Times New Roman" w:hAnsi="Times New Roman"/>
          <w:b/>
          <w:smallCaps/>
          <w:color w:val="000000"/>
          <w:sz w:val="24"/>
        </w:rPr>
        <w:t>Retention Agreement and</w:t>
      </w:r>
      <w:r>
        <w:rPr>
          <w:rFonts w:ascii="Times New Roman" w:hAnsi="Times New Roman"/>
          <w:color w:val="000000"/>
          <w:sz w:val="20"/>
        </w:rPr>
        <w:t xml:space="preserve"> </w:t>
      </w:r>
      <w:r>
        <w:rPr>
          <w:rFonts w:ascii="Times New Roman" w:hAnsi="Times New Roman"/>
          <w:b/>
          <w:smallCaps/>
          <w:color w:val="000000"/>
          <w:sz w:val="24"/>
        </w:rPr>
        <w:t>Offer of Additional Severance Eligibility</w:t>
      </w:r>
      <w:r>
        <w:rPr>
          <w:rFonts w:ascii="Times New Roman" w:hAnsi="Times New Roman"/>
          <w:smallCaps/>
          <w:color w:val="0070C0"/>
          <w:sz w:val="20"/>
        </w:rPr>
        <w:t xml:space="preserve"> </w:t>
      </w:r>
    </w:p>
    <w:p>
      <w:pPr>
        <w:pStyle w:val="TextBody"/>
        <w:bidi w:val="0"/>
        <w:spacing w:before="120" w:after="240"/>
        <w:jc w:val="both"/>
        <w:rPr>
          <w:rFonts w:ascii="Times New Roman" w:hAnsi="Times New Roman"/>
          <w:color w:val="000000"/>
          <w:sz w:val="24"/>
        </w:rPr>
      </w:pPr>
      <w:r>
        <w:rPr>
          <w:rFonts w:ascii="Times New Roman" w:hAnsi="Times New Roman"/>
          <w:color w:val="000000"/>
          <w:sz w:val="24"/>
        </w:rPr>
        <w:t>Dear Josiah:</w:t>
      </w:r>
    </w:p>
    <w:p>
      <w:pPr>
        <w:pStyle w:val="TextBody"/>
        <w:bidi w:val="0"/>
        <w:spacing w:before="0" w:after="120"/>
        <w:jc w:val="both"/>
        <w:rPr>
          <w:rFonts w:ascii="Times New Roman" w:hAnsi="Times New Roman"/>
          <w:sz w:val="20"/>
        </w:rPr>
      </w:pPr>
      <w:r>
        <w:rPr>
          <w:rFonts w:ascii="Times New Roman" w:hAnsi="Times New Roman"/>
          <w:color w:val="000000"/>
          <w:sz w:val="24"/>
        </w:rPr>
        <w:t>Thank you for all of your contributions to Sensei Biotherapeutics,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Your role is critical to the next phase of the Company. Our hope is that you will remain employed with the Company. To financially incentivize you to remain employed by the Company, we are pleased to offer you two retention bonuses in the form of more favorable bonus eligibility terms for the 2025 and 2026 calendar years and potential additional severance eligibility, according to the terms below (the “</w:t>
      </w:r>
      <w:r>
        <w:rPr>
          <w:rFonts w:ascii="Times New Roman" w:hAnsi="Times New Roman"/>
          <w:b/>
          <w:i/>
          <w:color w:val="000000"/>
          <w:sz w:val="24"/>
        </w:rPr>
        <w:t>Retention Agreement</w:t>
      </w:r>
      <w:r>
        <w:rPr>
          <w:rFonts w:ascii="Times New Roman" w:hAnsi="Times New Roman"/>
          <w:color w:val="000000"/>
          <w:sz w:val="20"/>
        </w:rPr>
        <w:t>”</w:t>
      </w:r>
      <w:r>
        <w:rPr>
          <w:rFonts w:ascii="Times New Roman" w:hAnsi="Times New Roman"/>
          <w:color w:val="000000"/>
          <w:sz w:val="24"/>
        </w:rPr>
        <w:t>). Capitalized terms not defined in this Retention Agreement shall have the same meaning as set forth in the Employment Agreement (as defined below).</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Modifications of Base Salary and Target Percentage</w:t>
      </w:r>
    </w:p>
    <w:p>
      <w:pPr>
        <w:pStyle w:val="TextBody"/>
        <w:bidi w:val="0"/>
        <w:spacing w:before="0" w:after="120"/>
        <w:jc w:val="center"/>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This is to confirm our agreement that, effective as of November 14, 2025, your Base Salary increased to $400,000.</w:t>
      </w:r>
    </w:p>
    <w:p>
      <w:pPr>
        <w:pStyle w:val="TextBody"/>
        <w:bidi w:val="0"/>
        <w:spacing w:before="0" w:after="120"/>
        <w:jc w:val="both"/>
        <w:rPr>
          <w:rFonts w:ascii="Times New Roman" w:hAnsi="Times New Roman"/>
          <w:sz w:val="20"/>
        </w:rPr>
      </w:pPr>
      <w:r>
        <w:rPr>
          <w:rFonts w:ascii="Times New Roman" w:hAnsi="Times New Roman"/>
          <w:color w:val="000000"/>
          <w:sz w:val="24"/>
        </w:rPr>
        <w:t>Additionally, for any Annual Bonus that you may be eligible to receive attributable to the 2026 calendar year, your Target Percentage shall be increased to 40% of your then-current Base Salary (the “</w:t>
      </w:r>
      <w:r>
        <w:rPr>
          <w:rFonts w:ascii="Times New Roman" w:hAnsi="Times New Roman"/>
          <w:b/>
          <w:i/>
          <w:color w:val="000000"/>
          <w:sz w:val="24"/>
        </w:rPr>
        <w:t>Modified Target Percentage</w:t>
      </w:r>
      <w:r>
        <w:rPr>
          <w:rFonts w:ascii="Times New Roman" w:hAnsi="Times New Roman"/>
          <w:color w:val="000000"/>
          <w:sz w:val="20"/>
        </w:rPr>
        <w:t>”</w:t>
      </w:r>
      <w:r>
        <w:rPr>
          <w:rFonts w:ascii="Times New Roman" w:hAnsi="Times New Roman"/>
          <w:color w:val="000000"/>
          <w:sz w:val="24"/>
        </w:rPr>
        <w:t>). For the avoidance of doubt, the Modified Target Percentage shall not apply to your Annual Bonus attributable to the 2025 calendar year.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For avoidance of any doubt, your Employment Agreement is amended and modified with respect to these compensation modifications as described herein.</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Retention Bonus</w:t>
      </w:r>
    </w:p>
    <w:p>
      <w:pPr>
        <w:pStyle w:val="TextBody"/>
        <w:bidi w:val="0"/>
        <w:spacing w:before="0" w:after="120"/>
        <w:jc w:val="both"/>
        <w:rPr>
          <w:rFonts w:ascii="Times New Roman" w:hAnsi="Times New Roman"/>
          <w:b/>
          <w:i/>
          <w:color w:val="000000"/>
          <w:sz w:val="24"/>
        </w:rPr>
      </w:pPr>
      <w:r>
        <w:rPr>
          <w:rFonts w:ascii="Times New Roman" w:hAnsi="Times New Roman"/>
          <w:b/>
          <w:i/>
          <w:color w:val="000000"/>
          <w:sz w:val="24"/>
        </w:rPr>
        <w:t>First Retention Bonus</w:t>
      </w:r>
    </w:p>
    <w:p>
      <w:pPr>
        <w:pStyle w:val="TextBody"/>
        <w:bidi w:val="0"/>
        <w:spacing w:before="0" w:after="120"/>
        <w:jc w:val="both"/>
        <w:rPr>
          <w:rFonts w:ascii="Times New Roman" w:hAnsi="Times New Roman"/>
          <w:sz w:val="20"/>
        </w:rPr>
      </w:pPr>
      <w:r>
        <w:rPr>
          <w:rFonts w:ascii="Times New Roman" w:hAnsi="Times New Roman"/>
          <w:color w:val="000000"/>
          <w:sz w:val="24"/>
        </w:rPr>
        <w:t>If you remain employed by the Company through February 13, 2026 (the “</w:t>
      </w:r>
      <w:r>
        <w:rPr>
          <w:rFonts w:ascii="Times New Roman" w:hAnsi="Times New Roman"/>
          <w:b/>
          <w:i/>
          <w:color w:val="000000"/>
          <w:sz w:val="24"/>
        </w:rPr>
        <w:t>Earn Date</w:t>
      </w:r>
      <w:r>
        <w:rPr>
          <w:rFonts w:ascii="Times New Roman" w:hAnsi="Times New Roman"/>
          <w:color w:val="000000"/>
          <w:sz w:val="20"/>
        </w:rPr>
        <w:t>”</w:t>
      </w:r>
      <w:r>
        <w:rPr>
          <w:rFonts w:ascii="Times New Roman" w:hAnsi="Times New Roman"/>
          <w:color w:val="000000"/>
          <w:sz w:val="24"/>
        </w:rPr>
        <w:t>), and provided you have not tendered your resignation before such date and the Company has not terminated your employment for Cause (as defined in your Employment Agreement, dated as of July 12, 2024 (the “</w:t>
      </w:r>
      <w:r>
        <w:rPr>
          <w:rFonts w:ascii="Times New Roman" w:hAnsi="Times New Roman"/>
          <w:b/>
          <w:i/>
          <w:color w:val="000000"/>
          <w:sz w:val="24"/>
        </w:rPr>
        <w:t>Employment Agreement</w:t>
      </w:r>
      <w:r>
        <w:rPr>
          <w:rFonts w:ascii="Times New Roman" w:hAnsi="Times New Roman"/>
          <w:color w:val="000000"/>
          <w:sz w:val="20"/>
        </w:rPr>
        <w:t>”</w:t>
      </w:r>
      <w:r>
        <w:rPr>
          <w:rFonts w:ascii="Times New Roman" w:hAnsi="Times New Roman"/>
          <w:color w:val="000000"/>
          <w:sz w:val="24"/>
        </w:rPr>
        <w:t>)) before the Earn Date, then, notwithstanding the fact that the Company is unlikely to attain the targeted goals set by the Board of Directors for 2025 and actual bonus calculations would likely be decreased on account of overall economic conditions and related financial factors, you will nevertheless be entitled to receive, an amount equal to your Annual Bonus attributable to the 2025 calendar year, calculated at the full Target Percentage set forth in your Employment Agreement (the “</w:t>
      </w:r>
      <w:r>
        <w:rPr>
          <w:rFonts w:ascii="Times New Roman" w:hAnsi="Times New Roman"/>
          <w:b/>
          <w:i/>
          <w:color w:val="000000"/>
          <w:sz w:val="24"/>
        </w:rPr>
        <w:t>First</w:t>
      </w:r>
      <w:r>
        <w:rPr>
          <w:rFonts w:ascii="Times New Roman" w:hAnsi="Times New Roman"/>
          <w:color w:val="000000"/>
          <w:sz w:val="20"/>
        </w:rPr>
        <w:t xml:space="preserve"> </w:t>
      </w:r>
      <w:r>
        <w:rPr>
          <w:rFonts w:ascii="Times New Roman" w:hAnsi="Times New Roman"/>
          <w:b/>
          <w:i/>
          <w:color w:val="000000"/>
          <w:sz w:val="24"/>
        </w:rPr>
        <w:t>Retention Bonus</w:t>
      </w:r>
      <w:r>
        <w:rPr>
          <w:rFonts w:ascii="Times New Roman" w:hAnsi="Times New Roman"/>
          <w:color w:val="000000"/>
          <w:sz w:val="20"/>
        </w:rPr>
        <w:t>”</w:t>
      </w:r>
      <w:r>
        <w:rPr>
          <w:rFonts w:ascii="Times New Roman" w:hAnsi="Times New Roman"/>
          <w:color w:val="000000"/>
          <w:sz w:val="24"/>
        </w:rPr>
        <w:t>). If earned, the First Retention Bonus will be paid in a lump sum on February 13, 2026, and will be subject to applicable payroll withholdings and deductions. For the avoidance of doubt, the First Retention Bonus will be in lieu of, not in addition to, any other bonus attributable to the 2025 calendar year that you might otherwise be eligible to receive under Section 2.2 of your Employment Agreement.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If the Company terminates your employment without Cause or you terminate your employment for Good Reason, in either case, prior to February 13, 2026 and </w:t>
      </w:r>
      <w:r>
        <w:rPr>
          <w:rFonts w:ascii="Times New Roman" w:hAnsi="Times New Roman"/>
          <w:b/>
          <w:i/>
          <w:color w:val="000000"/>
          <w:sz w:val="24"/>
          <w:u w:val="single"/>
        </w:rPr>
        <w:t>not</w:t>
      </w:r>
      <w:r>
        <w:rPr>
          <w:rFonts w:ascii="Times New Roman" w:hAnsi="Times New Roman"/>
          <w:color w:val="000000"/>
          <w:sz w:val="20"/>
        </w:rPr>
        <w:t xml:space="preserve"> </w:t>
      </w:r>
      <w:r>
        <w:rPr>
          <w:rFonts w:ascii="Times New Roman" w:hAnsi="Times New Roman"/>
          <w:color w:val="000000"/>
          <w:sz w:val="24"/>
        </w:rPr>
        <w:t>during the Change in Control Measurement Period, then, subject to your full compliance with Section 6.1(c) of the Employment Agreement, including but not limited to the Release requirement and your continued compliance with obligations to the Company under your Covenants Agreement (as defined below), as an additional Non-CIC Severance Benefit under Section 6.1 of your Employment Agreement, the Company will pay the First Retention Bonus, less applicable taxes and withholdings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color w:val="000000"/>
        </w:rPr>
        <w:t>“</w:t>
      </w:r>
      <w:r>
        <w:rPr>
          <w:rFonts w:ascii="Times New Roman" w:hAnsi="Times New Roman"/>
          <w:b/>
          <w:i/>
          <w:color w:val="000000"/>
          <w:sz w:val="24"/>
        </w:rPr>
        <w:t>Termination Bonus</w:t>
      </w:r>
      <w:r>
        <w:rPr>
          <w:rFonts w:ascii="Times New Roman" w:hAnsi="Times New Roman"/>
          <w:color w:val="000000"/>
          <w:sz w:val="20"/>
        </w:rPr>
        <w:t>”</w:t>
      </w:r>
      <w:r>
        <w:rPr>
          <w:rFonts w:ascii="Times New Roman" w:hAnsi="Times New Roman"/>
          <w:color w:val="000000"/>
          <w:sz w:val="24"/>
        </w:rPr>
        <w:t>). The Termination Bonus will be paid on the next regular payroll date after the Release has become effective.</w:t>
      </w:r>
    </w:p>
    <w:p>
      <w:pPr>
        <w:pStyle w:val="TextBody"/>
        <w:bidi w:val="0"/>
        <w:spacing w:before="0" w:after="120"/>
        <w:jc w:val="both"/>
        <w:rPr>
          <w:rFonts w:ascii="Times New Roman" w:hAnsi="Times New Roman"/>
          <w:b/>
          <w:i/>
          <w:color w:val="000000"/>
          <w:sz w:val="24"/>
        </w:rPr>
      </w:pPr>
      <w:r>
        <w:rPr>
          <w:rFonts w:ascii="Times New Roman" w:hAnsi="Times New Roman"/>
          <w:b/>
          <w:i/>
          <w:color w:val="000000"/>
          <w:sz w:val="24"/>
        </w:rPr>
        <w:t>Second Retention Bonus</w:t>
      </w:r>
    </w:p>
    <w:p>
      <w:pPr>
        <w:pStyle w:val="TextBody"/>
        <w:bidi w:val="0"/>
        <w:spacing w:before="0" w:after="120"/>
        <w:jc w:val="both"/>
        <w:rPr>
          <w:rFonts w:ascii="Times New Roman" w:hAnsi="Times New Roman"/>
          <w:sz w:val="20"/>
        </w:rPr>
      </w:pPr>
      <w:r>
        <w:rPr>
          <w:rFonts w:ascii="Times New Roman" w:hAnsi="Times New Roman"/>
          <w:color w:val="000000"/>
          <w:sz w:val="24"/>
        </w:rPr>
        <w:t>Additionally, notwithstanding anything to the contrary in Section 2.2 of your Employment Agreement, if the Company terminates your employment without Cause or you terminate your employment for Good Reason, in either case, prior to the date that bonuses are paid in respect of the 2026 calendar year, then, subject to your full compliance with Section 6.1(c) of the Employment Agreement, you will be eligible to receive an amount equal to 1/12 of the Annual Bonus attributable to the 2026 calendar year, calculated at the full Modified Target Percentage, multiplied by the number of full months that you were employed by the Company in 2026 (the “</w:t>
      </w:r>
      <w:r>
        <w:rPr>
          <w:rFonts w:ascii="Times New Roman" w:hAnsi="Times New Roman"/>
          <w:b/>
          <w:i/>
          <w:color w:val="000000"/>
          <w:sz w:val="24"/>
        </w:rPr>
        <w:t>Second</w:t>
      </w:r>
      <w:r>
        <w:rPr>
          <w:rFonts w:ascii="Times New Roman" w:hAnsi="Times New Roman"/>
          <w:color w:val="000000"/>
          <w:sz w:val="20"/>
        </w:rPr>
        <w:t xml:space="preserve"> </w:t>
      </w:r>
      <w:r>
        <w:rPr>
          <w:rFonts w:ascii="Times New Roman" w:hAnsi="Times New Roman"/>
          <w:b/>
          <w:i/>
          <w:color w:val="000000"/>
          <w:sz w:val="24"/>
        </w:rPr>
        <w:t>Retention Bonus</w:t>
      </w:r>
      <w:r>
        <w:rPr>
          <w:rFonts w:ascii="Times New Roman" w:hAnsi="Times New Roman"/>
          <w:color w:val="000000"/>
          <w:sz w:val="20"/>
        </w:rPr>
        <w:t>”</w:t>
      </w:r>
      <w:r>
        <w:rPr>
          <w:rFonts w:ascii="Times New Roman" w:hAnsi="Times New Roman"/>
          <w:color w:val="000000"/>
          <w:sz w:val="24"/>
        </w:rPr>
        <w:t>). The Second Retention Bonus will be paid on the next regular payroll date after the Release has become effective.</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Additional Non-CIC Severance Benefit</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If the Company terminates your employment without Cause or you terminate your employment for Good Reason, in either case, at any time during the 2026 calendar year </w:t>
      </w:r>
      <w:r>
        <w:rPr>
          <w:rFonts w:ascii="Times New Roman" w:hAnsi="Times New Roman"/>
          <w:b/>
          <w:i/>
          <w:color w:val="000000"/>
          <w:sz w:val="24"/>
          <w:u w:val="single"/>
        </w:rPr>
        <w:t>except</w:t>
      </w:r>
      <w:r>
        <w:rPr>
          <w:rFonts w:ascii="Times New Roman" w:hAnsi="Times New Roman"/>
          <w:color w:val="000000"/>
          <w:sz w:val="20"/>
        </w:rPr>
        <w:t xml:space="preserve"> </w:t>
      </w:r>
      <w:r>
        <w:rPr>
          <w:rFonts w:ascii="Times New Roman" w:hAnsi="Times New Roman"/>
          <w:color w:val="000000"/>
          <w:sz w:val="24"/>
        </w:rPr>
        <w:t>during the Change in Control Measurement Period, then, subject to your full compliance with Section 6.1(c) of the Employment Agreement, as an additional Non-CIC Severance Benefit under Section 6.1 of your Employment Agreement, you will receive an amount equal to two times the Second Retention Bonus described in the previous paragraph, and calculated based on the applicable separation date.</w:t>
      </w:r>
      <w:r>
        <w:rPr>
          <w:rFonts w:ascii="Times New Roman" w:hAnsi="Times New Roman"/>
          <w:color w:val="000000"/>
          <w:sz w:val="20"/>
        </w:rPr>
        <w:t xml:space="preserve"> </w:t>
      </w:r>
      <w:r>
        <w:rPr>
          <w:rFonts w:ascii="Times New Roman" w:hAnsi="Times New Roman"/>
          <w:color w:val="000000"/>
          <w:sz w:val="24"/>
        </w:rPr>
        <w:t>For the avoidance of doubt, if this additional severance benefit is payable to you, you agree that you will not have any right to receive otherwise, the Second Retention Bonus and/or any annual bonus in respect of the 2026 calendar year.</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Miscellaneous</w:t>
      </w:r>
    </w:p>
    <w:p>
      <w:pPr>
        <w:pStyle w:val="TextBody"/>
        <w:bidi w:val="0"/>
        <w:spacing w:before="0" w:after="120"/>
        <w:jc w:val="both"/>
        <w:rPr>
          <w:rFonts w:ascii="Times New Roman" w:hAnsi="Times New Roman"/>
          <w:sz w:val="20"/>
        </w:rPr>
      </w:pPr>
      <w:r>
        <w:rPr>
          <w:rFonts w:ascii="Times New Roman" w:hAnsi="Times New Roman"/>
          <w:color w:val="000000"/>
          <w:sz w:val="24"/>
        </w:rPr>
        <w:t>This Retention Agreement is intended to provide a financial incentive to you and is not intended to confer any rights to continued employment upon you. Nothing in this Retention Agreement is intended to alter your at-will employment relationship, and except as otherwise modified herein with respect to your Base Salary, Target Percentage, bonus eligibility and severance eligibility, all other provisions of the Employment Agreement and your Employee Confidential Information, Invention Assignment, Non-Solicitation and Non-Competition Agreement (the “</w:t>
      </w:r>
      <w:r>
        <w:rPr>
          <w:rFonts w:ascii="Times New Roman" w:hAnsi="Times New Roman"/>
          <w:b/>
          <w:i/>
          <w:color w:val="000000"/>
          <w:sz w:val="24"/>
        </w:rPr>
        <w:t>Covenants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remain in full force and effect.</w:t>
      </w:r>
    </w:p>
    <w:p>
      <w:pPr>
        <w:pStyle w:val="TextBody"/>
        <w:bidi w:val="0"/>
        <w:spacing w:before="0" w:after="120"/>
        <w:jc w:val="both"/>
        <w:rPr>
          <w:rFonts w:ascii="Times New Roman" w:hAnsi="Times New Roman"/>
          <w:sz w:val="20"/>
        </w:rPr>
      </w:pPr>
      <w:r>
        <w:rPr>
          <w:rFonts w:ascii="Times New Roman" w:hAnsi="Times New Roman"/>
          <w:color w:val="000000"/>
          <w:sz w:val="24"/>
        </w:rPr>
        <w:t>All questions concerning the construction, validity and interpretation of this Retention Agreement will be governed by the laws of the state or commonwealth in which you primarily provide services for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This Retention Agreement is the complete, final and exclusive embodiment of the entire agreement between you and the Company with regard to the benefits provided for herein, and it supersedes and replaces any other agreements (whether written or unwritten) you may have with the Company concerning these matters (other than the Covenants Agreement and, except as explicitly modified herein, the Employment Agreement, both of which remain in full force and effect). The terms of this Retention Agreement may not be modified or amended except in a written agreement signed by you and a duly authorized officer of the Company.</w:t>
      </w:r>
      <w:r>
        <w:rPr>
          <w:rFonts w:ascii="Times New Roman" w:hAnsi="Times New Roman"/>
          <w:color w:val="000000"/>
          <w:sz w:val="20"/>
        </w:rPr>
        <w:t xml:space="preserve"> </w:t>
      </w:r>
    </w:p>
    <w:p>
      <w:pPr>
        <w:pStyle w:val="TextBody"/>
        <w:bidi w:val="0"/>
        <w:spacing w:before="0" w:after="120"/>
        <w:jc w:val="both"/>
        <w:rPr/>
      </w:pPr>
      <w:r>
        <w:rPr/>
        <w:t>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If you would like to accept the Company’s offer herein, please sign below and return to me on or before December 31, 2025.</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0" w:after="12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Christopher Gerry </w:t>
      </w:r>
    </w:p>
    <w:p>
      <w:pPr>
        <w:pStyle w:val="TextBody"/>
        <w:bidi w:val="0"/>
        <w:jc w:val="both"/>
        <w:rPr>
          <w:rFonts w:ascii="Times New Roman" w:hAnsi="Times New Roman"/>
          <w:color w:val="000000"/>
          <w:sz w:val="24"/>
        </w:rPr>
      </w:pPr>
      <w:r>
        <w:rPr>
          <w:rFonts w:ascii="Times New Roman" w:hAnsi="Times New Roman"/>
          <w:color w:val="000000"/>
          <w:sz w:val="24"/>
        </w:rPr>
        <w:t>Name: Christopher Gerry</w:t>
      </w:r>
    </w:p>
    <w:p>
      <w:pPr>
        <w:pStyle w:val="TextBody"/>
        <w:bidi w:val="0"/>
        <w:jc w:val="both"/>
        <w:rPr>
          <w:rFonts w:ascii="Times New Roman" w:hAnsi="Times New Roman"/>
          <w:color w:val="000000"/>
          <w:sz w:val="24"/>
        </w:rPr>
      </w:pPr>
      <w:r>
        <w:rPr>
          <w:rFonts w:ascii="Times New Roman" w:hAnsi="Times New Roman"/>
          <w:color w:val="000000"/>
          <w:sz w:val="24"/>
        </w:rPr>
        <w:t>Title: President and General Counsel</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Accepted and Agreed: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 xml:space="preserve">/s/ Josiah Craver </w:t>
      </w:r>
      <w:r>
        <w:rPr>
          <w:rFonts w:ascii="Times New Roman" w:hAnsi="Times New Roman"/>
          <w:color w:val="000000"/>
          <w:sz w:val="24"/>
        </w:rPr>
        <w:t xml:space="preserve">Date: </w:t>
      </w:r>
      <w:r>
        <w:rPr>
          <w:rFonts w:ascii="Times New Roman" w:hAnsi="Times New Roman"/>
          <w:color w:val="000000"/>
          <w:sz w:val="24"/>
          <w:u w:val="single"/>
        </w:rPr>
        <w:t>12/22/2025</w:t>
      </w:r>
    </w:p>
    <w:p>
      <w:pPr>
        <w:pStyle w:val="TextBody"/>
        <w:bidi w:val="0"/>
        <w:jc w:val="left"/>
        <w:rPr>
          <w:rFonts w:ascii="Times New Roman" w:hAnsi="Times New Roman"/>
          <w:color w:val="000000"/>
          <w:sz w:val="24"/>
        </w:rPr>
      </w:pPr>
      <w:r>
        <w:rPr>
          <w:rFonts w:ascii="Times New Roman" w:hAnsi="Times New Roman"/>
          <w:color w:val="000000"/>
          <w:sz w:val="24"/>
        </w:rPr>
        <w:t>Josiah Craver</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2" w:name="snse-ex21_1.htm"/>
      <w:bookmarkStart w:id="63" w:name="kssnseex21_1"/>
      <w:bookmarkEnd w:id="62"/>
      <w:bookmarkEnd w:id="63"/>
      <w:r>
        <w:rPr>
          <w:rFonts w:ascii="Times New Roman" w:hAnsi="Times New Roman"/>
          <w:color w:val="000000"/>
          <w:sz w:val="20"/>
        </w:rPr>
        <w:t>Exhibit 21.1</w:t>
      </w:r>
      <w:r>
        <w:br w:type="page"/>
      </w:r>
    </w:p>
    <w:p>
      <w:pPr>
        <w:pStyle w:val="TextBody"/>
        <w:bidi w:val="0"/>
        <w:spacing w:before="0" w:after="160"/>
        <w:jc w:val="left"/>
        <w:rPr/>
      </w:pPr>
      <w:r>
        <w:rPr/>
        <w:drawing>
          <wp:inline distT="0" distB="0" distL="0" distR="0">
            <wp:extent cx="6858000" cy="3724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2"/>
                    <a:stretch>
                      <a:fillRect/>
                    </a:stretch>
                  </pic:blipFill>
                  <pic:spPr bwMode="auto">
                    <a:xfrm>
                      <a:off x="0" y="0"/>
                      <a:ext cx="6858000" cy="37242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pPr>
      <w:bookmarkStart w:id="64" w:name="snse-ex23_1.htm"/>
      <w:bookmarkStart w:id="65" w:name="kssnseex23_1"/>
      <w:bookmarkEnd w:id="64"/>
      <w:bookmarkEnd w:id="6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 333-263567 on Form S-3 and Registration Statement Nos. 333-286207, 333-277532, 333-270946, 333-264827, and 333-252954 on Form S-8 of our report dated March 30, 2026, relating to the financial statements of Sensei Biotherapeutics, Inc. appearing in this Annual Report on Form 10-K for the year ended December 31, 2025.</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Baltimore, Maryland</w:t>
      </w:r>
    </w:p>
    <w:p>
      <w:pPr>
        <w:pStyle w:val="TextBody"/>
        <w:bidi w:val="0"/>
        <w:ind w:left="0" w:right="180" w:hanging="0"/>
        <w:jc w:val="left"/>
        <w:rPr/>
      </w:pPr>
      <w:r>
        <w:rPr/>
        <w:t> </w:t>
      </w:r>
    </w:p>
    <w:p>
      <w:pPr>
        <w:pStyle w:val="TextBody"/>
        <w:bidi w:val="0"/>
        <w:ind w:left="0" w:right="180" w:hanging="0"/>
        <w:jc w:val="left"/>
        <w:rPr>
          <w:rFonts w:ascii="Times New Roman" w:hAnsi="Times New Roman"/>
          <w:color w:val="000000"/>
          <w:sz w:val="20"/>
        </w:rPr>
      </w:pPr>
      <w:r>
        <w:rPr>
          <w:rFonts w:ascii="Times New Roman" w:hAnsi="Times New Roman"/>
          <w:color w:val="000000"/>
          <w:sz w:val="20"/>
        </w:rPr>
        <w:t>March 30, 2026</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6" w:name="snse-ex31_1.htm"/>
      <w:bookmarkStart w:id="67" w:name="kssnseex31_1"/>
      <w:bookmarkEnd w:id="66"/>
      <w:bookmarkEnd w:id="6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sz w:val="20"/>
        </w:rPr>
      </w:pPr>
      <w:r>
        <w:rPr>
          <w:rFonts w:ascii="Times New Roman" w:hAnsi="Times New Roman"/>
          <w:b/>
          <w:color w:val="000000"/>
          <w:sz w:val="20"/>
        </w:rPr>
        <w:t>PURSUANT TO SECTION 302 OF THE SARBANES-OXLEY ACT OF 2002</w:t>
        <w:br/>
      </w:r>
      <w:r>
        <w:rPr>
          <w:rFonts w:ascii="Times New Roman" w:hAnsi="Times New Roman"/>
          <w:color w:val="000000"/>
          <w:sz w:val="20"/>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Christopher W. Gerry,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2025 of Sensei Biotherapeutics,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5047" w:type="dxa"/>
        <w:jc w:val="left"/>
        <w:tblInd w:w="0" w:type="dxa"/>
        <w:tblLayout w:type="fixed"/>
        <w:tblCellMar>
          <w:top w:w="28" w:type="dxa"/>
          <w:left w:w="28" w:type="dxa"/>
          <w:bottom w:w="28" w:type="dxa"/>
          <w:right w:w="28" w:type="dxa"/>
        </w:tblCellMar>
      </w:tblPr>
      <w:tblGrid>
        <w:gridCol w:w="1891"/>
        <w:gridCol w:w="109"/>
        <w:gridCol w:w="406"/>
        <w:gridCol w:w="264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W. Gerry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W. Gerry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General Counsel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8" w:name="snse-ex31_2.htm"/>
      <w:bookmarkStart w:id="69" w:name="kssnseex31_2"/>
      <w:bookmarkEnd w:id="68"/>
      <w:bookmarkEnd w:id="6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b/>
          <w:color w:val="000000"/>
          <w:sz w:val="20"/>
        </w:rPr>
      </w:pPr>
      <w:r>
        <w:rPr>
          <w:rFonts w:ascii="Times New Roman" w:hAnsi="Times New Roman"/>
          <w:b/>
          <w:color w:val="000000"/>
          <w:sz w:val="20"/>
        </w:rPr>
        <w:b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Josiah Craver,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2025 of Sensei Biotherapeutics,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5032" w:type="dxa"/>
        <w:jc w:val="left"/>
        <w:tblInd w:w="0" w:type="dxa"/>
        <w:tblLayout w:type="fixed"/>
        <w:tblCellMar>
          <w:top w:w="28" w:type="dxa"/>
          <w:left w:w="28" w:type="dxa"/>
          <w:bottom w:w="28" w:type="dxa"/>
          <w:right w:w="28" w:type="dxa"/>
        </w:tblCellMar>
      </w:tblPr>
      <w:tblGrid>
        <w:gridCol w:w="1891"/>
        <w:gridCol w:w="109"/>
        <w:gridCol w:w="406"/>
        <w:gridCol w:w="262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Josiah Craver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Josiah Craver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Senior Vice President, Finance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0" w:name="snse-ex32_1.htm"/>
      <w:bookmarkStart w:id="71" w:name="kssnseex32_1"/>
      <w:bookmarkEnd w:id="70"/>
      <w:bookmarkEnd w:id="7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2"/>
        </w:rPr>
      </w:pPr>
      <w:r>
        <w:rPr>
          <w:rFonts w:ascii="Times New Roman" w:hAnsi="Times New Roman"/>
          <w:b/>
          <w:color w:val="000000"/>
          <w:sz w:val="22"/>
        </w:rPr>
        <w:br/>
        <w:t>CERTIFICATIONS OF</w:t>
      </w:r>
    </w:p>
    <w:p>
      <w:pPr>
        <w:pStyle w:val="TextBody"/>
        <w:bidi w:val="0"/>
        <w:jc w:val="center"/>
        <w:rPr>
          <w:rFonts w:ascii="Times New Roman" w:hAnsi="Times New Roman"/>
          <w:b/>
          <w:color w:val="000000"/>
          <w:sz w:val="22"/>
        </w:rPr>
      </w:pPr>
      <w:r>
        <w:rPr>
          <w:rFonts w:ascii="Times New Roman" w:hAnsi="Times New Roman"/>
          <w:b/>
          <w:color w:val="000000"/>
          <w:sz w:val="22"/>
        </w:rPr>
        <w:t>PRINCIPAL EXECUTIVE OFFICER AND PRINCIPAL FINANCIAL OFFICER</w:t>
      </w:r>
    </w:p>
    <w:p>
      <w:pPr>
        <w:pStyle w:val="TextBody"/>
        <w:bidi w:val="0"/>
        <w:jc w:val="center"/>
        <w:rPr>
          <w:rFonts w:ascii="Times New Roman" w:hAnsi="Times New Roman"/>
          <w:b/>
          <w:color w:val="000000"/>
          <w:sz w:val="22"/>
        </w:rPr>
      </w:pPr>
      <w:r>
        <w:rPr>
          <w:rFonts w:ascii="Times New Roman" w:hAnsi="Times New Roman"/>
          <w:b/>
          <w:color w:val="000000"/>
          <w:sz w:val="22"/>
        </w:rPr>
        <w:t>PURSUANT TO 18 U.S.C. SECTION 1350,</w:t>
      </w:r>
    </w:p>
    <w:p>
      <w:pPr>
        <w:pStyle w:val="TextBody"/>
        <w:bidi w:val="0"/>
        <w:jc w:val="center"/>
        <w:rPr>
          <w:rFonts w:ascii="Times New Roman" w:hAnsi="Times New Roman"/>
          <w:b/>
          <w:color w:val="000000"/>
          <w:sz w:val="22"/>
        </w:rPr>
      </w:pPr>
      <w:r>
        <w:rPr>
          <w:rFonts w:ascii="Times New Roman" w:hAnsi="Times New Roman"/>
          <w:b/>
          <w:color w:val="000000"/>
          <w:sz w:val="22"/>
        </w:rPr>
        <w:t>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Christopher W. Gerry, President and General Counsel of Sensei Biotherapeutics, Inc. (the “Company”), and Josiah Craver, Senior Vice President of Finance of the Company, each hereby certifies that, to the best of his knowledge:</w:t>
      </w:r>
    </w:p>
    <w:p>
      <w:pPr>
        <w:pStyle w:val="TextBody"/>
        <w:pBdr/>
        <w:bidi w:val="0"/>
        <w:spacing w:before="240" w:after="283"/>
        <w:ind w:left="490" w:right="0" w:hanging="490"/>
        <w:jc w:val="left"/>
        <w:rPr>
          <w:rFonts w:ascii="Times New Roman" w:hAnsi="Times New Roman"/>
          <w:color w:val="000000"/>
          <w:sz w:val="20"/>
        </w:rPr>
      </w:pPr>
      <w:r>
        <w:rPr>
          <w:rFonts w:ascii="Times New Roman" w:hAnsi="Times New Roman"/>
          <w:color w:val="000000"/>
          <w:sz w:val="20"/>
        </w:rPr>
        <w:t>(1) The Company’s Annual Report on Form 10-K for the fiscal year ended December 31, 2025, to which this Certification is attached as Exhibit 32.1 (the “Annual Report”), fully complies with the requirements of Section 13(a) or Section 15(d) of the Exchange Act; and</w:t>
      </w:r>
    </w:p>
    <w:p>
      <w:pPr>
        <w:pStyle w:val="TextBody"/>
        <w:pBdr/>
        <w:bidi w:val="0"/>
        <w:spacing w:before="240" w:after="283"/>
        <w:ind w:left="490" w:right="0" w:hanging="490"/>
        <w:jc w:val="left"/>
        <w:rPr>
          <w:rFonts w:ascii="Times New Roman" w:hAnsi="Times New Roman"/>
          <w:color w:val="000000"/>
          <w:sz w:val="20"/>
        </w:rPr>
      </w:pPr>
      <w:r>
        <w:rPr>
          <w:rFonts w:ascii="Times New Roman" w:hAnsi="Times New Roman"/>
          <w:color w:val="000000"/>
          <w:sz w:val="20"/>
        </w:rPr>
        <w:t>(2) The information contained in the Annual Report fairly presents, in all material respects, the financial condition and results of operations of the Company.</w:t>
      </w:r>
    </w:p>
    <w:p>
      <w:pPr>
        <w:pStyle w:val="TextBody"/>
        <w:pBdr/>
        <w:bidi w:val="0"/>
        <w:spacing w:before="240" w:after="283"/>
        <w:ind w:left="490" w:right="0" w:hanging="490"/>
        <w:jc w:val="center"/>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have set their hands hereto as of the 30th day of March, 2026.</w:t>
      </w:r>
    </w:p>
    <w:p>
      <w:pPr>
        <w:pStyle w:val="TextBody"/>
        <w:pBdr/>
        <w:bidi w:val="0"/>
        <w:ind w:left="0" w:right="0" w:hanging="490"/>
        <w:jc w:val="left"/>
        <w:rPr/>
      </w:pPr>
      <w:r>
        <w:rPr/>
        <w:t> </w:t>
      </w:r>
    </w:p>
    <w:tbl>
      <w:tblPr>
        <w:tblW w:w="5511" w:type="dxa"/>
        <w:jc w:val="left"/>
        <w:tblInd w:w="0" w:type="dxa"/>
        <w:tblLayout w:type="fixed"/>
        <w:tblCellMar>
          <w:top w:w="28" w:type="dxa"/>
          <w:left w:w="28" w:type="dxa"/>
          <w:bottom w:w="28" w:type="dxa"/>
          <w:right w:w="28" w:type="dxa"/>
        </w:tblCellMar>
      </w:tblPr>
      <w:tblGrid>
        <w:gridCol w:w="2611"/>
        <w:gridCol w:w="109"/>
        <w:gridCol w:w="2791"/>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26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W. Gerry</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Josiah Craver</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W. Gerry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Josiah Craver</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General Counsel</w:t>
              <w:br/>
              <w:t>(Principal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of Finance</w:t>
              <w:br/>
              <w:t>(Principal Financial Officer)</w:t>
            </w:r>
          </w:p>
        </w:tc>
      </w:tr>
    </w:tbl>
    <w:p>
      <w:pPr>
        <w:pStyle w:val="TextBody"/>
        <w:bidi w:val="0"/>
        <w:jc w:val="left"/>
        <w:rPr/>
      </w:pPr>
      <w:r>
        <w:rPr/>
        <w:t> </w:t>
      </w:r>
    </w:p>
    <w:p>
      <w:pPr>
        <w:pStyle w:val="TextBody"/>
        <w:pBdr/>
        <w:bidi w:val="0"/>
        <w:spacing w:before="0" w:after="160"/>
        <w:ind w:left="158" w:right="0" w:hanging="317"/>
        <w:jc w:val="left"/>
        <w:rPr>
          <w:rFonts w:ascii="Times New Roman" w:hAnsi="Times New Roman"/>
          <w:color w:val="000000"/>
          <w:sz w:val="20"/>
        </w:rPr>
      </w:pPr>
      <w:r>
        <w:rPr>
          <w:rFonts w:ascii="Times New Roman" w:hAnsi="Times New Roman"/>
          <w:color w:val="000000"/>
          <w:sz w:val="20"/>
        </w:rPr>
        <w:t>* This certification accompanies the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 w:name="Cambria">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829802/000119312526056135/d112826dex21.htm" TargetMode="External"/><Relationship Id="rId17" Type="http://schemas.openxmlformats.org/officeDocument/2006/relationships/hyperlink" Target="https://www.sec.gov/Archives/edgar/data/1829802/000119312521037280/d95909dex31.htm" TargetMode="External"/><Relationship Id="rId18" Type="http://schemas.openxmlformats.org/officeDocument/2006/relationships/hyperlink" Target="https://www.sec.gov/Archives/edgar/data/1829802/000119312522301836/d514100dex31.htm" TargetMode="External"/><Relationship Id="rId19" Type="http://schemas.openxmlformats.org/officeDocument/2006/relationships/hyperlink" Target="https://www.sec.gov/Archives/edgar/data/1829802/000119312523063093/d470819dex31.htm" TargetMode="External"/><Relationship Id="rId20" Type="http://schemas.openxmlformats.org/officeDocument/2006/relationships/hyperlink" Target="https://www.sec.gov/Archives/edgar/data/1829802/000095017025046338/snse-ex3_4.htm" TargetMode="External"/><Relationship Id="rId21" Type="http://schemas.openxmlformats.org/officeDocument/2006/relationships/hyperlink" Target="https://www.sec.gov/Archives/edgar/data/1829802/000119312526056135/d112826dex31.htm" TargetMode="External"/><Relationship Id="rId22" Type="http://schemas.openxmlformats.org/officeDocument/2006/relationships/hyperlink" Target="https://www.sec.gov/Archives/edgar/data/1829802/000119312526056135/d112826dex31.htm" TargetMode="External"/><Relationship Id="rId23" Type="http://schemas.openxmlformats.org/officeDocument/2006/relationships/hyperlink" Target="https://www.sec.gov/Archives/edgar/data/0001829802/000119312521010054/d43789dex104.htm" TargetMode="External"/><Relationship Id="rId24" Type="http://schemas.openxmlformats.org/officeDocument/2006/relationships/hyperlink" Target="https://www.sec.gov/Archives/edgar/data/0001829802/000119312521010054/d43789dex101.htm" TargetMode="External"/><Relationship Id="rId25" Type="http://schemas.openxmlformats.org/officeDocument/2006/relationships/hyperlink" Target="https://www.sec.gov/Archives/edgar/data/0001829802/000119312521023615/d43789dex102.htm" TargetMode="External"/><Relationship Id="rId26" Type="http://schemas.openxmlformats.org/officeDocument/2006/relationships/hyperlink" Target="https://www.sec.gov/Archives/edgar/data/0001829802/000119312521023615/d43789dex1010.htm" TargetMode="External"/><Relationship Id="rId27" Type="http://schemas.openxmlformats.org/officeDocument/2006/relationships/hyperlink" Target="https://www.sec.gov/Archives/edgar/data/1829802/000119312526056135/d112826dex104.htm" TargetMode="External"/><Relationship Id="rId28" Type="http://schemas.openxmlformats.org/officeDocument/2006/relationships/hyperlink" Target="https://www.sec.gov/Archives/edgar/data/1829802/000095017022003646/snse-ex10_12.htm" TargetMode="External"/><Relationship Id="rId29" Type="http://schemas.openxmlformats.org/officeDocument/2006/relationships/hyperlink" Target="https://www.sec.gov/Archives/edgar/data/0001829802/000119312521010054/d43789dex109.htm" TargetMode="External"/><Relationship Id="rId30" Type="http://schemas.openxmlformats.org/officeDocument/2006/relationships/hyperlink" Target="https://www.sec.gov/Archives/edgar/data/1829802/000095017022003646/snse-ex10_14.htm" TargetMode="External"/><Relationship Id="rId31" Type="http://schemas.openxmlformats.org/officeDocument/2006/relationships/hyperlink" Target="https://www.sec.gov/Archives/edgar/data/1829802/000095017024126748/snse-ex10_1.htm" TargetMode="External"/><Relationship Id="rId32" Type="http://schemas.openxmlformats.org/officeDocument/2006/relationships/hyperlink" Target="https://www.sec.gov/Archives/edgar/data/1829802/000119312526056135/d112826dex103.htm" TargetMode="External"/><Relationship Id="rId33" Type="http://schemas.openxmlformats.org/officeDocument/2006/relationships/hyperlink" Target="https://www.sec.gov/Archives/edgar/data/1829802/000119312525281590/snse-ex10_1.htm" TargetMode="External"/><Relationship Id="rId34" Type="http://schemas.openxmlformats.org/officeDocument/2006/relationships/hyperlink" Target="https://www.sec.gov/Archives/edgar/data/1829802/000119312522076072/d296045dex12.htm" TargetMode="External"/><Relationship Id="rId35" Type="http://schemas.openxmlformats.org/officeDocument/2006/relationships/hyperlink" Target="https://www.sec.gov/Archives/edgar/data/1829802/000119312522076072/d296045dex12.htm" TargetMode="External"/><Relationship Id="rId36" Type="http://schemas.openxmlformats.org/officeDocument/2006/relationships/hyperlink" Target="https://www.sec.gov/Archives/edgar/data/1829802/000119312522076072/d296045dex12.htm" TargetMode="External"/><Relationship Id="rId37" Type="http://schemas.openxmlformats.org/officeDocument/2006/relationships/hyperlink" Target="https://www.sec.gov/Archives/edgar/data/1829802/000119312526056135/d112826dex101.htm" TargetMode="External"/><Relationship Id="rId38" Type="http://schemas.openxmlformats.org/officeDocument/2006/relationships/hyperlink" Target="https://www.sec.gov/Archives/edgar/data/1829802/000119312526056135/d112826dex102.htm" TargetMode="External"/><Relationship Id="rId39" Type="http://schemas.openxmlformats.org/officeDocument/2006/relationships/hyperlink" Target="https://www.sec.gov/Archives/edgar/data/1829802/000095017025046338/snse-ex19_1.htm" TargetMode="External"/><Relationship Id="rId40" Type="http://schemas.openxmlformats.org/officeDocument/2006/relationships/hyperlink" Target="https://www.sec.gov/Archives/edgar/data/1829802/000095017024023148/snse-ex97.htm" TargetMode="External"/><Relationship Id="rId41" Type="http://schemas.openxmlformats.org/officeDocument/2006/relationships/hyperlink" Target="https://www.sec.gov/Archives/edgar/data/1829802/000095017024023148/snse-ex97.htm" TargetMode="External"/><Relationship Id="rId42" Type="http://schemas.openxmlformats.org/officeDocument/2006/relationships/image" Target="media/image15.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199676</Words>
  <Characters>1094973</Characters>
  <CharactersWithSpaces>1292219</CharactersWithSpaces>
  <Paragraphs>10314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