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FORM 10-K/A</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290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tbl>
      <w:tblPr>
        <w:tblLayout w:type="fixed"/>
        <w:tblInd w:w="1660" w:type="dxa"/>
        <w:tblCellMar>
          <w:top w:w="0" w:type="dxa"/>
          <w:left w:w="0" w:type="dxa"/>
          <w:bottom w:w="0" w:type="dxa"/>
          <w:right w:w="0" w:type="dxa"/>
        </w:tblCellMar>
      </w:tblPr>
      <w:tr>
        <w:trPr>
          <w:trHeight w:val="194"/>
        </w:trPr>
        <w:tc>
          <w:tcPr>
            <w:tcW w:w="4360" w:type="dxa"/>
            <w:vAlign w:val="bottom"/>
          </w:tcPr>
          <w:p>
            <w:pPr>
              <w:jc w:val="center"/>
              <w:ind w:right="180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0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83-1863385</w:t>
            </w:r>
          </w:p>
        </w:tc>
      </w:tr>
      <w:tr>
        <w:trPr>
          <w:trHeight w:val="149"/>
        </w:trPr>
        <w:tc>
          <w:tcPr>
            <w:tcW w:w="4360" w:type="dxa"/>
            <w:vAlign w:val="bottom"/>
          </w:tcPr>
          <w:p>
            <w:pPr>
              <w:jc w:val="center"/>
              <w:ind w:right="18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8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7"/>
        </w:trPr>
        <w:tc>
          <w:tcPr>
            <w:tcW w:w="4360" w:type="dxa"/>
            <w:vAlign w:val="bottom"/>
          </w:tcPr>
          <w:p>
            <w:pPr>
              <w:jc w:val="center"/>
              <w:ind w:right="1804"/>
              <w:spacing w:after="0"/>
              <w:rPr>
                <w:sz w:val="20"/>
                <w:szCs w:val="20"/>
                <w:color w:val="auto"/>
              </w:rPr>
            </w:pPr>
            <w:r>
              <w:rPr>
                <w:rFonts w:ascii="Times New Roman" w:cs="Times New Roman" w:eastAsia="Times New Roman" w:hAnsi="Times New Roman"/>
                <w:sz w:val="16"/>
                <w:szCs w:val="16"/>
                <w:b w:val="1"/>
                <w:bCs w:val="1"/>
                <w:color w:val="auto"/>
              </w:rPr>
              <w:t>1405 Research Boulevard, Suite 125</w:t>
            </w:r>
          </w:p>
        </w:tc>
        <w:tc>
          <w:tcPr>
            <w:tcW w:w="300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20850</w:t>
            </w:r>
          </w:p>
        </w:tc>
      </w:tr>
      <w:tr>
        <w:trPr>
          <w:trHeight w:val="207"/>
        </w:trPr>
        <w:tc>
          <w:tcPr>
            <w:tcW w:w="4360" w:type="dxa"/>
            <w:vAlign w:val="bottom"/>
          </w:tcPr>
          <w:p>
            <w:pPr>
              <w:jc w:val="center"/>
              <w:ind w:right="1804"/>
              <w:spacing w:after="0"/>
              <w:rPr>
                <w:sz w:val="20"/>
                <w:szCs w:val="20"/>
                <w:color w:val="auto"/>
              </w:rPr>
            </w:pPr>
            <w:r>
              <w:rPr>
                <w:rFonts w:ascii="Times New Roman" w:cs="Times New Roman" w:eastAsia="Times New Roman" w:hAnsi="Times New Roman"/>
                <w:sz w:val="16"/>
                <w:szCs w:val="16"/>
                <w:b w:val="1"/>
                <w:bCs w:val="1"/>
                <w:color w:val="auto"/>
              </w:rPr>
              <w:t>Rockville, MD</w:t>
            </w:r>
          </w:p>
        </w:tc>
        <w:tc>
          <w:tcPr>
            <w:tcW w:w="3000" w:type="dxa"/>
            <w:vAlign w:val="bottom"/>
          </w:tcPr>
          <w:p>
            <w:pPr>
              <w:spacing w:after="0"/>
              <w:rPr>
                <w:sz w:val="18"/>
                <w:szCs w:val="18"/>
                <w:color w:val="auto"/>
              </w:rPr>
            </w:pPr>
          </w:p>
        </w:tc>
      </w:tr>
      <w:tr>
        <w:trPr>
          <w:trHeight w:val="177"/>
        </w:trPr>
        <w:tc>
          <w:tcPr>
            <w:tcW w:w="4360" w:type="dxa"/>
            <w:vAlign w:val="bottom"/>
          </w:tcPr>
          <w:p>
            <w:pPr>
              <w:jc w:val="center"/>
              <w:ind w:right="18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120" w:type="dxa"/>
        <w:tblCellMar>
          <w:top w:w="0" w:type="dxa"/>
          <w:left w:w="0" w:type="dxa"/>
          <w:bottom w:w="0" w:type="dxa"/>
          <w:right w:w="0" w:type="dxa"/>
        </w:tblCellMar>
      </w:tblPr>
      <w:tr>
        <w:trPr>
          <w:trHeight w:val="187"/>
        </w:trPr>
        <w:tc>
          <w:tcPr>
            <w:tcW w:w="486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SNSE</w:t>
            </w:r>
          </w:p>
        </w:tc>
        <w:tc>
          <w:tcPr>
            <w:tcW w:w="100" w:type="dxa"/>
            <w:vAlign w:val="bottom"/>
          </w:tcPr>
          <w:p>
            <w:pPr>
              <w:spacing w:after="0"/>
              <w:rPr>
                <w:sz w:val="17"/>
                <w:szCs w:val="17"/>
                <w:color w:val="auto"/>
              </w:rPr>
            </w:pPr>
          </w:p>
        </w:tc>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97"/>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pacing w:after="0" w:line="64" w:lineRule="exact"/>
        <w:rPr>
          <w:sz w:val="24"/>
          <w:szCs w:val="24"/>
          <w:color w:val="auto"/>
        </w:rPr>
      </w:pPr>
    </w:p>
    <w:p>
      <w:pPr>
        <w:ind w:left="120" w:right="204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120" w:right="1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left="120" w:right="1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left="120"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ind w:left="120" w:right="1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ind w:left="120" w:right="260"/>
        <w:spacing w:after="0" w:line="281"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second fiscal quarter), the Registrant’s aggregate market value of its voting common equity held by non-affiliates was approximately $7.1 million based on the closing sale price of $8.58 per share as reported on the Nasdaq Capital Market on that date. The number of shares of Registrant’s Common Stock outstanding as of March 23, 2026 was 1,340,281.</w:t>
      </w:r>
    </w:p>
    <w:p>
      <w:pPr>
        <w:spacing w:after="0" w:line="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140"/>
          </w:cols>
          <w:pgMar w:left="320" w:top="225" w:right="439" w:bottom="76" w:gutter="0" w:footer="0" w:header="0"/>
        </w:sectPr>
      </w:pPr>
    </w:p>
    <w:bookmarkStart w:id="1" w:name="page2"/>
    <w:bookmarkEnd w:id="1"/>
    <w:p>
      <w:pPr>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pursuant to Regulation 14A under the Securities Exchange Act of 1934, for its 2026 Annual Meeting of Stockholders are incorporated by reference in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104140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12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660" w:type="dxa"/>
            <w:vAlign w:val="bottom"/>
            <w:gridSpan w:val="2"/>
          </w:tcPr>
          <w:p>
            <w:pPr>
              <w:jc w:val="right"/>
              <w:ind w:right="4708"/>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4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0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66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6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Sensei Biotherapeutics, Inc. (the “Company”) is filing this Amendment No. 1 on Form 10-K/A (“Amendment No. 1”) to amend the Company’s Annual Report on Form 10-K for the fiscal year ended December 31, 2025, which was originally filed with the U.S. Securities and Exchange Commission (the “SEC”) on March 30, 2026 (the “Original Filing”). The purpose of this Amendment No. 1 is to amend and replace in its entirety Part I, Item 1. Business of the Original Filing in response to comments received from the staff of the SEC.</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Rule 12b-15 under the Securities Exchange Act of 1934, as amended, this Amendment No. 1 contains revised certifications pursuant to Section 302 of the Sarbanes-Oxley Act of 2002, which are attached hereto as Exhibits 31.3 and 31.4. Because no financial statements or other financial information have been included in this Amendment No. 1, paragraph 3 has been omitted from each of the revised Section 302 Certifications, and because this Amendment No. 1 does not contain or amend any disclosure with respect to Items 307 and 308 of Regulation S-K, paragraphs 4 and 5 have been omitted from each of the revised Section 302 certifications.</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above, this Amendment No. 1 does not amend, modify, or otherwise update any other information in the Original Filing and does not reflect events occurring after the filing of the Original Filing. Accordingly, this Amendment No. 1 should be read in conjunction with the Original Filing and the Company’s other filings with the SEC.</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i w:val="1"/>
          <w:iCs w:val="1"/>
          <w:color w:val="auto"/>
        </w:rPr>
        <w:t>In this Annual Report, unless the context otherwise dictates, the terms (i) “we,” “us,” “our,” “Sensei,” the “Company” and other similar terms refer to the business and operations of Sensei Biotherapeutics, Inc. and its consolidated subsidiaries for periods prior to the Acquisition (as defined below) and to Sensei Biotherapeutics, Inc. and its consolidated subsidiaries, including Faeth Therapeutics for periods after the Acquisition; (ii) “Faeth HoldCo” refers to Faeth Holdings Therapeutics, Inc., (iii) “Faeth Subsidiary” refers to Faeth Therapeutics, LLC, a wholly owned subsidiary of Faeth HoldCo,</w:t>
      </w:r>
    </w:p>
    <w:p>
      <w:pPr>
        <w:spacing w:after="0" w:line="1" w:lineRule="exact"/>
        <w:rPr>
          <w:sz w:val="20"/>
          <w:szCs w:val="20"/>
          <w:color w:val="auto"/>
        </w:rPr>
      </w:pPr>
    </w:p>
    <w:p>
      <w:pPr>
        <w:ind w:left="120" w:right="60" w:hanging="4"/>
        <w:spacing w:after="0" w:line="253" w:lineRule="auto"/>
        <w:tabs>
          <w:tab w:leader="none" w:pos="4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“Faeth” or “Faeth Therapeutics” refer collectively to Faeth HoldCo and Faeth Subsidiary and (v) “Acquisition” refers to the acquisition by the Company of Faeth Therapeutics pursuant to that Agreement and Plan of Merger, dated February 17, 2026, by and among the Company, Sapphire First Merger Sub, Inc., a Delaware corporation and a wholly owned subsidiary of the Company, Sapphire Second Merger Sub, LLC, a Delaware limited liability company and wholly owned subsidiary of the Company, Faeth HoldCo and Faeth Subsidiary.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focused on improving outcomes for cancer patients through multi-node inhibition of critical oncogenic pathways. On February 17, 2026, we completed the acquisition of Faeth Therapeutics, a clinical-stage biotechnology company developing multi-node therapies that target tumor metabolism and signaling. The Acquisition brought Faeth’s lead asset, PIKTOR, a proprietary investigational all-oral combination of serabelisib and sapanisertib that inhibits multiple nodes of the PI3K/AKT/mTOR pathway, into our pipeline. In connection with the Acquisition, we received $200 million in gross proceeds from a private placement financing, or the 2026 Private Placement, from a broad syndicate of investors, including several leading life sciences funds, including B Group Capital, Balyasny Asset Management, Columbia Threadneedle Investments, Cormorant Asset Management, Fairmount, Logos Capital, RA Capital Management, and Vivo Capital, to advance PIKTOR through key clinical milestones. For additional information regarding the terms of the Acquisition and the 2026 Private Placement, see Note 15 to the consolidated financial statements and “Management’s Discussion and Analysis of Financial Condition and Results of Operations” included in this Annual Report.</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Following the Acquisition, our lead program is PIKTOR, an investigational multi-node inhibitor, or MNI, of the PI3K/AKT/mTOR pathway in development for endometrial and breast cancer. The PI3K/AKT/mTOR pathway is dysregulated in up to 50% of all solid tumors, making it one of the most prevalent therapeutic targets in oncology. Despite this, currently approved therapies—all of which target only a single pathway node—have produced limited clinical benefits, often accompanied by toxicities that have constrained their utilization. Our core scientific thesis is that simultaneously suppressing multiple nodes of a pathway produces deeper, more durable tumor suppression than targeting any single-node alone, which we believe may also enable lower drug dosing, potentially contributing to an improved tolerability profile.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PIKTOR is currently being evaluated in an ongoing Phase 2 trial in second-line advanced endometrial cancer (Study FTH-PIK-201), with topline data anticipated by year-end 2026. The primary endpoint for this Phase 2 trial is objective response rate (ORR), and the secondary endpoints are progression free survival (PFS), PFS at six months, overall survival, clinical benefit rate (CBR), duration of response (DOR) and safety and tolerability by assessment of adverse events (AEs) and serious adverse events (SAEs). In May 2026, we announced that we had dosed the first patient in our Phase 1b trial in HR+/HER2- advanced breast cancer (Study FTH-PIK-101). The primary endpoint for this Phase 1b trial is safety and tolerability by assessment of AEs and SAEs, and the secondary endpoints are ORR, PFS, PFS at six months, overall survival, CBR and DOR.</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Faeth was co-founded in 2019 by Anand Parikh and Oliver Maddocks, PhD, together with scientific founders Lewis Cantley, PhD, the discoverer of the PI3K pathway, Siddhartha Mukherjee, MD, DPhil, Karen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Vousden, PhD, Scott Lowe, PhD, and Greg Hannon, PhD. We are led by an experienced management team with expertise spanning cancer biology, translational research, clinical drug development, regulatory affairs and corporate strategy gained through prior roles within both biotechnology and large pharmaceutical companies as well as academia.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891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9493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mission is to improve the lives of patients by developing novel therapeutics to treat some of the most devastating types of cancer. Our strategy to achieve these goals centers on the following development priorities:</w:t>
      </w:r>
    </w:p>
    <w:p>
      <w:pPr>
        <w:spacing w:after="0" w:line="67" w:lineRule="exact"/>
        <w:rPr>
          <w:sz w:val="20"/>
          <w:szCs w:val="20"/>
          <w:color w:val="auto"/>
        </w:rPr>
      </w:pPr>
    </w:p>
    <w:p>
      <w:pPr>
        <w:ind w:left="1080" w:right="10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establish PIKTOR’s initial therapeutic proof of concept in endometrial cancer through our ongoing Phase 2 trial (FTH-PIK-201), with topline data anticipated by year-end 2026 and longer-term follow-up data in 2027.</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we plan to broaden PIKTOR’s development into advanced HR+/HER2- breast cancer through Study FTH-PIK-101, for which we announced in May 2026 that the first patient was dosed, and expect interim dose escalation data and expansion cohort initiation in 2027, and expansion cohort data in 2028.</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these near-term priorities, we intend to explore PIKTOR’s potential as a first-line treatment across our targeted indications. We believe that PIKTOR’s convenient oral formulation, potentially differentiated therapeutic profile and demonstrated synergy in combination with many relevant agents in our targeted tumor types may benefit patients at the earliest stages of disease.</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also pursue development in additional indications, including ovarian cancer and genetically defined subtypes of lung cancer, as well as advance additional pipeline candidates beyond PIKTOR, including our NEAAR and IEM programs. In the future we intend to utilize our deep expertise in cancer and metabolic disease to identify additional compelling development opportunities.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PI3K/AKT/mTOR Pathway and the Case for Multi-Node Inhibition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Pathway Biology</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PI3K/AKT/mTOR pathway is a vital, complex intracellular signaling network that plays a central role in regulating cellular metabolism, proliferation and survival by activating either pro-growth or regulatory signals in response to nutrient availability and extracellular stimuli. Given its importance to these key functions of healthy cells, it is not surprising that dysregulated pathway activity can play an integral role in tumorigenesis, proliferation and treatment resistance as many validated cancer targets, in their natural state, govern these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processes. It is estimated that the growth of up to 50% of all solid tumors is driven or amplified by the aberrant activation of the PI3K/AKT/mTOR pathway, as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280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949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Source: cBioPortal for Cancer Genomics (approximately 21,000 patients). Cerami et al., Cancer Discov. 2012; Gao et al., Sci. Signal, 2013. NSCLC:</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non-small cell lung cancer.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key components of the pathway are:</w:t>
      </w:r>
    </w:p>
    <w:p>
      <w:pPr>
        <w:spacing w:after="0" w:line="221"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b w:val="1"/>
          <w:bCs w:val="1"/>
          <w:color w:val="auto"/>
        </w:rPr>
        <w:t>Phosphoinositide 3-kinase (PI3K)</w:t>
      </w:r>
      <w:r>
        <w:rPr>
          <w:rFonts w:ascii="Times New Roman" w:cs="Times New Roman" w:eastAsia="Times New Roman" w:hAnsi="Times New Roman"/>
          <w:sz w:val="18"/>
          <w:szCs w:val="18"/>
          <w:color w:val="auto"/>
        </w:rPr>
        <w:t>, an upstream node in the pathway which is activated by various growth factor receptors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extracellular stimuli to produce either growth or regulatory signals. PI3K is further broken down into four subtypes, or isoforms, that are expressed in different cell types. The PI3K alpha isoform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encoded by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gene) is responsible for either initiating or regulating cellular proliferation.</w:t>
      </w:r>
    </w:p>
    <w:p>
      <w:pPr>
        <w:spacing w:after="0" w:line="172"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AKT serine/threonine kinase (AKT)</w:t>
      </w:r>
      <w:r>
        <w:rPr>
          <w:rFonts w:ascii="Times New Roman" w:cs="Times New Roman" w:eastAsia="Times New Roman" w:hAnsi="Times New Roman"/>
          <w:sz w:val="18"/>
          <w:szCs w:val="18"/>
          <w:color w:val="auto"/>
        </w:rPr>
        <w:t>, a central coordinator that receives the signals from PI3K and ensures that the cell responds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manner based on the nature of the signal.</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Mechanistic target of rapamycin (mTOR)</w:t>
      </w:r>
      <w:r>
        <w:rPr>
          <w:rFonts w:ascii="Times New Roman" w:cs="Times New Roman" w:eastAsia="Times New Roman" w:hAnsi="Times New Roman"/>
          <w:sz w:val="18"/>
          <w:szCs w:val="18"/>
          <w:color w:val="auto"/>
        </w:rPr>
        <w:t>, which orchestrates cell growth, proliferation and survival by determining whether cells grow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 or conserve their resources in response to signals from PI3K/AKT. mTOR operates through two distinct complexes: mTORC1 and mTORC2. mTORC1 is activated when nutrients are abundant, driving cell growth and proliferation. mTORC2 plays a role in controlling the full activation of AKT in either a proliferative or regulatory state.</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Phosphatase and tensin homolog (PTEN)</w:t>
      </w:r>
      <w:r>
        <w:rPr>
          <w:rFonts w:ascii="Times New Roman" w:cs="Times New Roman" w:eastAsia="Times New Roman" w:hAnsi="Times New Roman"/>
          <w:sz w:val="18"/>
          <w:szCs w:val="18"/>
          <w:color w:val="auto"/>
        </w:rPr>
        <w:t>, a pathway regulator that counteracts PI3K’s pro-growth actions to ensure the PI3K/AKT pathway’s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pro-growth activities are appropriately controlled in healthy tissues.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217170</wp:posOffset>
            </wp:positionV>
            <wp:extent cx="4046220" cy="2760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4622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The PI3K/AKT/mTOR Pathway</w:t>
      </w:r>
    </w:p>
    <w:p>
      <w:pPr>
        <w:spacing w:after="0" w:line="22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Mutation of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gene is the most common oncogenic alteration of the PI3K/AKT/mTOR pathway, encompassing approximately 40% of total pathway mutations. However, mutations in any pathway component, which collectively outnumber those to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can also lead to oncogenic activity and the pathway can also be aberrantly activated in support of tumor growth in its non-mutated, “wild type” state either by dysregulated upstream signaling or as an adaptive response to therapy. The pathway’s ability to support tumors without its own mutation suggests its clinical relevance may extend beyond those patients with direct pathway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143510</wp:posOffset>
            </wp:positionV>
            <wp:extent cx="5194935" cy="2100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9493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Broader pathway mutations outnumber PI3K</w:t>
      </w:r>
      <w:r>
        <w:rPr>
          <w:rFonts w:ascii="Arial" w:cs="Arial" w:eastAsia="Arial" w:hAnsi="Arial"/>
          <w:sz w:val="18"/>
          <w:szCs w:val="18"/>
          <w:b w:val="1"/>
          <w:bCs w:val="1"/>
          <w:color w:val="auto"/>
        </w:rPr>
        <w:t>a</w:t>
      </w:r>
    </w:p>
    <w:p>
      <w:pPr>
        <w:spacing w:after="0" w:line="226" w:lineRule="exact"/>
        <w:rPr>
          <w:sz w:val="20"/>
          <w:szCs w:val="20"/>
          <w:color w:val="auto"/>
        </w:rPr>
      </w:pPr>
    </w:p>
    <w:p>
      <w:pPr>
        <w:jc w:val="both"/>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Source: cBioPortal for Cancer Genomics (approximately 21,000 patients). Cerami et al., Cancer Discov. 2012; Gao et al., Sci. Signal, 2013. The “PIKTOR = 85%” figure represents the estimated percentage of PI3K/AKT/mTOR pathway-mutated tumors, across the tumor types depicted, that harbor mutations within the broad</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82" w:right="5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5"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17"/>
          <w:szCs w:val="17"/>
          <w:i w:val="1"/>
          <w:iCs w:val="1"/>
          <w:color w:val="auto"/>
        </w:rPr>
        <w:t>pathway nodes addressable by PIKTOR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multi-node mechanism (PI3K</w:t>
      </w:r>
      <w:r>
        <w:rPr>
          <w:rFonts w:ascii="Arial" w:cs="Arial" w:eastAsia="Arial" w:hAnsi="Arial"/>
          <w:sz w:val="17"/>
          <w:szCs w:val="17"/>
          <w:b w:val="1"/>
          <w:bCs w:val="1"/>
          <w:color w:val="auto"/>
        </w:rPr>
        <w:t>a</w:t>
      </w:r>
      <w:r>
        <w:rPr>
          <w:rFonts w:ascii="Times New Roman" w:cs="Times New Roman" w:eastAsia="Times New Roman" w:hAnsi="Times New Roman"/>
          <w:sz w:val="17"/>
          <w:szCs w:val="17"/>
          <w:i w:val="1"/>
          <w:iCs w:val="1"/>
          <w:color w:val="auto"/>
        </w:rPr>
        <w:t xml:space="preserve">, mTORC1, mTORC2 and associated pathway components). The “Mut Spec = 8%” figure represents the estimated average percentage of endometrial tumors harboring a PIK3CA mutation as the sole pathway alteration, reflecting the narrower population that may be addressable by mutant-specific PI3Ka inhibitors. The percentages in the Venn diagram relate to </w:t>
      </w:r>
      <w:r>
        <w:rPr>
          <w:rFonts w:ascii="Times New Roman" w:cs="Times New Roman" w:eastAsia="Times New Roman" w:hAnsi="Times New Roman"/>
          <w:sz w:val="17"/>
          <w:szCs w:val="17"/>
          <w:color w:val="auto"/>
        </w:rPr>
        <w:t>all ten tumor types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reflected in the bar chart. These estimates are based on the Company’s analysis of publicly available genomic data. NSCLC: non-small cell lung cancer.</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Approved Single-Node Inhibitors (SNI) Therapies and Their Limitations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Given the relevance of the PI3K/AKT/mTOR pathway in the context of cancer, considerable effort and resources have been expended to develop pathway inhibitors. These efforts have resulted in the approval of five agents for the treatment of PI3K/AKT/mTOR pathway-associated solid tumors, each of which is a single-node inhibitor, or SNI, of the pathway:</w:t>
      </w:r>
    </w:p>
    <w:p>
      <w:pPr>
        <w:spacing w:after="0" w:line="9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Alpelisib: selective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inhibitor</w:t>
      </w:r>
    </w:p>
    <w:p>
      <w:pPr>
        <w:spacing w:after="0" w:line="14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Inavolisib: selective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inhibitor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Capivasertib: pan-AKT inhibitor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Everolimus: mTORC1 inhibitor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Temsirolimus: mTORC1 inhibitor</w:t>
      </w:r>
    </w:p>
    <w:p>
      <w:pPr>
        <w:spacing w:after="0" w:line="238"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currently approved therapies have focused on single-node inhibition and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isoform selectivity in an attempt to improve the class’s therapeutic window. Earlier pan-PI3K isoform inhibitors produced numerous trial failures, and one withdrawn approval, due to weak efficacy or immunologic and metabolic toxicities.</w:t>
      </w:r>
    </w:p>
    <w:p>
      <w:pPr>
        <w:spacing w:after="0" w:line="17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primary factor limiting the effectiveness of these approved treatments is that inhibition of a single pathway node can produce only partial pathway suppression, leaving the remaining nodes available to sustain or reroute oncogenic signaling. This approach, common in cancer drug development and successful in other settings where tumor growth is driven by a single mutated “on/off switch,” is inadequate in this setting due to the redundant, distributed signaling capabilities of the PI3K/AKT/mTOR pathway. SNIs, therefore, have only limited impact on many key oncogenic dysregulations and are circumvented by the acute adaptive rerouting of signaling, and due to emergence of additional pathway mutations, both of which arise in response to treatment. SNIs have also been associated with elevated on-target toxicities that have led to either clinical trial discontinuations or restricted commercial uptake.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MNI Thesis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discovery and development of targeted therapies for cancer in the early 2000s marked a major innovative breakthrough in cancer treatment and has improved the lives of millions of patients over the past two decades. More than twenty years of experience with these treatments, however, has taught us that cancer’s biology is often far too complex to be vanquished by the blockade of single oncogenic mutations.</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Our core scientific thesis is that simultaneously suppressing multiple nodes of complex signaling pathways can produce deeper, more durable tumor suppression than targeting any single node alone because it not only can block initial oncogenic mutations but also restrict the development of adaptive resistance mechanisms that emerge in response to treatment. Emerging clinical evidence suggests that SNI-driven suppression may itself promote acquired resistance, further underscoring the need for a more comprehensive approach.</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contrast to single-node inhibition, MNIs are designed to better match the biologic architecture of the PI3K/AKT/mTOR pathway to maintain durable suppression, as they not only inhibit initial dysregulated oncogenic signaling at multiple points but also shut down the “escape routes” that tumors often employ to resist treatment. Because MNI suppresses the pathway more comprehensively, emerging evidence suggests its clinical benefit may extend beyond patients with direct pathway mutations to include tumors where the pathway 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aberrantly activated as a resistance mechanism rather than a primary oncogenic driver. This differentiated capability has been reflected in clinical trial data generated by some development stage MNIs relative to the approved SNIs, as discussed further below.</w:t>
      </w:r>
    </w:p>
    <w:p>
      <w:pPr>
        <w:spacing w:after="0" w:line="266" w:lineRule="exact"/>
        <w:rPr>
          <w:sz w:val="20"/>
          <w:szCs w:val="20"/>
          <w:color w:val="auto"/>
        </w:rPr>
      </w:pPr>
    </w:p>
    <w:p>
      <w:pPr>
        <w:jc w:val="right"/>
        <w:ind w:right="7720"/>
        <w:spacing w:after="0"/>
        <w:rPr>
          <w:sz w:val="20"/>
          <w:szCs w:val="20"/>
          <w:color w:val="auto"/>
        </w:rPr>
      </w:pPr>
      <w:r>
        <w:rPr>
          <w:rFonts w:ascii="Times New Roman" w:cs="Times New Roman" w:eastAsia="Times New Roman" w:hAnsi="Times New Roman"/>
          <w:sz w:val="18"/>
          <w:szCs w:val="18"/>
          <w:b w:val="1"/>
          <w:bCs w:val="1"/>
          <w:color w:val="auto"/>
        </w:rPr>
        <w:t>PIKTOR—Our Lead Clinical Candidate</w:t>
      </w:r>
    </w:p>
    <w:p>
      <w:pPr>
        <w:spacing w:after="0" w:line="117" w:lineRule="exact"/>
        <w:rPr>
          <w:sz w:val="20"/>
          <w:szCs w:val="20"/>
          <w:color w:val="auto"/>
        </w:rPr>
      </w:pPr>
    </w:p>
    <w:p>
      <w:pPr>
        <w:jc w:val="right"/>
        <w:ind w:right="7720"/>
        <w:spacing w:after="0"/>
        <w:rPr>
          <w:sz w:val="20"/>
          <w:szCs w:val="20"/>
          <w:color w:val="auto"/>
        </w:rPr>
      </w:pPr>
      <w:r>
        <w:rPr>
          <w:rFonts w:ascii="Times New Roman" w:cs="Times New Roman" w:eastAsia="Times New Roman" w:hAnsi="Times New Roman"/>
          <w:sz w:val="18"/>
          <w:szCs w:val="18"/>
          <w:b w:val="1"/>
          <w:bCs w:val="1"/>
          <w:i w:val="1"/>
          <w:iCs w:val="1"/>
          <w:color w:val="auto"/>
        </w:rPr>
        <w:t>Composition and Mechanism of Action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PIKTOR, our lead clinical candidate, is an oral MNI of the PI3K/AKT/mTOR pathway. PIKTOR is comprised of two independently dosed inhibitors of discrete pathway nodes:</w:t>
      </w:r>
    </w:p>
    <w:p>
      <w:pPr>
        <w:spacing w:after="0" w:line="7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Serabelisib</w:t>
      </w:r>
      <w:r>
        <w:rPr>
          <w:rFonts w:ascii="Times New Roman" w:cs="Times New Roman" w:eastAsia="Times New Roman" w:hAnsi="Times New Roman"/>
          <w:sz w:val="18"/>
          <w:szCs w:val="18"/>
          <w:color w:val="auto"/>
        </w:rPr>
        <w:t>, a selective phosphoinositide 3-kinase alpha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inhibitor</w:t>
      </w:r>
    </w:p>
    <w:p>
      <w:pPr>
        <w:spacing w:after="0" w:line="12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Sapanisertib</w:t>
      </w:r>
      <w:r>
        <w:rPr>
          <w:rFonts w:ascii="Times New Roman" w:cs="Times New Roman" w:eastAsia="Times New Roman" w:hAnsi="Times New Roman"/>
          <w:sz w:val="18"/>
          <w:szCs w:val="18"/>
          <w:color w:val="auto"/>
        </w:rPr>
        <w:t>, a mammalian target of rapamycin complexes (mTORC) 1 and 2 inhibitor</w:t>
      </w:r>
    </w:p>
    <w:p>
      <w:pPr>
        <w:spacing w:after="0" w:line="242" w:lineRule="exact"/>
        <w:rPr>
          <w:sz w:val="20"/>
          <w:szCs w:val="20"/>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PIKTOR’s design reflects a strategy of vertical pathway blockade, targeting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upstream and mTORC1 and mTORC2 downstream, simultaneously addressing oncogenic pathway activation and the adaptive escape routes tumors employ to resist treatment, while suppressing downstream signaling regardless of mutational status. In addition, the selectivity of serabelisib for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versus other PI3K isoforms may reduce the risk of off-target toxicities associated with pan-PI3K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141605</wp:posOffset>
            </wp:positionV>
            <wp:extent cx="5194935" cy="2811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9493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PIKTOR’s Multi-node Mechanism of Action</w:t>
      </w:r>
    </w:p>
    <w:p>
      <w:pPr>
        <w:spacing w:after="0" w:line="227"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Source: Tyrakis et al., British Journal of Cancer, 2025; 133: 144-154. Hopkins BD, Pauli C, Du X, Wang DG, Li X, Wu D, et al. Suppression of insulin feedback enhances the efficacy of PI3K inhibitors. Nature. 2018;560:499-503.</w:t>
      </w: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Product Profile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believe PIKTOR may have a substantially differentiated clinical profile versus both currently available and developmental treatments for multiple solid tumors, including:</w:t>
      </w:r>
    </w:p>
    <w:p>
      <w:pPr>
        <w:spacing w:after="0" w:line="63" w:lineRule="exact"/>
        <w:rPr>
          <w:sz w:val="20"/>
          <w:szCs w:val="20"/>
          <w:color w:val="auto"/>
        </w:rPr>
      </w:pPr>
    </w:p>
    <w:p>
      <w:pPr>
        <w:ind w:left="5580" w:right="2440" w:hanging="4924"/>
        <w:spacing w:after="0" w:line="458" w:lineRule="auto"/>
        <w:tabs>
          <w:tab w:leader="none" w:pos="10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Oral MNI mechanism of action</w:t>
      </w:r>
      <w:r>
        <w:rPr>
          <w:rFonts w:ascii="Times New Roman" w:cs="Times New Roman" w:eastAsia="Times New Roman" w:hAnsi="Times New Roman"/>
          <w:sz w:val="18"/>
          <w:szCs w:val="18"/>
          <w:color w:val="auto"/>
        </w:rPr>
        <w:t>, providing convenient administration relative to IV-based alternatives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w:t>
      </w:r>
    </w:p>
    <w:p>
      <w:pPr>
        <w:sectPr>
          <w:pgSz w:w="11900" w:h="16838" w:orient="portrait"/>
          <w:cols w:equalWidth="0" w:num="1">
            <w:col w:w="10960"/>
          </w:cols>
          <w:pgMar w:left="320" w:top="482" w:right="6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080" w:right="40" w:hanging="424"/>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Potentially compelling emerging tolerability profile</w:t>
      </w:r>
      <w:r>
        <w:rPr>
          <w:rFonts w:ascii="Times New Roman" w:cs="Times New Roman" w:eastAsia="Times New Roman" w:hAnsi="Times New Roman"/>
          <w:sz w:val="18"/>
          <w:szCs w:val="18"/>
          <w:color w:val="auto"/>
        </w:rPr>
        <w:t>, with rates of hyperglycemia and stomatitis observed in our Phase 2 clinical trial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PIKTOR in advanced endometrial cancer (Study FTH-PIK-201) as of the January 2026 data cutoff of 13.6% any grade and 4.5% grade 3/4 (hyperglycemia) and 13.6% any grade, 0% grade 3/4 (stomatitis), as described in the “Emerging Safety Profile” section below</w:t>
      </w:r>
    </w:p>
    <w:p>
      <w:pPr>
        <w:spacing w:after="0" w:line="76"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Potentially differentiated potency, </w:t>
      </w:r>
      <w:r>
        <w:rPr>
          <w:rFonts w:ascii="Times New Roman" w:cs="Times New Roman" w:eastAsia="Times New Roman" w:hAnsi="Times New Roman"/>
          <w:sz w:val="18"/>
          <w:szCs w:val="18"/>
          <w:color w:val="auto"/>
        </w:rPr>
        <w:t>with preclinical data demonstrating that PIKTOR deeply inhibited signaling across multiple nodes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PI3K/AKT/mTOR pathway</w:t>
      </w:r>
    </w:p>
    <w:p>
      <w:pPr>
        <w:spacing w:after="0" w:line="60" w:lineRule="exact"/>
        <w:rPr>
          <w:rFonts w:ascii="Times New Roman" w:cs="Times New Roman" w:eastAsia="Times New Roman" w:hAnsi="Times New Roman"/>
          <w:sz w:val="18"/>
          <w:szCs w:val="18"/>
          <w:color w:val="auto"/>
        </w:rPr>
      </w:pPr>
    </w:p>
    <w:p>
      <w:pPr>
        <w:ind w:left="1080" w:right="340" w:hanging="424"/>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 anti-tumor impact</w:t>
      </w:r>
      <w:r>
        <w:rPr>
          <w:rFonts w:ascii="Times New Roman" w:cs="Times New Roman" w:eastAsia="Times New Roman" w:hAnsi="Times New Roman"/>
          <w:sz w:val="18"/>
          <w:szCs w:val="18"/>
          <w:color w:val="auto"/>
        </w:rPr>
        <w:t>, with responses observed across multiple tumor types and mutational profiles, including in patients with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detectable PI3K/AKT/mTOR pathway mutations, suggesting that multi-node inhibition may confer clinical benefit independent of mutational status</w:t>
      </w:r>
    </w:p>
    <w:p>
      <w:pPr>
        <w:spacing w:after="0" w:line="8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Selective PI3K</w:t>
      </w:r>
      <w:r>
        <w:rPr>
          <w:rFonts w:ascii="Arial" w:cs="Arial" w:eastAsia="Arial" w:hAnsi="Arial"/>
          <w:sz w:val="18"/>
          <w:szCs w:val="18"/>
          <w:b w:val="1"/>
          <w:bCs w:val="1"/>
          <w:color w:val="auto"/>
        </w:rPr>
        <w:t>a</w:t>
      </w:r>
      <w:r>
        <w:rPr>
          <w:rFonts w:ascii="Times New Roman" w:cs="Times New Roman" w:eastAsia="Times New Roman" w:hAnsi="Times New Roman"/>
          <w:sz w:val="18"/>
          <w:szCs w:val="18"/>
          <w:b w:val="1"/>
          <w:bCs w:val="1"/>
          <w:color w:val="auto"/>
        </w:rPr>
        <w:t xml:space="preserve"> inhibition </w:t>
      </w:r>
      <w:r>
        <w:rPr>
          <w:rFonts w:ascii="Times New Roman" w:cs="Times New Roman" w:eastAsia="Times New Roman" w:hAnsi="Times New Roman"/>
          <w:sz w:val="18"/>
          <w:szCs w:val="18"/>
          <w:color w:val="auto"/>
        </w:rPr>
        <w:t>that may avoid immunologic toxicity that has been historically associated with pan-PI3K inhibitors</w:t>
      </w:r>
    </w:p>
    <w:p>
      <w:pPr>
        <w:spacing w:after="0" w:line="129" w:lineRule="exact"/>
        <w:rPr>
          <w:rFonts w:ascii="Times New Roman" w:cs="Times New Roman" w:eastAsia="Times New Roman" w:hAnsi="Times New Roman"/>
          <w:sz w:val="18"/>
          <w:szCs w:val="18"/>
          <w:color w:val="auto"/>
        </w:rPr>
      </w:pPr>
    </w:p>
    <w:p>
      <w:pPr>
        <w:ind w:left="1080" w:hanging="424"/>
        <w:spacing w:after="0" w:line="317" w:lineRule="auto"/>
        <w:tabs>
          <w:tab w:leader="none" w:pos="10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Synergistic activity </w:t>
      </w:r>
      <w:r>
        <w:rPr>
          <w:rFonts w:ascii="Times New Roman" w:cs="Times New Roman" w:eastAsia="Times New Roman" w:hAnsi="Times New Roman"/>
          <w:sz w:val="17"/>
          <w:szCs w:val="17"/>
          <w:color w:val="auto"/>
        </w:rPr>
        <w:t>with CDK4/6 inhibitors, taxane-based chemotherapy, and potentially selective estrogen receptor degraders, or SERDs,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observed in preclinical models—all of which are important components of current treatment regimens across our targeted tumor types</w:t>
      </w:r>
    </w:p>
    <w:p>
      <w:pPr>
        <w:spacing w:after="0" w:line="37" w:lineRule="exact"/>
        <w:rPr>
          <w:rFonts w:ascii="Times New Roman" w:cs="Times New Roman" w:eastAsia="Times New Roman" w:hAnsi="Times New Roman"/>
          <w:sz w:val="17"/>
          <w:szCs w:val="17"/>
          <w:color w:val="auto"/>
        </w:rPr>
      </w:pPr>
    </w:p>
    <w:p>
      <w:pPr>
        <w:ind w:left="1080" w:right="4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Tunability </w:t>
      </w:r>
      <w:r>
        <w:rPr>
          <w:rFonts w:ascii="Times New Roman" w:cs="Times New Roman" w:eastAsia="Times New Roman" w:hAnsi="Times New Roman"/>
          <w:sz w:val="18"/>
          <w:szCs w:val="18"/>
          <w:color w:val="auto"/>
        </w:rPr>
        <w:t>that may potentially enable indication-specific dose optimization of each component through independent dosing of serabelisib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sapanisertib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129540</wp:posOffset>
            </wp:positionV>
            <wp:extent cx="5194935" cy="323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9493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460" w:right="140"/>
        <w:spacing w:after="0" w:line="286" w:lineRule="auto"/>
        <w:rPr>
          <w:sz w:val="20"/>
          <w:szCs w:val="20"/>
          <w:color w:val="auto"/>
        </w:rPr>
      </w:pPr>
      <w:r>
        <w:rPr>
          <w:rFonts w:ascii="Times New Roman" w:cs="Times New Roman" w:eastAsia="Times New Roman" w:hAnsi="Times New Roman"/>
          <w:sz w:val="18"/>
          <w:szCs w:val="18"/>
          <w:b w:val="1"/>
          <w:bCs w:val="1"/>
          <w:color w:val="auto"/>
        </w:rPr>
        <w:t>In a head-to-head preclinical study, PIKTOR achieved pathway suppression at lower concentrations than other PI3K/AKT/mTOR targeted agents</w:t>
      </w:r>
    </w:p>
    <w:p>
      <w:pPr>
        <w:spacing w:after="0" w:line="15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Source: Tyrakis et al., British Journal of Cancer, 2025; 133: 144-154. IC50 values represent the concentration required to achieve 50% reduction in cell number versus control in each cell line. PIKTOR values reflect the sapanisertib IC50 for the combination of serabelisib and sapanisertib at fixed ratio representing clinical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exposure. ¹ Tyrakis et al., British Journal of Cancer, 2025; 133: 144-154. ² The Company’s internal data of a preclinical head-to-head comparison of PIKTOR to Gedatolisib. Gedatolisib IC50 values in the endometrial cancer cell lines and data for the paclitaxel-resistant cell line variants are based on the Company’s internal preclinical analyses and have not been independently published. ND = not done. Note: When comparing serabelisib and alpelisib, the clinically relevant human exposure for serabelisib is 3-4-fold higher than alpelisib. The IC50 values shown above are derived from in vitro preclinical studies conducted under consistent experimental conditions and protocols. Drug concentrations for each agent were selected to cover the full range of inhibitory concentrations (0% inhibition to 100% inhibition) so that IC50 for each agent could be calculated. In vitro results may not be predictive of clinical outcomes, and these comparisons should be interpreted with caution.</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PK/PD Profile and Phase 2 Dose for Study FTH-PIK-201</w:t>
      </w:r>
    </w:p>
    <w:p>
      <w:pPr>
        <w:spacing w:after="0" w:line="121" w:lineRule="exact"/>
        <w:rPr>
          <w:sz w:val="20"/>
          <w:szCs w:val="20"/>
          <w:color w:val="auto"/>
        </w:rPr>
      </w:pPr>
    </w:p>
    <w:p>
      <w:pPr>
        <w:ind w:left="120" w:right="320" w:firstLine="440"/>
        <w:spacing w:after="0" w:line="255" w:lineRule="auto"/>
        <w:rPr>
          <w:sz w:val="20"/>
          <w:szCs w:val="20"/>
          <w:color w:val="auto"/>
        </w:rPr>
      </w:pPr>
      <w:r>
        <w:rPr>
          <w:rFonts w:ascii="Times New Roman" w:cs="Times New Roman" w:eastAsia="Times New Roman" w:hAnsi="Times New Roman"/>
          <w:sz w:val="18"/>
          <w:szCs w:val="18"/>
          <w:color w:val="auto"/>
        </w:rPr>
        <w:t>Findings from prior development work have led to the characterization of PIKTOR’s differentiated pharmacokinetic/pharmacodynamic, or PK/PD, profile and the identification of PIKTOR’s phase 2 dose, or RP2D, of 3mg sapanisertib/200mg serabelisib administered on an intermittent dosing schedule of three days per week on a continuous monthly cycle that we are utilizing in our ongoing Phase 2 trial in endometrial cancer, study FTH-PIK-201. We believe this PK/PD-enabled dosage level and frequency combination is important to PIKTOR’s potentially differentiated clinical profile because it is designed to maximize the amount of time that plasma concentrations of PIKTOR are at or above in vitro IC90 concentration— potentially as much as two to three times longer per month than competitors—while being within levels that have been generally well tolerated by patients in previous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148590</wp:posOffset>
            </wp:positionV>
            <wp:extent cx="3754755" cy="1825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5475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Oral PIKTOR dosing designed to enable sustained exposure and limit risk of potential Cmax-related toxicity</w:t>
      </w:r>
    </w:p>
    <w:p>
      <w:pPr>
        <w:spacing w:after="0" w:line="227"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Plot shows ratio of human plasma drug concentration to in vitro (cellular) IC90 for sapanisertib (cellular IC90 determined in HR+ breast cancer cell lines for sapanisertib + serabelisib). Pharmacokinetic (PK) data is modeled from Faeth internal human PK studies and represents Sapanisertib oral capsule 3 mg given once a day with food for 3 days with serabelisib.</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Emerging Safety Profile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believe clinical data to date suggest a potentially compelling tolerability profile. The management of treatment-related adverse events, particularly hyperglycemia and stomatitis, has been a meaningful challenge with existing PI3K/AKT/mTOR pathway therapies and has in some cases limited their commercial uptake. In our Phase 2 clinical trial of PIKTOR in advanced endometrial cancer (Study FTH-PIK-201), as of our January 2026 data cutoff, we have observed that out of 22 patients, patients experienced stomatitis (13.6% any grade, 0% grade 3/4) and hyperglycemia (13.6% any grade and 4.5% grade 3/4).</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PIKTOR has several characteristics that we believe may contribute to this emerging tolerability profile. Its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isoform specificity may reduce the potential risk of immune compromising toxicities that have been previously associated with pan-PI3K inhibitors. Its oral formulation and intermittent dosing schedule are designed to maintain plasma concentrations within a therapeutic range while avoiding the extreme peak concentrations that may be associated with certain adverse events. In addition, by achieving more complete pathway suppression across multiple nodes, PIKTOR can be administered at substantially lower doses of each component than are required for monotherapy, which we believe may confer deeper efficacy within a more tolerable clinical profile.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Development History and Evidence to Date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Development History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Both serabelisib and sapanisertib have been studied either alone or in combination, including in combination with other agents, in multiple preclinical studies and in clinical trials involving approximately 1,050 patients at a range of doses. Within the completed studies, 152 patients have received PIKTOR at doses ranging from 2mg to 8mg of sapanisertib and from 100mg to 400mg of serabelisib and in either daily or intermittent schedules in three clinical trials, one of which included both dose escalation and dose expansion cohorts. Across these studies, PIKTOR was generally well tolerated with most AEs considered possibly drug related being mild or moderate in severity. A total of 13 drug-related serious adverse events, or SAEs, all non-fatal, were reported across the three trials. By type, these were increased transaminases (2), fatigue (2), nausea (2), vomiting (2), and enterocolitis, general physical health deterioration, hyperglycemia, pyrexia, and septic shock (one each).</w:t>
      </w:r>
    </w:p>
    <w:p>
      <w:pPr>
        <w:spacing w:after="0" w:line="189"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data that have emerged from these clinical trials—each component demonstrating anti-tumor activity as monotherapy, and the combination generally well tolerated at low doses with clinical activity alongside other agents—support our belief that PIKTOR has the potential to provide more comprehensive and tolerable PI3K/AKT/mTOR pathway inhibition than current SNIs, and may be differentiated from other MNIs in development.</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1b Study X31025—Results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Study X31025 was an investigator-initiated, Phase 1, open-label, single center, dose-escalation trial of PIKTOR in combination with weekly paclitaxel in 19 heavily pretreated patients (averaging four prior lines of therapy) with advanced breast (3), endometrial (6) and ovarian (10) tumors. All but one patient had been previously treated with taxane-based chemotherapy. The study consisted of five dose cohorts which were administered via a three days per week/four weeks per month intermittent dosing schedule. Doses ranged from 2mg to 4mg of sapanisertib, 100mg to 200mg of serabelisib and 60 mg/m² to 80 mg/m² of paclitaxel. Study X31025 was conducted by Dr. David Starks and Dr. Casey Williams at Avera Cancer Institute in Sioux Falls, South Dakota from July 2017 to July 2020. The primary endpoints were safety and tolerability, the determination of a maximum tolerated dose of PIKTOR in combination with weekly paclitaxel and to recommend a Phase 2 dose of PIKTOR in combination with weekly paclitaxel, the secondary endpoint was ORR and the exploratory endpoints were to describe Health Related Quality of Life outcomes as measured by the Treatment Related Symptom Checklist and HRQOL-LASA and biomarker assessment. This trial was not powered for statistical significance as it was a Phase 1b dose escalation study evaluating safety as the primary endpoint. The data from Study X31025, which we summarize below, was reported in </w:t>
      </w:r>
      <w:r>
        <w:rPr>
          <w:rFonts w:ascii="Times New Roman" w:cs="Times New Roman" w:eastAsia="Times New Roman" w:hAnsi="Times New Roman"/>
          <w:sz w:val="18"/>
          <w:szCs w:val="18"/>
          <w:i w:val="1"/>
          <w:iCs w:val="1"/>
          <w:color w:val="auto"/>
        </w:rPr>
        <w:t>Gynecologic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Oncology </w:t>
      </w:r>
      <w:r>
        <w:rPr>
          <w:rFonts w:ascii="Times New Roman" w:cs="Times New Roman" w:eastAsia="Times New Roman" w:hAnsi="Times New Roman"/>
          <w:sz w:val="18"/>
          <w:szCs w:val="18"/>
          <w:color w:val="auto"/>
        </w:rPr>
        <w:t>in 2022.</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Efficacy Results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At the conclusion of the study, 15 patients were evaluable for efficacy. The remaining four patients in the trial were not evaluable for efficacy because they did not complete the first cycle of the trial and therefore per protocol were not included in calculating ORR, CBR or any other measures. For the evaluable patients, the ORR was 47% and the CBR was 73%. Individual patient responses were:</w:t>
      </w:r>
    </w:p>
    <w:p>
      <w:pPr>
        <w:spacing w:after="0" w:line="81" w:lineRule="exact"/>
        <w:rPr>
          <w:sz w:val="20"/>
          <w:szCs w:val="20"/>
          <w:color w:val="auto"/>
        </w:rPr>
      </w:pPr>
    </w:p>
    <w:p>
      <w:pPr>
        <w:ind w:left="5580" w:right="2240" w:hanging="4924"/>
        <w:spacing w:after="0" w:line="454" w:lineRule="auto"/>
        <w:tabs>
          <w:tab w:leader="none" w:pos="10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Complete Responses, or CRs, all in endometrial cancer patients who had failed previous taxane treatment 9</w:t>
      </w:r>
    </w:p>
    <w:p>
      <w:pPr>
        <w:sectPr>
          <w:pgSz w:w="11900" w:h="16838" w:orient="portrait"/>
          <w:cols w:equalWidth="0" w:num="1">
            <w:col w:w="11060"/>
          </w:cols>
          <w:pgMar w:left="320" w:top="482"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Partial Responses, or PRs, 1 breast, 2 ovarian, and 1 endometrial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Stable Disease, or SD, all ovarian, for greater than or equal to 6 months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Amongst the seven response-evaluable patients expressing at least one PI3K/AKT/mTOR pathway mutation, the ORR increased to 71%.</w:t>
      </w:r>
    </w:p>
    <w:p>
      <w:pPr>
        <w:spacing w:after="0" w:line="225" w:lineRule="exact"/>
        <w:rPr>
          <w:sz w:val="20"/>
          <w:szCs w:val="20"/>
          <w:color w:val="auto"/>
        </w:rPr>
      </w:pPr>
    </w:p>
    <w:p>
      <w:pPr>
        <w:jc w:val="both"/>
        <w:ind w:left="120" w:right="140" w:firstLine="440"/>
        <w:spacing w:after="0" w:line="273" w:lineRule="auto"/>
        <w:rPr>
          <w:sz w:val="20"/>
          <w:szCs w:val="20"/>
          <w:color w:val="auto"/>
        </w:rPr>
      </w:pPr>
      <w:r>
        <w:rPr>
          <w:rFonts w:ascii="Times New Roman" w:cs="Times New Roman" w:eastAsia="Times New Roman" w:hAnsi="Times New Roman"/>
          <w:sz w:val="18"/>
          <w:szCs w:val="18"/>
          <w:color w:val="auto"/>
        </w:rPr>
        <w:t>At the time of the data cutoff for the publication, median Progression-Free Survival, or PFS, was 11 months, and overall survival, or OS, was 17 months. The genetic profiles of the tumors revealed that 2 patients had direct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mutations, 5 had broader PI3K/AKT/mTOR pathway mutations, and 8 had no pathway mutations. Responses were observed across all tumor types and in all mutational 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137160</wp:posOffset>
            </wp:positionV>
            <wp:extent cx="5194935" cy="1903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949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Patient tumor types, mutations and response status from Phase 1b trial, X31025</w:t>
      </w:r>
    </w:p>
    <w:p>
      <w:pPr>
        <w:spacing w:after="0" w:line="22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Source: Starks DC, Rojas-Espaillat L, Meissner T, Williams CB. Phase I dose escalation study of dual PI3K/mTOR inhibition by Sapanisertib and Serabelisib in combination with paclitaxel in patients with advanced solid tumors. Gynecologic Oncology. 2022 Jul 15. n=19 enrolled (15 response evaluable, 13 RECIST evaluable). Data cutoff per publication October 1, 2021. All but one subject had prior platinum and taxane-based chemotherapy. Seven subjects (36%) had prior mTORC1 inhibitor therapy (temsirolimus/everolimus).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Abbreviations: LOT = Lines of Therapy; ORR = Objective Response Rate; CBR = Clinical Benefit Rate; PFS = Progression-Free Survival.</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Tolerability Results</w:t>
      </w:r>
    </w:p>
    <w:p>
      <w:pPr>
        <w:spacing w:after="0" w:line="121" w:lineRule="exact"/>
        <w:rPr>
          <w:sz w:val="20"/>
          <w:szCs w:val="20"/>
          <w:color w:val="auto"/>
        </w:rPr>
      </w:pPr>
    </w:p>
    <w:p>
      <w:pPr>
        <w:ind w:left="120" w:right="20" w:firstLine="440"/>
        <w:spacing w:after="0" w:line="230" w:lineRule="auto"/>
        <w:rPr>
          <w:sz w:val="20"/>
          <w:szCs w:val="20"/>
          <w:color w:val="auto"/>
        </w:rPr>
      </w:pPr>
      <w:r>
        <w:rPr>
          <w:rFonts w:ascii="Times New Roman" w:cs="Times New Roman" w:eastAsia="Times New Roman" w:hAnsi="Times New Roman"/>
          <w:sz w:val="18"/>
          <w:szCs w:val="18"/>
          <w:color w:val="auto"/>
        </w:rPr>
        <w:t>PIKTOR was generally well tolerated in the trial. Most treatment emergent adverse events were classified as mild or moderate and only one dose-limiting toxicity (DLT), which occurred at dose level 5 (4mg of sapanisertib, 200mg of serabelisib and 80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paclitaxel), was observed (renal failure secondary to hyperglycemia). The most frequent grade 3 or 4 adverse events were decreased white blood cells, nonfebrile neutropenia, hypophosphatemia, hyperglycemia, anemia, and elevated liver enzymes. The publication did not separately report SAEs.</w:t>
      </w: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FTH-PIK-201 January 2026 Data Snapshot</w:t>
      </w:r>
    </w:p>
    <w:p>
      <w:pPr>
        <w:spacing w:after="0" w:line="121" w:lineRule="exact"/>
        <w:rPr>
          <w:sz w:val="20"/>
          <w:szCs w:val="20"/>
          <w:color w:val="auto"/>
        </w:rPr>
      </w:pPr>
    </w:p>
    <w:p>
      <w:pPr>
        <w:ind w:left="120" w:firstLine="440"/>
        <w:spacing w:after="0" w:line="224" w:lineRule="auto"/>
        <w:rPr>
          <w:sz w:val="20"/>
          <w:szCs w:val="20"/>
          <w:color w:val="auto"/>
        </w:rPr>
      </w:pPr>
      <w:r>
        <w:rPr>
          <w:rFonts w:ascii="Times New Roman" w:cs="Times New Roman" w:eastAsia="Times New Roman" w:hAnsi="Times New Roman"/>
          <w:sz w:val="18"/>
          <w:szCs w:val="18"/>
          <w:color w:val="auto"/>
        </w:rPr>
        <w:t>PIKTOR’s tolerability profile was further informed by the results of a data snapshot we conducted in January 2026 of 22 advanced endometrial cancer patients enrolled in the ongoing Study FTH-PIK-201. The dosing level in this trial is 3 mg sapanisertib, 200 mg serabelisib, 80 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paclitaxel. The data showed that PIKTOR</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82"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continued to be generally well tolerated. Patients experienced stomatitis (13.6% any grade, 0% grade 3/4) and hyperglycemia (13.6% any grade and</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4.5% grade 3/4) . Of note, patients in the PIK-201 study are not required to use any steroid mouthwash prophylaxis. The SAEs, regardless of attribution, that were observed in the trial as of the January 2026 data snapshot were sepsis (2), increased alanine aminotransferase (1), increased aspartate aminotransferase (1), embolism (1), flank pain (1), hyperglycemia (1), pneumonia (1), pyelonephritis (1), toxicity to various agents (1), tracheal hemorrhage (1), urosepsis (1), and UTI (1); of note, only the increased alanine aminotransferase and hyperglycemia were determined by the investigator to be related to study treatment.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Development Plans by Indication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PIKTOR’s development is advancing in large, urgent areas of unmet need where dysregulated PI3K/AKT/mTOR pathway activity is strongly implicated in oncogenesis and tumor progression and patients often face a dire prognosis.</w:t>
      </w:r>
    </w:p>
    <w:p>
      <w:pPr>
        <w:spacing w:after="0" w:line="266"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18"/>
          <w:szCs w:val="18"/>
          <w:b w:val="1"/>
          <w:bCs w:val="1"/>
          <w:i w:val="1"/>
          <w:iCs w:val="1"/>
          <w:color w:val="auto"/>
        </w:rPr>
        <w:t>Advanced HR+/HER2- Breast Cancer</w:t>
      </w:r>
    </w:p>
    <w:p>
      <w:pPr>
        <w:spacing w:after="0" w:line="117"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 and Unmet Need</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Breast cancer is the most common cancer diagnosed among women in the United States, where it is projected there will be approximately 325,000 new diagnoses in 2026. The most common form of breast cancer is HR+/HER2-, a hormonally driven tumor subtype, which accounts for approximately 70% of overall breast cancer incidence. Amongst total HR+/HER2- cases, approximately 60% express PI3K/AKT/mTOR pathway mutations.</w:t>
      </w:r>
    </w:p>
    <w:p>
      <w:pPr>
        <w:spacing w:after="0" w:line="158"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In 2026, an estimated 58,000 HR+/HER2- breast cancer patients are expected to be diagnosed with or progress to advanced disease stages in the United States. For these patients, the current standard of care first-line regimen is endocrine based therapy, either an aromatase inhibitor, or AI, or a SERD in combination with a cyclin-dependent kinase 4/6 (CDK4/6) inhibitor. Together, these agents can slow tumor growth by blocking dysregulated signaling from the hormone receptors on tumors (SERD, AI), as well as the downstream cellular division processes that translate these oncogenic signals into uncontrolled proliferation (CDK4/6). Despite the anti-tumor benefits of this regimen, however, most patients will still experience disease progression within three years from diagnosis, with an expected survival rate at five years of 34%.</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Approved SNIs in HR+/HER2- Advanced Disease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Given the strong implication of the PI3K/AKT/mTOR pathway in tumor progression in this setting, the addition of a SNI is recommended for subsequent rounds of endocrine/CDK4/6 therapy following initial progression. There are currently four agents approved for PI3K/AKT/mTOR pathway-altered HR+/HER2- advanced breast cancer, spanning both first- and second-line settings:</w:t>
      </w:r>
    </w:p>
    <w:p>
      <w:pPr>
        <w:spacing w:after="0" w:line="185"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First-line (endocrine-resistant, PIK3CA-mutated)</w:t>
      </w:r>
      <w:r>
        <w:rPr>
          <w:rFonts w:ascii="Times New Roman" w:cs="Times New Roman" w:eastAsia="Times New Roman" w:hAnsi="Times New Roman"/>
          <w:sz w:val="18"/>
          <w:szCs w:val="18"/>
          <w:color w:val="auto"/>
        </w:rPr>
        <w:t>: Inavolisib (selective PI3K</w:t>
      </w:r>
      <w:r>
        <w:rPr>
          <w:rFonts w:ascii="Arial" w:cs="Arial" w:eastAsia="Arial" w:hAnsi="Arial"/>
          <w:sz w:val="18"/>
          <w:szCs w:val="18"/>
          <w:b w:val="1"/>
          <w:bCs w:val="1"/>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inhibitor/degrader), approved in October 2024 in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palbociclib and fulvestrant, is the first targeted therapy approved specifically for the first-line treatment of endocrine-resistant, PIK3CA-mutated HR+/HER2- advanced breast cancer. In its pivotal Phase 3 trial, INAVO120, the inavolisib-based triplet more than doubled median PFS compared to palbociclib and fulvestrant alone (15.0 months vs. 7.3 months), reducing the risk of disease progression or death by 57% (HR 0.43). Updated overall survival data have demonstrated a statistically significant survival benefit as well.</w:t>
      </w:r>
    </w:p>
    <w:p>
      <w:pPr>
        <w:spacing w:after="0" w:line="178" w:lineRule="exact"/>
        <w:rPr>
          <w:sz w:val="20"/>
          <w:szCs w:val="20"/>
          <w:color w:val="auto"/>
        </w:rPr>
      </w:pPr>
    </w:p>
    <w:p>
      <w:pPr>
        <w:ind w:left="120" w:right="10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Second-line and beyond (post-CDK4/6 progression)</w:t>
      </w:r>
      <w:r>
        <w:rPr>
          <w:rFonts w:ascii="Times New Roman" w:cs="Times New Roman" w:eastAsia="Times New Roman" w:hAnsi="Times New Roman"/>
          <w:sz w:val="18"/>
          <w:szCs w:val="18"/>
          <w:color w:val="auto"/>
        </w:rPr>
        <w:t>: Three additional agents are approved for use following progression on CDK4/6 inhibitor-based therapy: alpelisib (selective 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inhibitor), capivasertib (pan-AKT inhibitor), and everolimus (mTORC1 inhibitor). Of these, the best data generated to date was shown by capivasertib in combination with fulvestrant, a SERD. In its pivotal trial, CAPItello-291, the combination improved median PFS in the PIK3CA/AKT1/PTEN-altered subgroup to 7.3 months vs. 3.1 months for fulvestrant alone, reducing the risk of disease progression or death (hazard ratio) by 50%.</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Notably, all four approved agents are single-node inhibitors, each targeting only one component of the PI3K/AKT/mTOR pathway. Three of the four (inavolisib, alpelisib, and capivasertib) also require the presence of specific activating mutations for their approved indications, limiting their addressable patient populations.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MNI Class Validation via Gedatolisib</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Recent clinical trial results from the VIKTORIA-1 trial (PIK3CA-wild-type cohort) of the PI3K/AKT/mTOR pathway MNI gedatolisib (an IV pan PI3K/mTORC1/2 inhibitor) in combination with fulvestrant alone and fulvestrant and palbociclib in combination in advanced HR+/HER2- breast cancer patients with no PIK3CA mutation who are post endocrine therapy/CDK4/6 progression have offered compelling clinical validation for the thesis that an MNI approach can improve outcomes relative to SNIs.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Phase 3 VIKTORIA-1 trial (PIK3CA wild-type cohort), gedatolisib demonstrated PFS of 9.3 months for the gedatolisib triplet (gedatolisib plus fulvestrant plus palbociclib) (HR 0.24) and 7.4 months for the gedatolisib doublet (gedatolisib plus fulvestrant) (HR 0.33) versus 2.0 months for fulvestrant alone. We believe these results support the rationale for multi-node inhibition of the PI3K/AKT/mTOR pathway.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PIKTOR’s Development Rationale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Beyond gedatolisib’s MNI class-validating results, we believe PIKTOR’s substantial body of preclinical evidence demonstrating deep pathway suppression and activity in multiple breast tumor models, including in synergistic combination with palbociclib, provides evidence that PIKTOR has the potential to produce a meaningful benefit to patients in this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140335</wp:posOffset>
            </wp:positionV>
            <wp:extent cx="3291840" cy="2228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18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PIKTOR’s impact on the MDA-MB-361 breast cancer model</w:t>
      </w:r>
    </w:p>
    <w:p>
      <w:pPr>
        <w:spacing w:after="0" w:line="22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Source: Tyrakis et al., British Journal of Cancer, 2025; 133: 144-154 / Faeth Internal Data. Serabelisib dosed at 75 mg/kg (mouse equivalent of 200mg in humans), PO QD, 3 days on / 4 days off. Sapanisertib dosed at 0.5 mg/kg (mouse equivalent of 3mg in humans), PO QD, 3 days on / 4 days off. MDA-MB-361 cell line mutations: PIK3CA, MTOR, BRCA2, BRAF, CDKN2A, TP53. The human-equivalent doses correspond to the RP2D of 200mg serabelisib / 3mg sapanisertib utilized in the Company’s ongoing clinical trials.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results from a Phase 2 clinical trial (Garcia-Saenz et al., 2022) showed that sapanisertib, administered daily and at higher doses than we are contemplating in our future clinical development plans due to tolerability risks, in combination with fulvestrant, demonstrated antitumor activity (21.3% ORR; 7.2 months median PFS) in advanced HR+/HER2- breast cancer patients.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PIKTOR’s Potential for Differentiation Amongst MNIs in HR+/HER2- Breast Cancer</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general safety and PK/PD profile advantages described in the “Emerging Safety Profile” and “Differentiated Product Profile” sections above, we believe PIKTOR has several characteristics that may combine to create a differentiated profile within the MNI class specifically in the HR+/HER2- breast cancer setting:</w:t>
      </w:r>
    </w:p>
    <w:p>
      <w:pPr>
        <w:spacing w:after="0" w:line="81" w:lineRule="exact"/>
        <w:rPr>
          <w:sz w:val="20"/>
          <w:szCs w:val="20"/>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oral formulation may enable the establishment of an all oral MNI-based treatment regimen for advanced HR+/HER2- breast cancer that would untether patients from mandatory in-patient infusion treatment</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stomatitis at the RP2D - 6% any grade observed in the Phase 1b trial and 13.6% any grade in the January 2026 FTH-PIK-201 data snapshot - that may reduce the need for four times daily prophylactic treatment with a corticosteroid mouthwash</w:t>
      </w:r>
    </w:p>
    <w:p>
      <w:pPr>
        <w:spacing w:after="0" w:line="67" w:lineRule="exact"/>
        <w:rPr>
          <w:rFonts w:ascii="Times New Roman" w:cs="Times New Roman" w:eastAsia="Times New Roman" w:hAnsi="Times New Roman"/>
          <w:sz w:val="18"/>
          <w:szCs w:val="18"/>
          <w:color w:val="auto"/>
        </w:rPr>
      </w:pPr>
    </w:p>
    <w:p>
      <w:pPr>
        <w:ind w:left="1080" w:hanging="424"/>
        <w:spacing w:after="0" w:line="281"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PK/PD profile that we believe, based on our analysis of publicly available data, may offer two key advantages over other developmental MNIs: first, PIKTOR’s oral intermittent dosing schedule is designed to maintain plasma concentrations at or above the IC90 efficacy threshold for approximately two to three times longer per month; and second, PIKTOR’s lower required dose levels result in a substantially lower ratio of peak drug concentration (Cmax) to IC90, which we believe may reduce the risk of concentration-dependent toxicities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Study FTH-PIK-101</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Study FTH-PIK-101 is our Phase 1b open-label, dose escalation trial of PIKTOR in advanced HR+/HER2- breast cancer, for which we announced that we had dosed the first patient in May 2026. The purpose of this study is to evaluate PIKTOR’s safety and preliminary efficacy in combination with fulvestrant, +/- palbociclib, in advanced HR+/HER2- metastatic breast cancer patients who have failed prior systemic therapies. The primary endpoint for this Phase 1b trial is safety and tolerability by assessment of AEs and SAEs, and the secondary endpoints are ORR, PFS, PFS at six months, overall survival, CBR and DOR.</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study will evaluate escalating doses of PIKTOR (between 2mg and 4mg of sapanisertib and between 200mg and 300mg of serabelisib) administered three days per week/four weeks per month over 28-day cycles with:</w:t>
      </w:r>
    </w:p>
    <w:p>
      <w:pPr>
        <w:spacing w:after="0" w:line="63"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Cohort A: </w:t>
      </w:r>
      <w:r>
        <w:rPr>
          <w:rFonts w:ascii="Times New Roman" w:cs="Times New Roman" w:eastAsia="Times New Roman" w:hAnsi="Times New Roman"/>
          <w:sz w:val="18"/>
          <w:szCs w:val="18"/>
          <w:color w:val="auto"/>
        </w:rPr>
        <w:t>500mg of fulvestrant alone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Cohort B: </w:t>
      </w:r>
      <w:r>
        <w:rPr>
          <w:rFonts w:ascii="Times New Roman" w:cs="Times New Roman" w:eastAsia="Times New Roman" w:hAnsi="Times New Roman"/>
          <w:sz w:val="18"/>
          <w:szCs w:val="18"/>
          <w:color w:val="auto"/>
        </w:rPr>
        <w:t>500mg fulvestrant plus 125mg of palbociclib</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Phase 1b component of the study is anticipated to enroll up to six adult participants per dose level in each cohort, up to a total of 36 patients. Pending the successful establishment of the RP2D for each cohort in the Phase 1b portion of the trial, we intend to subsequently enroll at least two expansion cohorts of approximately 30 patients each under a future amendment in Phase 2. We may initiate additional dose escalation cohorts with other investigational agents under a future amendment.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anticipate announcing interim data from the dose escalation portion of the trial, and initiating the expansion cohorts, in 2027 and announcing data from the expansion cohorts in 2028.</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Advanced Endometrial Cancer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 and Unmet Need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Endometrial cancer is the fourth most common cancer in women in the United States, with approximately 62,000 new diagnoses expected in 2026. Between 10,000 and 15,000 women annually will experience advanced disease either at initial diagnosis or due to progression. For these patients, the expected survival rate at five years is 18%.</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At least one PI3K/AKT/mTOR pathway mutation is present in approximately 80% of endometrial tumors, however, there are currently no approved PI3K/AKT/mTOR pathway inhibitors for endometrial cancer.</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Options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current first-line standard of care regimen for advanced endometrial cancer is chemotherapy, carboplatin plus paclitaxel, combined with an immune checkpoint inhibitor. For patients who progress, second-line treatment consists of pembrolizumab combined with the multi kinase inhibitor lenvatinib, which demonstrated an ORR of 30% with PFS of 6.6 months (HR 0.60) in its pivotal trial, KEYNOTE-775, for which the first-line regimen did not yet include checkpoint inhibitors. If patients cannot tolerate lenvatinib/pembrolizumab or are not expected to respond to a second course of checkpoint inhibitor therapy, the use of single agent chemotherapy, which produced an ORR of 14.7% and PFS of 3.8 months as the control arm in KEYNOTE-775, is recommended.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PIKTOR’s Development Rationale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described in the Phase 1b results above, PIKTOR demonstrated an 80% ORR in five heavily pretreated endometrial cancer patients in Study X31025, including three complete responses. We believe these results, combined with preclinical data demonstrating dose dependent inhibitory activity in four endometrial cancer preclinical models (HEC1B, MFE280, MFE296, and AN3CA) in combination with paclitaxel, support our plans to further evaluate PIKTOR in this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142875</wp:posOffset>
            </wp:positionV>
            <wp:extent cx="4680585" cy="1543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8058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Endometrial tumor mutations and response status from Phase 1b trial, X31025</w:t>
      </w:r>
    </w:p>
    <w:p>
      <w:pPr>
        <w:spacing w:after="0" w:line="223" w:lineRule="exact"/>
        <w:rPr>
          <w:sz w:val="20"/>
          <w:szCs w:val="20"/>
          <w:color w:val="auto"/>
        </w:rPr>
      </w:pPr>
    </w:p>
    <w:p>
      <w:pPr>
        <w:ind w:left="120" w:right="120"/>
        <w:spacing w:after="0" w:line="233" w:lineRule="auto"/>
        <w:rPr>
          <w:sz w:val="20"/>
          <w:szCs w:val="20"/>
          <w:color w:val="auto"/>
        </w:rPr>
      </w:pPr>
      <w:r>
        <w:rPr>
          <w:rFonts w:ascii="Times New Roman" w:cs="Times New Roman" w:eastAsia="Times New Roman" w:hAnsi="Times New Roman"/>
          <w:sz w:val="14"/>
          <w:szCs w:val="14"/>
          <w:i w:val="1"/>
          <w:iCs w:val="1"/>
          <w:color w:val="auto"/>
        </w:rPr>
        <w:t>Source: Starks DC, Rojas-Espaillat L, Meissner T, Williams CB. Phase I dose escalation study of dual PI3K/mTOR inhibition by Sapanisertib and Serabelisib in combination with paclitaxel in patients with advanced solid tumors. Gynecologic Oncology. 2022 Jul 15. Data cutoff per publication October 1, 2021. *Updated follow-up data obtained through unpublished communication with the study investigators. Single-agent chemotherapy reference line (~4 months PFS) represents the approximate median PFS for the chemotherapy control arm (investigator’s choice of doxorubicin 60 mg/m² IV every 3 weeks or paclitaxel 80 mg/m² IV weekly, 3 weeks on/1 week off) in the pMMR population of KEYNOTE-775 (Makker et al., NEJM 2022). Abbreviations: LOT = Lines of Therapy; ORR = Objective Response Rate; CBR = Clinical Benefit Rate; PFS = Progression-Free Survival; OS = Overall Survival.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1440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Preclinical dose-dependent inhibitory activity in endometrial cancer models in combination with paclitaxel</w:t>
      </w:r>
    </w:p>
    <w:p>
      <w:pPr>
        <w:spacing w:after="0" w:line="115" w:lineRule="exact"/>
        <w:rPr>
          <w:sz w:val="20"/>
          <w:szCs w:val="20"/>
          <w:color w:val="auto"/>
        </w:rPr>
      </w:pPr>
    </w:p>
    <w:p>
      <w:pPr>
        <w:ind w:left="120" w:right="360"/>
        <w:spacing w:after="0" w:line="243" w:lineRule="auto"/>
        <w:rPr>
          <w:sz w:val="20"/>
          <w:szCs w:val="20"/>
          <w:color w:val="auto"/>
        </w:rPr>
      </w:pPr>
      <w:r>
        <w:rPr>
          <w:rFonts w:ascii="Times New Roman" w:cs="Times New Roman" w:eastAsia="Times New Roman" w:hAnsi="Times New Roman"/>
          <w:sz w:val="14"/>
          <w:szCs w:val="14"/>
          <w:i w:val="1"/>
          <w:iCs w:val="1"/>
          <w:color w:val="auto"/>
        </w:rPr>
        <w:t>Source: Tyrakis et al., British Journal of Cancer, 2025; 133: 144-154. Cell lines tested: HEC1B, MFE280, MFE296, AN3CA. Dose-response curves: Serabelisib dosed at 0—6uM, sapanisertib dosed at 0—30nM, paclitaxel dosed within the range 0.001nmol/L-100umol/L. Cells exposed to drugs for 3 days (72 hours). Resorufin Fluorescence at 600-620 nm used to quantify cell number. PI3K-pathway mutation status of the cell lines is shown in the IC50 table above.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these results, we believe PIKTOR may offer improved outcomes for second-line advanced endometrial cancer patients.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also see a potential first-line opportunity for PIKTOR in the genetically defined subpopulation of patients whose tumors are classified as mismatch repair proficient, or MMR-p. These patients constitute approximately 70% of the overall advanced endometrial cancer population and their tumors have been shown to respond less favorably to immune therapy in multiple trials across tumor types than patients whose tumors are classified as mismatch repair deficient, or MMR-d.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Study FTH-PIK-201</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Study FTH-PIK-201 is our ongoing single arm Phase 2 study of 3mg/200mg of PIKTOR (3 days a week) in combination with 80 mg/m² of paclitaxel (weekly) in endometrial cancer. The study consists of 40 endometrial cancer patients with a confirmed PI3K/AKT/mTOR pathway mutation who have previously been treated with checkpoint inhibitors and carboplatin. There is also an optional sub-study available to enrollees to combine an insulin suppressing diet with their treatment.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primary endpoint of the trial is ORR with the following secondary endpoints: PFS, PFS at six months, overall survival, CBR, DOR and safety and tolerability by assessment of AEs and SAEs. The trial protocol does not establish a specific target ORR for the primary endpoint; ORR will be evaluated against the historical benchmark for single-agent chemotherapy in this setting, consistent with the design of single-arm, open-label Phase 2 trials. We have initiated this Phase 2 trial, with topline data currently anticipated by year-end 2026. We anticipate dosing the last patient in this trial and announcing longer term follow-up data in 2027.</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Indications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Beyond advanced HR+/HER2- breast cancer and advanced endometrial cancer, we may also consider developing PIKTOR in additional indications where there are large unmet needs, PI3K/AKT/mTOR pathway activity is implicated in disease progression, and PIKTOR or its components have displayed clinical activity.</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potential interest in ovarian cancer is driven by encouraging activity in the ovarian patients in the investigator-initiated Phase 1b trial (Study X31025), described above, as well as the results of the Phase 2 “DICE” trial. The DICE trial was a randomized controlled investigator-initiated trial of 134 ovarian cancer patients designed to evaluate the addition of 4 mg of sapanisertib in combination with 80 mg/m² of paclitaxel versus 80 mg/m² of paclitaxel alone. The results of the trial, which were presented as a late-breaking oral presentation at the annual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meeting of the European Society for Medical Oncology, or ESMO, in 2025, met the trial’s pre-specified primary endpoint. Addition of sapanisertib to paclitaxel was associated with a 34% decrease in risk of disease progression (HR=0.66; pre-specified 90% CI: 0.45-0.96; one-sided p=0.07). Mean PFS was 5.8 months for patients treated with sapanisertib and paclitaxel versus 4.0 months for patients treated with paclitaxel alone. The combination of sapanisertib and paclitaxel was generally well tolerated, with Grade 3/4 adverse events occurring in 7% of patients in the combination arm compared to 6.6% of patients in the paclitaxel monotherapy arm.</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PIKTOR has also demonstrated clinical activity in certain genetically defined subtypes of lung cancer. Depending on discussions with regulatory authorities, we intend to explore the possibility of initiating future clinical trials of PIKTOR in this setting.</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not yet initiated an independent clinical trial of PIKTOR in either ovarian cancer or lung cancer, and any future development in these settings will depend on further discussions with regulatory authorities and the results of our ongoing trials in our lead indications.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Faeth Pipeline Programs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created a multi-asset development portfolio utilizing our expertise in cancer biology and metabolic disease to generate compelling pipeline assets by identifying additional opportunities to address significant unmet needs. Our platform seeks to identify and exploit potential cancer cell vulnerabilities to create integrated treatment regimens to deny tumors the signaling pathways and nutrients they depend upon to proliferate.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NEAAR (Non Essential Amino Acid Restriction)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call our second pipeline program NEAAR. This regimen restricts patient intake of specific non-essential amino acids that we have determined tumors use to support proliferation. NEAAR has demonstrated pre-clinically that, by itself, it can suppress tumor growth and increase survival, and in combination, can increase the sensitivity of cancer cells to chemotherapies, radiotherapy and targeted therapies.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IEM (Inborn Errors of Metabolism)</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broad understanding of metabolic disease has enabled our third program, IEM, which may improve treatment options for a rare inherited metabolic disease, Type I Tyrosinemia, by eliminating an off-target effect of the current standard of care drug that we believe may cause neurocognitive impairment. In preclinical models, our IEM program has shown equivalence to current standard of care in rescuing underlying disease pathology while maintaining normal neurocognitive function.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Sensei Legacy Programs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PIKTOR and the Faeth pipeline programs described above, our pipeline includes programs that preceded the Acquisition. We are completing a Phase 1/2 trial of solnerstotug (formerly SNS-101), our conditionally active monoclonal antibody targeting the immune checkpoint VISTA. As of March 23, 2026, seven patients remain on study in the expansion portion of the trial. We intend to evaluate the results of this trial in 2026 to determine next steps. We also have three preclinical-stage conditionally active antibody programs: SNS-102 (targeting VSIG4), SNS-103 (targeting CD39), and SNS-201, a bispecific antibody designed to conditionally activate CD28 through monovalent CD28 engagement and bivalent pH-selective VISTA binding, which we are evaluating for potential development.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intellectual property. While we believe our deep scientific knowledge of oncology paired with our differentiated lead product candidate, PIKTOR, provides a strong competitive advantage,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face competition from many different sources, including pharmaceutical and biotechnology companies, academic institutions, governmental agencies and public and private research institutions.</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Our competitors may have significantly greater financial resources, established presence in the market and expertise in research and development, manufacturing, preclinical and clinical testing, obtaining regulatory approvals and reimbursement and marketing approved products than we do. They may also compete in recruiting and retaining qualified scientific, sales, marketing and management personnel and establishing clinical trial sites and patient registration for clinical trials, as well as in acquiring technologies complementary to or necessary for our product candidates. Smaller or early-stage companies may also prove to be significant competitors, particularly through collaborative arrangements with large and established companies.</w:t>
      </w:r>
    </w:p>
    <w:p>
      <w:pPr>
        <w:spacing w:after="0" w:line="16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commercial opportunity can be reduced or eliminated if competitors develop and commercialize products that are safer, more effective, have fewer or less severe side effects, are more convenient or are less expensive than any products that we may develop. Competitors also may obtain U.S. Food and Drug Administration, or FDA, or other regulatory approval for their products more rapidly or earlier than us,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PI3K/AKT/mTOR Competitive Landscape</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five approved SNI agents described above, our comprehensive search of available resources and databases revealed there are several additional product candidates in clinical development which could pose a direct competitive threat to PIKTOR, particularly for the treatment of advanced HR+/HER2- breast cancer. These product candidates include:</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Pan-PI3K/mTOR Inhibitors</w:t>
      </w:r>
    </w:p>
    <w:p>
      <w:pPr>
        <w:spacing w:after="0" w:line="126" w:lineRule="exact"/>
        <w:rPr>
          <w:rFonts w:ascii="Times New Roman" w:cs="Times New Roman" w:eastAsia="Times New Roman" w:hAnsi="Times New Roman"/>
          <w:sz w:val="18"/>
          <w:szCs w:val="18"/>
          <w:color w:val="auto"/>
        </w:rPr>
      </w:pPr>
    </w:p>
    <w:p>
      <w:pPr>
        <w:ind w:left="1540" w:right="120" w:hanging="331"/>
        <w:spacing w:after="0" w:line="26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Gedatolisib</w:t>
      </w:r>
      <w:r>
        <w:rPr>
          <w:rFonts w:ascii="Times New Roman" w:cs="Times New Roman" w:eastAsia="Times New Roman" w:hAnsi="Times New Roman"/>
          <w:sz w:val="18"/>
          <w:szCs w:val="18"/>
          <w:color w:val="auto"/>
        </w:rPr>
        <w:t>, an IV pan-PI3K/mTOR inhibitor from Celcuity, whose New Drug Application for HR+/HER2, PIK3CA wild-type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metastatic breast cancer was accepted by the FDA in January 2026 with Priority Review and a Prescription Drug User Fee Act goal date of July 17, 2026. Gedatolisib’s clinical efficacy data is discussed in the context of MNI class validation in the breast cancer development section above.</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Paxalisib</w:t>
      </w:r>
      <w:r>
        <w:rPr>
          <w:rFonts w:ascii="Times New Roman" w:cs="Times New Roman" w:eastAsia="Times New Roman" w:hAnsi="Times New Roman"/>
          <w:sz w:val="18"/>
          <w:szCs w:val="18"/>
          <w:color w:val="auto"/>
        </w:rPr>
        <w:t>, an oral</w:t>
      </w:r>
      <w:r>
        <w:rPr>
          <w:rFonts w:ascii="Times New Roman" w:cs="Times New Roman" w:eastAsia="Times New Roman" w:hAnsi="Times New Roman"/>
          <w:sz w:val="18"/>
          <w:szCs w:val="18"/>
          <w:b w:val="1"/>
          <w:bCs w:val="1"/>
          <w:color w:val="auto"/>
        </w:rPr>
        <w:t xml:space="preserve"> brain </w:t>
      </w:r>
      <w:r>
        <w:rPr>
          <w:rFonts w:ascii="Times New Roman" w:cs="Times New Roman" w:eastAsia="Times New Roman" w:hAnsi="Times New Roman"/>
          <w:sz w:val="18"/>
          <w:szCs w:val="18"/>
          <w:color w:val="auto"/>
        </w:rPr>
        <w:t>penetrant pan-PI3K/mTOR inhibitor from Kazia Therapeutics, currently in Phase 3 trials in glioblastoma.</w:t>
      </w:r>
    </w:p>
    <w:p>
      <w:pPr>
        <w:spacing w:after="0" w:line="14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Mutant-PI3K</w:t>
      </w:r>
      <w:r>
        <w:rPr>
          <w:rFonts w:ascii="Arial" w:cs="Arial" w:eastAsia="Arial" w:hAnsi="Arial"/>
          <w:sz w:val="18"/>
          <w:szCs w:val="18"/>
          <w:b w:val="1"/>
          <w:bCs w:val="1"/>
          <w:color w:val="auto"/>
        </w:rPr>
        <w:t>a</w:t>
      </w:r>
      <w:r>
        <w:rPr>
          <w:rFonts w:ascii="Times New Roman" w:cs="Times New Roman" w:eastAsia="Times New Roman" w:hAnsi="Times New Roman"/>
          <w:sz w:val="18"/>
          <w:szCs w:val="18"/>
          <w:color w:val="auto"/>
        </w:rPr>
        <w:t xml:space="preserve"> Inhibitors</w:t>
      </w:r>
    </w:p>
    <w:p>
      <w:pPr>
        <w:spacing w:after="0" w:line="139" w:lineRule="exact"/>
        <w:rPr>
          <w:rFonts w:ascii="Times New Roman" w:cs="Times New Roman" w:eastAsia="Times New Roman" w:hAnsi="Times New Roman"/>
          <w:sz w:val="18"/>
          <w:szCs w:val="18"/>
          <w:color w:val="auto"/>
        </w:rPr>
      </w:pPr>
    </w:p>
    <w:p>
      <w:pPr>
        <w:ind w:left="1540" w:right="420" w:hanging="331"/>
        <w:spacing w:after="0" w:line="28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Zovegalisib</w:t>
      </w:r>
      <w:r>
        <w:rPr>
          <w:rFonts w:ascii="Times New Roman" w:cs="Times New Roman" w:eastAsia="Times New Roman" w:hAnsi="Times New Roman"/>
          <w:sz w:val="18"/>
          <w:szCs w:val="18"/>
          <w:color w:val="auto"/>
        </w:rPr>
        <w:t>, an oral</w:t>
      </w:r>
      <w:r>
        <w:rPr>
          <w:rFonts w:ascii="Times New Roman" w:cs="Times New Roman" w:eastAsia="Times New Roman" w:hAnsi="Times New Roman"/>
          <w:sz w:val="18"/>
          <w:szCs w:val="18"/>
          <w:b w:val="1"/>
          <w:bCs w:val="1"/>
          <w:color w:val="auto"/>
        </w:rPr>
        <w:t xml:space="preserve"> inhibitor </w:t>
      </w:r>
      <w:r>
        <w:rPr>
          <w:rFonts w:ascii="Times New Roman" w:cs="Times New Roman" w:eastAsia="Times New Roman" w:hAnsi="Times New Roman"/>
          <w:sz w:val="18"/>
          <w:szCs w:val="18"/>
          <w:color w:val="auto"/>
        </w:rPr>
        <w:t>of mutant PI3K</w:t>
      </w:r>
      <w:r>
        <w:rPr>
          <w:rFonts w:ascii="Arial" w:cs="Arial" w:eastAsia="Arial" w:hAnsi="Arial"/>
          <w:sz w:val="18"/>
          <w:szCs w:val="18"/>
          <w:b w:val="1"/>
          <w:bCs w:val="1"/>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Relay Therapeutics, currently in Phase 3 trials for advanced HR+/HER2-breast cancer.</w:t>
      </w:r>
    </w:p>
    <w:p>
      <w:pPr>
        <w:spacing w:after="0" w:line="74"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Tersolisib</w:t>
      </w:r>
      <w:r>
        <w:rPr>
          <w:rFonts w:ascii="Times New Roman" w:cs="Times New Roman" w:eastAsia="Times New Roman" w:hAnsi="Times New Roman"/>
          <w:sz w:val="18"/>
          <w:szCs w:val="18"/>
          <w:color w:val="auto"/>
        </w:rPr>
        <w:t>, an oral inhibitor</w:t>
      </w:r>
      <w:r>
        <w:rPr>
          <w:rFonts w:ascii="Times New Roman" w:cs="Times New Roman" w:eastAsia="Times New Roman" w:hAnsi="Times New Roman"/>
          <w:sz w:val="18"/>
          <w:szCs w:val="18"/>
          <w:b w:val="1"/>
          <w:bCs w:val="1"/>
          <w:color w:val="auto"/>
        </w:rPr>
        <w:t xml:space="preserve"> of </w:t>
      </w:r>
      <w:r>
        <w:rPr>
          <w:rFonts w:ascii="Times New Roman" w:cs="Times New Roman" w:eastAsia="Times New Roman" w:hAnsi="Times New Roman"/>
          <w:sz w:val="18"/>
          <w:szCs w:val="18"/>
          <w:color w:val="auto"/>
        </w:rPr>
        <w:t>mutant PI3K</w:t>
      </w:r>
      <w:r>
        <w:rPr>
          <w:rFonts w:ascii="Arial" w:cs="Arial" w:eastAsia="Arial" w:hAnsi="Arial"/>
          <w:sz w:val="18"/>
          <w:szCs w:val="18"/>
          <w:b w:val="1"/>
          <w:bCs w:val="1"/>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Eli Lilly, currently in Phase 3 trials for HR+/HER2- breast cancer.</w:t>
      </w:r>
    </w:p>
    <w:p>
      <w:pPr>
        <w:spacing w:after="0" w:line="143" w:lineRule="exact"/>
        <w:rPr>
          <w:rFonts w:ascii="Times New Roman" w:cs="Times New Roman" w:eastAsia="Times New Roman" w:hAnsi="Times New Roman"/>
          <w:sz w:val="18"/>
          <w:szCs w:val="18"/>
          <w:color w:val="auto"/>
        </w:rPr>
      </w:pPr>
    </w:p>
    <w:p>
      <w:pPr>
        <w:ind w:left="1540" w:right="440" w:hanging="331"/>
        <w:spacing w:after="0" w:line="28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SNV4818</w:t>
      </w:r>
      <w:r>
        <w:rPr>
          <w:rFonts w:ascii="Times New Roman" w:cs="Times New Roman" w:eastAsia="Times New Roman" w:hAnsi="Times New Roman"/>
          <w:sz w:val="18"/>
          <w:szCs w:val="18"/>
          <w:color w:val="auto"/>
        </w:rPr>
        <w:t>, an oral inhibitor of mutant PI3K</w:t>
      </w:r>
      <w:r>
        <w:rPr>
          <w:rFonts w:ascii="Arial" w:cs="Arial" w:eastAsia="Arial" w:hAnsi="Arial"/>
          <w:sz w:val="18"/>
          <w:szCs w:val="18"/>
          <w:b w:val="1"/>
          <w:bCs w:val="1"/>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Novartis from Synnovation Therapeutics in March 2026, currently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Phase 1/2 </w:t>
      </w:r>
      <w:r>
        <w:rPr>
          <w:rFonts w:ascii="Times New Roman" w:cs="Times New Roman" w:eastAsia="Times New Roman" w:hAnsi="Times New Roman"/>
          <w:sz w:val="18"/>
          <w:szCs w:val="18"/>
          <w:b w:val="1"/>
          <w:bCs w:val="1"/>
          <w:color w:val="auto"/>
        </w:rPr>
        <w:t>trials</w:t>
      </w:r>
      <w:r>
        <w:rPr>
          <w:rFonts w:ascii="Times New Roman" w:cs="Times New Roman" w:eastAsia="Times New Roman" w:hAnsi="Times New Roman"/>
          <w:sz w:val="18"/>
          <w:szCs w:val="18"/>
          <w:color w:val="auto"/>
        </w:rPr>
        <w:t xml:space="preserve"> for HR+/HER2- breast cancer and other advanced solid tumors.</w:t>
      </w:r>
    </w:p>
    <w:p>
      <w:pPr>
        <w:spacing w:after="0" w:line="74" w:lineRule="exact"/>
        <w:rPr>
          <w:rFonts w:ascii="Times New Roman" w:cs="Times New Roman" w:eastAsia="Times New Roman" w:hAnsi="Times New Roman"/>
          <w:sz w:val="18"/>
          <w:szCs w:val="18"/>
          <w:color w:val="auto"/>
        </w:rPr>
      </w:pPr>
    </w:p>
    <w:p>
      <w:pPr>
        <w:ind w:left="1540" w:right="100" w:hanging="331"/>
        <w:spacing w:after="0" w:line="268"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OKI-219</w:t>
      </w:r>
      <w:r>
        <w:rPr>
          <w:rFonts w:ascii="Times New Roman" w:cs="Times New Roman" w:eastAsia="Times New Roman" w:hAnsi="Times New Roman"/>
          <w:sz w:val="18"/>
          <w:szCs w:val="18"/>
          <w:color w:val="auto"/>
        </w:rPr>
        <w:t>, an oral</w:t>
      </w:r>
      <w:r>
        <w:rPr>
          <w:rFonts w:ascii="Times New Roman" w:cs="Times New Roman" w:eastAsia="Times New Roman" w:hAnsi="Times New Roman"/>
          <w:sz w:val="18"/>
          <w:szCs w:val="18"/>
          <w:b w:val="1"/>
          <w:bCs w:val="1"/>
          <w:color w:val="auto"/>
        </w:rPr>
        <w:t xml:space="preserve"> inhibitor </w:t>
      </w:r>
      <w:r>
        <w:rPr>
          <w:rFonts w:ascii="Times New Roman" w:cs="Times New Roman" w:eastAsia="Times New Roman" w:hAnsi="Times New Roman"/>
          <w:sz w:val="18"/>
          <w:szCs w:val="18"/>
          <w:color w:val="auto"/>
        </w:rPr>
        <w:t>of mutant PI3K</w:t>
      </w:r>
      <w:r>
        <w:rPr>
          <w:rFonts w:ascii="Arial" w:cs="Arial" w:eastAsia="Arial" w:hAnsi="Arial"/>
          <w:sz w:val="18"/>
          <w:szCs w:val="18"/>
          <w:b w:val="1"/>
          <w:bCs w:val="1"/>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OnKure Therapeutics, currently in Phase 1a/1b trials for HR+/HER2- metastatic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breast cancer and other advanced solid tumors as monotherapy, in combination with fulvestrant, and in triplet combinations with fulvestrant/ribociclib and trastuzumab/tucatinib.</w:t>
      </w:r>
    </w:p>
    <w:p>
      <w:pPr>
        <w:spacing w:after="0" w:line="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AKT Inhibitor</w:t>
      </w:r>
    </w:p>
    <w:p>
      <w:pPr>
        <w:spacing w:after="0" w:line="126" w:lineRule="exact"/>
        <w:rPr>
          <w:rFonts w:ascii="Times New Roman" w:cs="Times New Roman" w:eastAsia="Times New Roman" w:hAnsi="Times New Roman"/>
          <w:sz w:val="18"/>
          <w:szCs w:val="18"/>
          <w:color w:val="auto"/>
        </w:rPr>
      </w:pPr>
    </w:p>
    <w:p>
      <w:pPr>
        <w:ind w:left="1540" w:right="420" w:hanging="331"/>
        <w:spacing w:after="0" w:line="286"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Afuresertib</w:t>
      </w:r>
      <w:r>
        <w:rPr>
          <w:rFonts w:ascii="Times New Roman" w:cs="Times New Roman" w:eastAsia="Times New Roman" w:hAnsi="Times New Roman"/>
          <w:sz w:val="18"/>
          <w:szCs w:val="18"/>
          <w:color w:val="auto"/>
        </w:rPr>
        <w:t>, an oral</w:t>
      </w:r>
      <w:r>
        <w:rPr>
          <w:rFonts w:ascii="Times New Roman" w:cs="Times New Roman" w:eastAsia="Times New Roman" w:hAnsi="Times New Roman"/>
          <w:sz w:val="18"/>
          <w:szCs w:val="18"/>
          <w:b w:val="1"/>
          <w:bCs w:val="1"/>
          <w:color w:val="auto"/>
        </w:rPr>
        <w:t xml:space="preserve"> pan </w:t>
      </w:r>
      <w:r>
        <w:rPr>
          <w:rFonts w:ascii="Times New Roman" w:cs="Times New Roman" w:eastAsia="Times New Roman" w:hAnsi="Times New Roman"/>
          <w:sz w:val="18"/>
          <w:szCs w:val="18"/>
          <w:color w:val="auto"/>
        </w:rPr>
        <w:t>AKT inhibitor from Laekna Therapeutics, currently in Phase 3 trials for advanced HR+/HER2- breast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Wherever possible, we pursue claims directed to the clinical product or product candidates. Such applications may not result in issued patents and, even if patents do issue, such patents may not be in a form that will provide us with meaningful protection for our product. We also rely on trade secrets that may be important to the development of our business. Trade secrets are difficult to protect and provide us with only limited protection.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PIKTOR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hold our rights to serabelisib and sapanisertib under exclusive license and asset purchase agreements with Takeda Pharmaceutical Company Limited, or Takeda, and its subsidiary Millennium Pharmaceuticals, Inc., or Millennium Takeda, as described in the “Material Agreements” section below. We are actively building our intellectual property portfolio around PIKTOR to protect the composition of matter of both serabelisib and sapanisertib including pharmaceutical formulation CMC development efforts, as well as for its method of use in the types of cancer in which we intend to develop it. Our patent portfolio for PIKTOR, as of March 23, 2026, contains 13 issued U.S. patents, four pending U.S. applications, and three pending patent cooperation treaty applications that are either solely owned by us or in-licensed, as well as certain foreign counterparts of a subset of these patent applications in foreign countries, including in Algeria, Australia, Brazil, Canada, Chile, China, Colombia, Europe, Eurasia, Georgia, Hong Kong, India, Indonesia, Israel, Japan, Kazakhstan, Macao, Malaysia, Mexico, Morocco, New Zealand, Nigeria, Peru, Philippines, Russia, Singapore, South Africa, South Korea, Tunisia, Ukraine, Uzbekistan, and Vietnam. For PIKTOR, these patents and patent applications are directed to compositions (e.g., including patents covering serabelisib and sapanisertib as compounds per se and pharmaceutical formulations), methods of manufacturing, and methods of treating cancer. If issued, the 20-year term expiration dates from which our patents will expire are between 2027 and 2046, not including any extension of the patent term that may be available in certain jurisdictions. We continue to seek to maximize the scope of our patent protection for PIKTOR.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Sensei Legacy Programs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Acquisition, we developed a portfolio of intellectual property relating to our TMAb conditionally active biologic platform and product candidates. As of March 23, 2026, our solely owned legacy patent estate included one issued U.S. patent, one pending U.S. patent application, and nine international patent applications. We also co-own five pending U.S. patent applications and five pending international patent applications.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own one U.S. non-provisional and eight international patent applications relating to composition of matter of our solnerstotug product candidate and method claims including use in combination with immune checkpoint protein inhibitors. Subject to payment of required maintenance fees, annuities, and other charges, any patents, if issued, are projected to expire in 2042.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Takeda License Agreement</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party to a license agreement with Takeda that was originally entered into in March 2019, or the Takeda License Agreement, between Takeda and Petra Pharma Corporation, or Petra, which was subsequently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assigned by Petra to Ravenna Pharmaceuticals, Inc., or Ravenna, and later acquired by Faeth in February 2021 in connection with its acquisition of assets related to serabelisib pursuant to an asset purchase agreement with Ravenna.</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the Takeda License Agreement, we are granted an exclusive, royalty-bearing license, with the right to grant sublicenses, under certain patents and know-how controlled by Takeda to research, develop, make, have made, import, export, use, have used, sell, have sold, offer for sale, or otherwise dispose of and commercialize serabelisib and certain back-up compounds, and analogs, derivatives, fragments or modifications that we obtain from serabelisib or such back-up compounds, or, collectively, the Serabelisib Compounds, and products comprising Serabelisib Compounds, or Serabelisib Products, for all human therapeutic uses excluding certain non-oncology indications, or the Serabelisib Field, throughout the world.</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solely responsible, at our cost, for the development, manufacture, and commercialization of the Serabelisib Compounds and Serabelisib Products in the Serabelisib Field. We are obligated to use commercially reasonable efforts to develop and commercialize at least one Serabelisib Product.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obligated to pay Takeda tiered single-digit royalties on annual net sales of Serabelisib Products (except for PIKTOR Products, the royalties for which are set forth in the Takeda Letter Agreements described below). The royalty payments are subject to reduction under certain customary circumstances. On a Serabelisib Product-by- Serabelisib Product and country-by-country basis, our royalty payment obligations commence on the first commercial sale of such Serabelisib Product in the applicable country until the latest to occur of (a) the last-to-expire valid claim within the licensed patents covering such Serabelisib Product in the applicable country, (b) the expiration of any applicable regulatory exclusivity for such Serabelisib Product in the applicable country and (c) ten (10) years after the first commercial sale of such Serabelisib Product in the applicable country. We are obligated to pay Takeda development, regulatory and sales milestone payments for Serabelisib Products under the Takeda Letter Agreements, as described below.</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Takeda License Agreement will remain in effect on a Serabelisib Product-by-Serabelisib Product and country-by-country basis until expiration of all royalty payment obligations, unless earlier terminated. Following expiration, the licenses granted to us become fully-paid, royalty-free, irrevocable and perpetual.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Either party may terminate the Takeda License Agreement in whole or, to the extent applicable to the subject matter of the breach, on a Serabelisib Product-by-Serabelisib Product or country-by-country basis, in the event of the other party’s uncured material breach. Either party may also terminate the Takeda License Agreement in its entirety in connection with the other party’s insolvency. Takeda may terminate the Takeda License Agreement if we challenge a licensed patent.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abandon development and commercialization of all Serabelisib Compounds and Serabelisib Products, Takeda has the right to terminate the Takeda License Agreement and assume development and commercialization responsibilities for the Serabelisib Compounds and Serabelisib Products. If Takeda elects to take over development and commercialization responsibilities, we are required to engage in good faith discussions to grant Takeda a license under certain patents and know-how that we control that are related to the Serabelisib Products or necessary or useful for the exploitation of the Serabelisib Products, but we are not obligated to grant such a license.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Asset Purchase Agreement with Millennium Takeda</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party to an amended and restated asset purchase agreement with Millennium Takeda that was originally entered into in May 2023, or the Millennium Takeda Asset Purchase Agreement, between Millennium Takeda and Calithera Biosciences, Inc., or Calithera, which was acquired by Faeth in May 2023 in connection with its acquisition of assets related to sapanisertib pursuant to an asset purchase agreement with Calithera.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Millennium Takeda Asset Purchase Agreement, Millennium Takeda assigned to Calithera certain know-how and certain patents and patent applications, or the Assigned Patent Rights, related to sapanisertib that Faeth subsequently acquired from Calithera in May 2023 under the asset purchase agreement. Under the Millennium Takeda Asset Purchase Agreement, we are also granted a non-exclusive license, with the right to grant sublicenses, under certain patent rights and know-how controlled by Millennium Takeda to research, develop, make, have made, use and import sapanisertib, compounds that are disclosed or claimed in any Assigned Patent Right that also discloses sapanisertib and certain other pharmaceutical forms of sapanisertib or such compounds, or, collectively, the Sapanisertib Program Molecules, and to research, develop, make, have made, use, sell, offer for sale, and import products containing or comprising Sapanisertib Program Molecules, or the Sapanisertib Products, in any therapeutic, prophylactic, preventative or diagnostic use in or for animals, including humans, or the Sapanisertib Field, throughout the world.</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research and develop, including to obtain regulatory approval for, and upon obtaining regulatory approval to commercialize at least one Sapanisertib Product in each of the United States, Japan and at least three countries selected from United Kingdom, Germany, France, Spain and Italy.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obligated to pay Millennium Takeda tiered high single-digit to low double-digit royalties on annual net sales of all Sapanisertib Products (except for PIKTOR Products, the royalties for which are set forth in the Takeda Letter Agreements described below). On a Sapanisertib Product-by-Sapanisertib Product and country-by-country basis, our obligation to pay Millennium Takeda royalties commences on the first commercial sale of such Sapanisertib Product in the applicable country until the latest to occur of (a) the last-to-expire valid claim within the Assigned Patents and licensed patents covering such Sapanisertib Product in the applicable country, (b) the expiration of any applicable regulatory exclusivity for such Sapanisertib Product in the applicable country and (c) ten (10) years after the first commercial sale of such Sapanisertib Product in the applicable country. The royalty payments are subject to reduction under certain customary circumstances. Upon expiration of our royalty payment obligations with respect to a Sapanisertib Product and a country, the license granted to us for such Sapanisertib Product in such country will become fully-paid, perpetual, and irrevocable. We are also obligated to pay Takeda development, regulatory and sales milestone payments for Sapanisertib Products under the Takeda Letter Agreements described below.</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Millennium Takeda Asset Purchase Agreement will remain in effect until expiration of our obligations to make royalty payments to Takeda, unless earlier terminated. Either party may terminate the Millennium Takeda Asset Purchase Agreement in connection with the other party’s uncured material breach or insolvency. Upon termination of the Millennium Takeda Asset Purchase Agreement, all licenses granted by Millennium Takeda to us automatically terminate. Upon Millennium Takeda’s request after termination, we are required to assign to Millennium Takeda the acquired assets and certain intellectual property generated in the performance of the agreement that solely relate to, or were used by us or on our behalf, Sapanisertib Program Molecules and Sapanisertib Products and all regulatory materials that are needed to continue fully exploiting Sapanisertib Program Molecules and Sapanisertib Products.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Agreements with Takeda and Millennium Takeda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 letter agreement with Millennium Takeda that was entered into in May 2023, or the First Takeda Letter Agreement, to amend the Millennium Takeda Asset Purchase Agreement and to a letter agreement with Takeda and Millennium Takeda that was entered into in January 2026, or the Second Takeda Letter Agreement, to amend the Takeda License Agreement, the Millennium Takeda Asset Purchase Agreement, and the First Takeda Letter Agreement. The First Takeda Letter Agreement and the Second Takeda Letter Agreement are referred to collectively as the “Takeda Letter Agreements.”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Pursuant to the Takeda Letter Agreements, we are obligated to pay Takeda and Millennium Takeda up to an aggregate of $119.0 million in development, regulatory, and commercial launch milestone payments and up to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aggregate of $250.0 million in sales milestone payments for PIKTOR and any other products that contain both a Serabelisib Compound and a Sapanisertib Program Molecule as the only active ingredients, or collectively PIKTOR Products, Serabelisib Products, and Sapanisertib Products.</w:t>
      </w:r>
    </w:p>
    <w:p>
      <w:pPr>
        <w:spacing w:after="0" w:line="14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also obligated to pay Takeda and Millennium Takeda tiered single-digit royalties on annual net sales of PIKTOR Products. On a PIKTOR Product-by-PIKTOR Product and country-by-country basis, our obligation to pay royalties commences on the first commercial sale of such PIKTOR Product in the applicable country and continues until the latest to occur of (a) the last-to-expire valid claim within the Assigned Patents under the Millennium Takeda Asset Purchase Agreement or the licensed patents under the Millennium Takeda Asset Purchase Agreement or the Takeda License Agreement, in each case, covering such PIKTOR Product in the applicable country, (b) the expiration of any regulatory exclusivity for such PIKTOR Product in the applicable country and (c) ten (10) years after the first commercial sale of such PIKTOR Product in the applicable country. The royalty payments for PIKTOR Products are subject to reduction under certain customary circumstances.</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Second Takeda Letter Agreement specifies that PIKTOR Products are considered Serabelisib Products under the Takeda License Agreement and Sapanisertib Products under the Millennium Takeda Asset Purchase Agreement. The Second Takeda Letter Agreement also amends the Takeda License Agreement and the Millennium Takeda Asset Purchase Agreement to add certain specific IND-related materials for PIKTOR Products controlled by Takeda or Millennium Takeda to the know-how licensed to us under those agreements.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University of California License Agreement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an exclusive license agreement with The Regents of the University of California, or The Regents, that was originally entered into in August 2007 between The Regents and Intellikine, Inc., or Intellikine, and amended in March 2009, July 2009, November 2010, September 2014, August 2021 and February 2022, or the UC License Agreement, which was subsequently assigned by Intellikine to Millennium Takeda, which was subsequently assigned by Millennium Takeda to Calithera and later acquired by Faeth Therapeutics in May 2023 in connection with its acquisition of assets related to sapanisertib pursuant to its asset purchase agreement with Calithera.</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UC License Agreement, we are granted a license, with the right to grant sublicenses, to make, have made, use, sell, offer for sale and import (a) products that are covered by the claims of certain patent rights controlled by The Regents, or the UC Licensed Products, or that are produced by methods covered by such patent rights, or the UC Licensed Methods, and services that involve UC Licensed Products or UC Licensed Methods or that involve certain materials or know-how controlled by The Regents, or the UC Licensed Services, and (b) to practice the UC Licensed Methods, in each case, (a) and (b), in the United States and all other countries where The Regents may grant such licenses, or the UC Licensed Territory, for all fields and all uses, or the UC Licensed Field. The license granted to us is exclusive with respect to such patent rights and is non-exclusive with respect to such know-how.</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obligated to proceed diligently with the development, manufacture, and sale of UC Licensed Products and UC Licensed Services and earnestly and diligently to market UC Licensed Products and UC Licensed Services in quantities intended to be sufficient to meet market demand. We are also required to meet specific development diligence timelines for certain UC Licensed Products, which may be extended subject to payment of an extension fee. If we fail to meet, subject to a cure period, or extend such timelines, The Regents have the right to terminate the UC License Agreement or to convert the licenses to a non-exclusive basis with respect to the relevant UC Licensed Products.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required to pay The Regents an annual license maintenance fee of $25,000 until we begin paying royalties under the UC License Agreement. We are also required to pay The Regents a low double-digit percentage of income that we receive from our sublicensees if we sublicense the rights granted to us under the UC License Agreement. We are also obligated to pay The Regents tiered low single-digit royalties based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cumulative net sales of UC Licensed Products, UC Licensed Services and UC Licensed Methods. Beginning with the year of the first commercial sale of the UC Licensed Product and continuing until expiration of all licensed patent rights, we are required to pay The Regents a minimum annual royalty of $25,000, which will be credited against the royalties owed to The Regents. The royalty payments owed to The Regents are subject to reduction under certain customary circumstances. On a UC Licensed Product-by-UC Licensed Product, UC Licensed Service-by-UC Licensed Service, UC Licensed Method-by-UC Licensed Method and country-by-country basis, our obligation to pay royalties commences on the first commercial sale of such UC Licensed Product, UC Licensed Service, or UC Licensed Method, as applicable, in the relevant country and continues until expiration of the last-to-expire valid claim within the licensed patent rights that covers such UC Licensed Product, UC Licensed Service, or UC Licensed Method, as applicable, in the relevant country. We are also obligated to pay The Regents up to $800,000 in development and regulatory milestones payments for certain UC Licensed Products.</w:t>
      </w:r>
    </w:p>
    <w:p>
      <w:pPr>
        <w:spacing w:after="0" w:line="18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UC License Agreement will remain in effect until expiration or abandonment of the licensed patents. The UC License Agreement will automatically terminate in connection with our insolvency. The Regents have the right to terminate the UC License Agreement in its entirety or with respect to specific licensed patents based on our uncured material breach. We have the right to terminate the UC License Agreement in its entirety or with respect to specific licensed patents on a country-by-country basis, upon advance written notice to The Regents.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July 14, 2021, we entered into a First Amended and Restated Collaboration Agreement, or the Adimab Agreement, with Adimab, LLC, or Adimab. Under the Adimab Agreement, we selected a number of biological targets against which Adimab used its proprietary platform technology to discover and/or optimize antibodies based upon mutually agreed upon research plans, and we have the ability to select a specified number of additional biological targets against which Adimab will provide additional antibody discovery and optimization services. During the research term and evaluation term for a given research program with Adimab, or Research Program, we have a non-exclusive worldwide license under Adimab’s technology to perform certain research activities and to evaluate the program antibodies to determine whether we want to exercise our option to obtain an exclusive license to exploit such antibodies, referred to herein as a “Development and Commercialization Option.”</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Adimab Agreement, we previously paid Adimab a one-time, non-creditable, non-refundable technology access fee of $50,000. We are also obligated to make certain technical milestone payments to Adimab for each Research Program up to $275,000. Upon exercise of a Development and Commercialization Option, we are obligated to pay to Adimab a non-creditable, nonrefundable option exercise fee of $500,000 plus an amount equal to any technical milestone payment which was not previously paid with respect to such Research Program and less any option extension fees paid with respect to such Research Program. On a product-by-product basis, we will pay Adimab upon the achievement of various clinical and regulatory milestone events with total milestone payments up to an aggregate of $13.3 million for the first product from a Research Program and up to an aggregate of $6.6 million for each subsequent product from a Research Program. For any product that is commercialized, on a country-by-country and product-by-product basis, we are obligated to pay to Adimab a low-to-mid single-digit percentage of annual worldwide net sales of such product during the applicable royalty period in each country.</w:t>
      </w:r>
    </w:p>
    <w:p>
      <w:pPr>
        <w:spacing w:after="0" w:line="188"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Solnerstotug is subject to the terms of the Adimab Agreement, and in December 2022 we exercised our Development and Commercialization Option for the Research Program from which solnerstotug was generated. To date, we have paid $1,875,000 to Adimab pursuant to the Adimab Agreement for the technology access fee, Development and Commercialization Option, program delivery fees and a milestone payment for the first patient dosed in our Phase 1/2 clinical trial of solnerstotug.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9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clinical candidates as well as new platform and core technologies. Our commercial success will depend in part on obtaining and maintaining patent protection and trade secret protection of our current and future product candidates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88"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We maintain a portfolio of registered and pending trademarks to protect our brand identity. In addition to patent and trademark protection,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These and other agreements, such as invention assignment agreements, grant us ownership of technologies that are developed through a relationship with a third party.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the quality and amount of the current sapanisertib and serabelisib drug supply (DS) and drug product (DP) is appropriate for our current and expected clinical trials. Further CMC development is ongoing, including activities leading to the manufacture of batches in support of potential future registrational trials, New Drug Application, or NDA, submissions, and required regulatory validation of DS/DP manufacturing processes in anticipation of any potential commercial launch.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Opportunity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the commercial potential for PIKTOR, if approved, in advanced HR+/HER2- breast cancer and endometrial cancer is substantial given the prevalence of the conditions, the urgency of the unmet medical need and the potential breadth of PIKTOR’s benefit across these substantial patient populations. In the United States alone, we believe the total addressable market for our currently targeted indications, second-line HR+/HER2- breast cancer and second-line advanced endometrial cancer, is approximately $6 billion based on our analysis of the patient populations and current pricing paradigms for these treatment settings, as of 2026, as well as third party estimates of these markets and the publicly disclosed sales totals achieved by currently available treatments for these settings. Within this overall total, HR+/HER2- breast cancer accounts for approximately $5 billion and advanced endometrial cancer the remaining $1 billion. Given our stage of development, however, we have not yet established either a commercial organization or distribution capabilities.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United States generally involves the following:</w:t>
      </w:r>
    </w:p>
    <w:p>
      <w:pPr>
        <w:spacing w:after="0" w:line="85" w:lineRule="exact"/>
        <w:rPr>
          <w:sz w:val="20"/>
          <w:szCs w:val="20"/>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Good Laboratory Practice regulations and other applicable regulations;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each trial may be initiated;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regulations to evaluate the safety and efficacy of the product candidate for its intended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or cGMP, regulations to assure that the facilities, methods and controls are adequate to preserve the drug’s identity, strength, quality and purity;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 regulations;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162" w:lineRule="exact"/>
        <w:rPr>
          <w:sz w:val="20"/>
          <w:szCs w:val="20"/>
          <w:color w:val="auto"/>
        </w:rPr>
      </w:pPr>
    </w:p>
    <w:p>
      <w:pPr>
        <w:ind w:left="120" w:right="280" w:firstLine="440"/>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in such case, the trials may not begin or continue until the FDA notifies the sponsor that the hold has been lifted.</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All clinical trials must be conducted under the supervision of one or more qualified investigators in accordance with GCP regulations, which include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Furthermore,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trials and clinical trial results to public registries, including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31" w:lineRule="exact"/>
        <w:rPr>
          <w:sz w:val="20"/>
          <w:szCs w:val="20"/>
          <w:color w:val="auto"/>
        </w:rPr>
      </w:pPr>
    </w:p>
    <w:p>
      <w:pPr>
        <w:jc w:val="both"/>
        <w:ind w:left="1080" w:right="3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34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FDA Regulatory Framework for Fixed-Combination Prescription Drugs for Humans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FDA’s regulation at 21 CFR § 300.50 governing fixed-combination drug products provides, among other things, that two or more drugs may be combined in a single dosage form when each component contributes to the claimed effects and the dosage of each component (amount, frequency, duration) is such that the combination is safe and effective for a significant patient population requiring such concurrent therapy as defined in the labeling for the drug. This rule is meant to ensure that any fixed-dose combination drug provides an advantage to the patient over and above that obtained when one of the individual ingredients is used in the usual safe and effective dose.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 regulations.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the FDA evaluates an NDA and conducts inspections of manufacturing facilities where the investigational product and/or its drug substance will be produced, the FDA may issue an approval letter or a Complete Response Letter, or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such as additional clinical trials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and/or effectiveness following NDA approval, and may require additional testing and surveillance programs to monitor the safety of approved products that have been commercialized. The FDA may also place other conditions on approval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94"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 regulations and other aspects of regulatory compliance.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or AEs, of unanticipated severity or frequency, or with manufacturing processes or failure to comply with regulatory requirements, may result in revisions to the approved labeling to add new safety information; imposition of requirements for post-market trials or clinical trials to assess new safety risks; or imposition of distribution restrictions or other restrictions under a REMS program. Other potential consequences include:</w:t>
      </w:r>
    </w:p>
    <w:p>
      <w:pPr>
        <w:spacing w:after="0" w:line="8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ongoing or planned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12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or the Orange Book. Drugs listed in the Orange Book can, in turn, be cited by potential competitors in support of approval of an ANDA or 505(b)(2) NDA.</w:t>
      </w:r>
    </w:p>
    <w:p>
      <w:pPr>
        <w:spacing w:after="0" w:line="19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required for approval. However, an application may be submitted after four years if it contains a certification of patent invalidity or non-infringement to one of the patents listed with the FDA by the innovator NDA holder.</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12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Manufacturing, sales, promotion and other activities following product approval are also subject to regulation by numerous regulatory authorities in the United States in addition to the FDA, including but not limited to the Centers for Medicare &amp; Medicaid Services, or CMS, other divisions of the Department of Health and Human Services, or HHS, the Department of Justice, the Drug Enforcement Administration, and state and local governments.</w:t>
      </w:r>
    </w:p>
    <w:p>
      <w:pPr>
        <w:spacing w:after="0" w:line="15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companies sell, market and distribute pharmaceutical products. In addition, transparency laws and patient privacy regulations by federal and state governments and by governments in foreign jurisdictions can apply to the manufacturing, sales, promotion and other activities of pharmaceutical manufacturers. The applicable federal, state and foreign healthcare laws and regulations that can affect a pharmaceutical company’s operations include:</w:t>
      </w:r>
    </w:p>
    <w:p>
      <w:pPr>
        <w:spacing w:after="0" w:line="94" w:lineRule="exact"/>
        <w:rPr>
          <w:sz w:val="20"/>
          <w:szCs w:val="20"/>
          <w:color w:val="auto"/>
        </w:rPr>
      </w:pPr>
    </w:p>
    <w:p>
      <w:pPr>
        <w:ind w:left="1080" w:hanging="424"/>
        <w:spacing w:after="0" w:line="253"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and require strict compliance in order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81" w:lineRule="auto"/>
        <w:rPr>
          <w:sz w:val="20"/>
          <w:szCs w:val="20"/>
          <w:color w:val="auto"/>
        </w:rPr>
      </w:pPr>
      <w:r>
        <w:rPr>
          <w:rFonts w:ascii="Times New Roman" w:cs="Times New Roman" w:eastAsia="Times New Roman" w:hAnsi="Times New Roman"/>
          <w:sz w:val="17"/>
          <w:szCs w:val="17"/>
          <w:color w:val="auto"/>
        </w:rPr>
        <w:t>to offer protection. Practices that may be alleged to be intended to induce prescribing, purchases or recommendations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w:t>
      </w:r>
    </w:p>
    <w:p>
      <w:pPr>
        <w:spacing w:after="0" w:line="70" w:lineRule="exact"/>
        <w:rPr>
          <w:sz w:val="20"/>
          <w:szCs w:val="20"/>
          <w:color w:val="auto"/>
        </w:rPr>
      </w:pPr>
    </w:p>
    <w:p>
      <w:pPr>
        <w:ind w:left="1080" w:right="100" w:hanging="424"/>
        <w:spacing w:after="0" w:line="25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3"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whole or in part, by a federal or state governmental program;</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4"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or otherwise process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3"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legislation commonly referred to as the Physician Payments Sunshine Act, created under the Patient Protection and Affordable Care Act, as amended by the Health Care and Education Reconciliation Act of 2010, or collectively the ACA, and its implementing regulations, which requires manufacturers of drugs, devices, biologics and medical supplies for which payment is available under Medicare, Medicaid or the Children’s Health Insurance Program (with certain exceptions) to report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340"/>
        <w:spacing w:after="0" w:line="261" w:lineRule="auto"/>
        <w:rPr>
          <w:sz w:val="20"/>
          <w:szCs w:val="20"/>
          <w:color w:val="auto"/>
        </w:rPr>
      </w:pPr>
      <w:r>
        <w:rPr>
          <w:rFonts w:ascii="Times New Roman" w:cs="Times New Roman" w:eastAsia="Times New Roman" w:hAnsi="Times New Roman"/>
          <w:sz w:val="18"/>
          <w:szCs w:val="18"/>
          <w:color w:val="auto"/>
        </w:rPr>
        <w:t>annually to CMS, information related to payments or other transfers of value made to physicians (defined to include doctors, dentists, optometrists, podiatrists and chiropractors), other healthcare professions (such as physicians assistants and nurse practitioners), and teaching hospitals, as well as information regarding ownership and investment interests held by physicians and their immediate family members;</w:t>
      </w:r>
    </w:p>
    <w:p>
      <w:pPr>
        <w:spacing w:after="0" w:line="85" w:lineRule="exact"/>
        <w:rPr>
          <w:sz w:val="20"/>
          <w:szCs w:val="20"/>
          <w:color w:val="auto"/>
        </w:rPr>
      </w:pPr>
    </w:p>
    <w:p>
      <w:pPr>
        <w:ind w:left="1080" w:right="5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53"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certain regulatory licenses to manufacture or distribute products commercially and/or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9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Violations of the aforementioned laws can result in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under a corporate integrity agreement or other agreement to resolve allegations of non-compliance with these laws. Additionally, private individuals have the ability to bring actions on behalf of the U.S. government under the federal FCA as well as under the false claims laws of several states against a pharmaceutical manufacturer. The approval and commercialization of a pharmaceutical manufacturer’s product candidates outside the United States will also likely subject it to foreign equivalents of the healthcare laws mentioned above, among other foreign laws. Lastly,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 Any action for violation of these laws, even if successfully defended, could cause a pharmaceutical company to incur significant legal expenses and divert management’s attention from the operation of the business.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impacts the U.S. pharmaceutical industry.</w:t>
      </w:r>
    </w:p>
    <w:p>
      <w:pPr>
        <w:spacing w:after="0" w:line="176"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There have been amendments and executive, judicial and congressional challenges to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7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These changes include aggregate reductions to Medicare payments to providers of 2% per fiscal year, which began in 2013 and will remain in effect until 2032 unless additional Congressional action is taken.</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9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procedures to determine what pharmaceutical products and which suppliers will be included in their prescription drug and other health care programs.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measures could reduce the ultimate demand for our products, once approved, or put pressure on our product pricing.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additional foreign, federal and state healthcare reform measures will be adopted in the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Patent-Term Restoration and Marketing Exclusivity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the testing phase, plus the time between the submission date of an NDA and the approval of that application, or the approval phase. This patent term restoration period may be reduced by the FDA if it finds that applicant did not act with due diligence during the testing phase or the approval phase.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if circumstances permit, we intend to apply for restoration of patent term for one of our then owned or licensed patents, if any, to add patent life beyond its current expiration date, depending on the expected length of the clinical trials and other factors involved in the filing of the relevant NDA. Even if, at the relevant time, we have a valid issued patent covering our product, we may not be granted an extension if we were, for example, to fail to apply within applicable deadlines, to fail to apply prior to expiration of relevant patents or otherwise to fail to satisfy applicable requirements. Moreover, the applicable time period or the scope of patent protection afforded could be less than we request. If we are unable to obtain patent term extension or restoration or the term of any such extension is less than we request, and we do not have any other exclusivity, our competitors may obtain approval of competing products following our patent expiration and our ability to generate revenues could be materially adversely affected.</w:t>
      </w:r>
    </w:p>
    <w:p>
      <w:pPr>
        <w:spacing w:after="0" w:line="19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Some of our products may also be entitled to certain non-patent-related data exclusivity under the FDCA. The FDCA provides a five-year period of non-patent data exclusivity within the U.S. to the first applicant to obtain approval of an NDA for a new chemical entity (“NCE”). A drug is a new chemical entity if the FDA has not previously approved any other new drug containing the same active moiety, which is the molecule or ion responsible for the action of the drug substance. During the exclusivity period, an abbreviated new drug application (“ANDA”), or a 505(b)(2) NDA may not be submitted by another company for another drug containing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Orange Book by the innovator NDA holder. The FDCA also provides three years of marketing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three-year exclusivity.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submitting a full NDA would be required to conduct or obtain a right of reference to all of the non-clinical studies and adequate and well-controlled clinical trials necessary to demonstrate safety and efficacy.</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Certain additional periods of exclusivity may be available if a product is indicated for use in a rare disease or condition or is studied for pediatric indications. If a product that has orphan designation subsequently receives the first FDA approval for the disease or condition for which it has such designation, the product is entitled to orphan product exclusivity, which the FDA has interpreted to preclude approving for seven years any other sponsor’s application to market the same drug for the same use for which the drug has been granted orphan drug designation, except in limited circumstances, such as a showing of clinical superiority to the product with orphan exclusivity. Orphan exclusivity operates independently from other regulatory exclusivities and other protection against generic competition, including patents that we hold for our products. A sponsor of a product application that has received an orphan drug designation may also be granted tax incentives for clinical research undertaken to support the application.</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Orphan drug exclusivity does not block approval of competing products intended for the orphan-protected indication but containing a different active moiety, or containing the same moiety but intended for a different use. Orphan product exclusivity that could block a competitor to one of our products also could block the approval of one of our products for seven years if a competitor obtains approval of the product containing the same moiety for the same orphan disease or condition.</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The FDASIA made permanent the Best Pharmaceuticals for Children Act, or BPCA, which extends any existing regulatory exclusivity and patent periods by an additional six months if the sponsor conducts clinical trials in children in response to a Written Request from the FDA.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regulation of companion diagnostics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product candidates may require use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use of companion diagnostic is essential to safe and effective use of a drug or biologic product, then the FDA generally will require approval or clearance of the diagnostic contemporaneously with the approval of the therapeutic product. On August 6, 2014, the FDA issued a final guidance document addressing the development and approval process for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According to the guidance, for novel candidates such as our product candidates, a companion diagnostic device and its corresponding drug or biologic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 xml:space="preserve">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In July 2016, the FDA issued a draft guidance document intended to further assist sponsors of therapeutic products and sponsors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on issues related to co-development of these products.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FDA generally requires companion diagnostics intended to select the patients who will respond to cancer treatment to obtain approval of a PMA for that diagnostic contemporaneously with approval of the therapeutic. The review of these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therapeutic candidates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or QSR, which imposes elaborate testing, control, documentation and other quality assurance requirements.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 FDA evaluations of both the PMA application and the manufacturing facilities are favorable, the FDA will either issue an approval letter or a not-approvable letter, which usually contains a number of conditions that must be met in order to secure the final approval of the PMA,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FDA’s evaluation of the PMA or manufacturing facilities is not favorable, the FDA will issue an order denying approval of the PMA or issue a not approvable order.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 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the European Union, or EU, clinical and commercial drug products are subject to extensive regulatory requirements. As in the United States, medicinal products can be marketed only if a marketing authorization from the competent regulatory agencies has been obtained.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the European Economic Area, or EEA, which is comprised of the 27 member states of the EU and Iceland, Liechtenstein, Norway, medicinal products can only be commercialized after obtaining a Marketing Authorization, or MA. There are two types of marketing authorizations.</w:t>
      </w:r>
    </w:p>
    <w:p>
      <w:pPr>
        <w:spacing w:after="0" w:line="67" w:lineRule="exact"/>
        <w:rPr>
          <w:sz w:val="20"/>
          <w:szCs w:val="20"/>
          <w:color w:val="auto"/>
        </w:rPr>
      </w:pPr>
    </w:p>
    <w:p>
      <w:pPr>
        <w:ind w:left="1080" w:right="20" w:hanging="424"/>
        <w:spacing w:after="0" w:line="25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9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 through the Decentralized Procedure. Under the Decentralized Procedure an identical dossier is submitted to the competent authorities of each of the member state in which the MA is sought, one of which is selected by the applicant as the Reference Member State, or RMS. The competent authority of the RMS prepares a draft assessment report, a draft summary of the product characteristics, or SPC, and a draft of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56" w:lineRule="auto"/>
        <w:rPr>
          <w:sz w:val="20"/>
          <w:szCs w:val="20"/>
          <w:color w:val="auto"/>
        </w:rPr>
      </w:pPr>
      <w:r>
        <w:rPr>
          <w:rFonts w:ascii="Times New Roman" w:cs="Times New Roman" w:eastAsia="Times New Roman" w:hAnsi="Times New Roman"/>
          <w:sz w:val="18"/>
          <w:szCs w:val="18"/>
          <w:color w:val="auto"/>
        </w:rPr>
        <w:t>labeling and package leaflet, which are sent to the other member state,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 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Orphan Designation and Exclusivity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European Union community (or where it is unlikely that the development of the medicine would generate sufficient return to justify the investment) and for which no satisfactory method of diagnosis, prevention or treatment has been authorized (or, if a method exists, the product would be a significant benefit to those affected).</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 Orphan drug designation does not convey any advantage in, or shorten the duration of, the regulatory review and approval process.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Marketing</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European countries, such as the U.K. Bribery Act 2010. Infringement of these laws could result in substantial fines and imprisonment.</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as well as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process personal data (including sensitive health-related data). Accordingly, we are, and may in the future become, subject to numerous data privacy and security obligations, including federal, state, local, and foreign laws, regulations, guidance, and industry standards related to data privacy, security, and protection. Such obligations may include, without limitation, the European Union’s General Data Protection Regulation 2016/679 (“EU GDPR”) and the EU GDPR as it forms part of United Kingdom (“UK”) law by virtue of section 3 of the European Union (Withdrawal) Act 2018 (“UK GDPR”).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Numerous U.S. states have enacted comprehensive consumer privacy laws that impose certain obligations on covered businesses, including the provision of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health data, such as conducting data privacy impact assessments. These state laws often allow for the imposition of statutory fines for noncompliance. Outside the United States,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See the section titled “We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(or that of the third parties with whom we work)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 for additional information about the laws and regulations to which we may become subject and about the risks to our business associated with such laws and regulations.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Sales of our products, when and if approved,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coverage determination is often a time-consuming and costly process that will require us to provide scientific and clinical support for the use of our products to each payor separately, with no assurance that coverage and adequate reimbursement will be obtained. Additionally, we, or our collaborators, will be required to obtain coverage and reimbursement for our companion diagnostic tests separate and apart from the coverage and reimbursement we may seek for our product candidates.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biosimilars for branded prescription drugs.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third-party payors fail to provide coverage and reimbursement. Obtaining coverage and adequate reimbursement for newly approved drugs and biologics is a time-consuming and costly process, and coverage may be more limited than the purposes for which a drug is approved by the FDA or comparable foreign regulatory authorities. Assuming coverage is obtained for a given product by a third-party payor, the resulting reimbursement payment rates may not be adequate or may require co-payments that patients find unacceptably high. Additionally, coverage policies and third-party reimbursement rates may change at any time. Patients who are prescribed medications for the treatment of their conditions, and their prescribing physicians, generally rely on third-party payors to reimburse all or part of the costs associated with their prescription drugs. Patients are unlikely to use products unless coverage is provided and reimbursement is adequate to cover all or a significant portion of the cost of prescribed products.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November 2025, as part of cash preservation measures associated with our previously announced strategic review process, our Board of Directors approved a reduction in force of approximately 65% of our workforce, or the 2025 Restructuring. The 2025 Restructuring was substantially completed during the fourth quarter of 2025. We incurred total charges of approximately $1.7 million in connection with the 2025 Restructuring, consisting primarily of one-time employee termination costs, including severance payments and other employee termination-related expenses, that were contingent upon the impacted employees’ execution and non-revocation of separation agreements. Substantially all of the 2025 Restructuring costs were recorded in 2025, with none expected to be recorded in 2026.</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As of March 23, 2026, we had 29 full-time employees, including 23 employees who joined in connection with our acquisition of Faeth. We consider our relationship with our employees to be good.</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In connection with the Acquisition, our near-term human capital priorities include the successful integration of former Faeth personnel and the continued development of our organization to support the advancement of our clinical programs, including our planned breast cancer trial. We anticipate selectively expanding our workforce as our clinical and operational needs evolve.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“SNSE”.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were originally incorporated as Panacea Pharmaceuticals, Inc., or Panacea, under the laws of the state of Maryland in 1999. In December 2017, we reincorporated in Delaware and changed our name to Sensei Biotherapeutics, Inc. Our principal executive offices are located at 1405 Research Blvd, Rockville, MD 20850. Our telephone number is (240) 243-8000.</w:t>
      </w:r>
    </w:p>
    <w:p>
      <w:pPr>
        <w:spacing w:after="0" w:line="176" w:lineRule="exact"/>
        <w:rPr>
          <w:sz w:val="20"/>
          <w:szCs w:val="20"/>
          <w:color w:val="auto"/>
        </w:rPr>
      </w:pPr>
    </w:p>
    <w:p>
      <w:pPr>
        <w:ind w:left="120" w:right="280" w:firstLine="440"/>
        <w:spacing w:after="0" w:line="296" w:lineRule="auto"/>
        <w:rPr>
          <w:sz w:val="20"/>
          <w:szCs w:val="20"/>
          <w:color w:val="auto"/>
        </w:rPr>
      </w:pPr>
      <w:r>
        <w:rPr>
          <w:rFonts w:ascii="Times New Roman" w:cs="Times New Roman" w:eastAsia="Times New Roman" w:hAnsi="Times New Roman"/>
          <w:sz w:val="17"/>
          <w:szCs w:val="17"/>
          <w:color w:val="auto"/>
        </w:rPr>
        <w:t xml:space="preserve">The Faeth design logo, “Faeth”, “Faeth Therapeutics,” and our other registered or common law trademarks, service marks, or trade names appearing in this Report are the property of Sensei Biotherapeutics, Inc. Other trade names, trademarks and service marks used in this Report are the property of their respective owners. Solely for convenience, trademarks and trade names referred to in this Report exclude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TM symbols.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website address is www.senseibio.com. Our Annual Report on Form 10-K, Quarterly Reports on Form 10-Q, Current Reports on Form 8-K, and amendments to reports filed pursuant to Sections 13(a) and 15(d) of the Exchange Act are made available free of charge on or through our website 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82"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35"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gridSpan w:val="20"/>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9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Agreement and Plan of Merger, dated February 17, 2026, by and among Sensei Biotherapeutics, Inc., Sapphire First Merger Sub, Inc.,</w:t>
              </w:r>
            </w:hyperlink>
          </w:p>
        </w:tc>
        <w:tc>
          <w:tcPr>
            <w:tcW w:w="2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25"/>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Sapphire Second Merger Sub, LLC, Faeth Holdings Therapeutics, Inc. and Faeth Therapeutics, LLC (incorporated by reference to</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Exhibit 2.1 to the Registrant’s Current Report on Form 8-K (File No. 001-39980), filed with the SEC on February 18, 2026)</w:t>
              </w:r>
            </w:hyperlink>
          </w:p>
        </w:tc>
        <w:tc>
          <w:tcPr>
            <w:tcW w:w="5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9920" w:type="dxa"/>
            <w:vAlign w:val="bottom"/>
            <w:gridSpan w:val="2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Certificate of Incorporation (incorporated by reference to Exhibit 3.1 to the Registrant’s Current Report on Form</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8-K (File No. 001-39980), filed with the SEC on February 11, 2021).</w:t>
              </w:r>
            </w:hyperlink>
          </w:p>
        </w:tc>
        <w:tc>
          <w:tcPr>
            <w:tcW w:w="4840" w:type="dxa"/>
            <w:vAlign w:val="bottom"/>
            <w:tcBorders>
              <w:top w:val="single" w:sz="8" w:color="0000EE"/>
            </w:tcBorders>
            <w:gridSpan w:val="17"/>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Amended and Restated Bylaws (incorporated by reference to Exhibit 3.1 to the Registrant’s Current Report on Form 8-K (File</w:t>
              </w:r>
            </w:hyperlink>
          </w:p>
        </w:tc>
        <w:tc>
          <w:tcPr>
            <w:tcW w:w="8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No. 001-39980), filed with the SEC on December 9, 2022).</w:t>
              </w:r>
            </w:hyperlink>
          </w:p>
        </w:tc>
        <w:tc>
          <w:tcPr>
            <w:tcW w:w="56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97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Certificate of Designations of the Series A Junior Participating Cumulative Preferred Stock of the Registrant (incorporated by reference</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25"/>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to Exhibit 3.1 to the Registrant’s Current Report on Form 8-K (File No. 001-39980), filed with the SEC on March 7, 2023).</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9920" w:type="dxa"/>
            <w:vAlign w:val="bottom"/>
            <w:gridSpan w:val="25"/>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Elimination of the Series A Junior Participating Cumulative Preferred Stock of the Registrant (incorporated by reference to</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Exhibit 3.4 to the Registrant’s Annual Report on Form 10-K (File No. 001-39980), filed with the SEC on March 28, 2025).</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3.5</w:t>
            </w:r>
          </w:p>
        </w:tc>
        <w:tc>
          <w:tcPr>
            <w:tcW w:w="9920" w:type="dxa"/>
            <w:vAlign w:val="bottom"/>
            <w:gridSpan w:val="25"/>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Designation of Series B Non-Voting Convertible Preferred Stock (incorporated by reference to Exhibit 3.1 to the</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Registrant’s Current Report on Form 8-K (File No. 001-39980), filed with the SEC on February 18, 2026)</w:t>
              </w:r>
            </w:hyperlink>
          </w:p>
        </w:tc>
        <w:tc>
          <w:tcPr>
            <w:tcW w:w="1460" w:type="dxa"/>
            <w:vAlign w:val="bottom"/>
            <w:tcBorders>
              <w:top w:val="single" w:sz="8" w:color="0000EE"/>
            </w:tcBorders>
            <w:gridSpan w:val="3"/>
          </w:tcPr>
          <w:p>
            <w:pPr>
              <w:spacing w:after="0"/>
              <w:rPr>
                <w:sz w:val="17"/>
                <w:szCs w:val="17"/>
                <w:color w:val="auto"/>
              </w:rPr>
            </w:pPr>
          </w:p>
        </w:tc>
        <w:tc>
          <w:tcPr>
            <w:tcW w:w="8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54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Description of Securities (previously filed as Exhibit 4.1 to the Form 10-K).</w:t>
              </w:r>
            </w:hyperlink>
          </w:p>
        </w:tc>
        <w:tc>
          <w:tcPr>
            <w:tcW w:w="44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2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Warrant to Purchase Stock, dated as of September 7, 2021, by and between Faeth Therapeutics, Inc. and Western Alliance Bank</w:t>
              </w:r>
            </w:hyperlink>
          </w:p>
        </w:tc>
        <w:tc>
          <w:tcPr>
            <w:tcW w:w="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2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(previously filed as Exhibit 4.2 to the Form 10-K).</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Form of Indemnification Agreement entered into by and between Sensei Biotherapeutics, Inc. and each director and executive officer</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2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(incorporated by reference to Exhibit 10.4 to the Registrant’s Registration Statement on Form S-1 (File No. 333-252138)).</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Sensei Biotherapeutics, Inc. 2018 Equity Incentive Plan, as amended, and forms of agreements thereunder (incorporated by reference to</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Exhibit 10.1 to the Registrant’s Registration Statement on Form S-1 (File No. 333-252138)).</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97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Sensei Biotherapeutics, Inc. 2021 Equity Incentive Plan and forms of agreements thereunder (incorporated by reference to Exhibit 10.2</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2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to the Registrant’s Registration Statement on Form S-1 (File No. 333-252138)).</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Sensei Biotherapeutics, Inc. 2021 Employee Stock Purchase Plan (incorporated by reference to Exhibit 10.10 to the Registrant’s</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Registration Statement on Form S-1 (File No. 333-252138)).</w:t>
              </w:r>
            </w:hyperlink>
          </w:p>
        </w:tc>
        <w:tc>
          <w:tcPr>
            <w:tcW w:w="4840" w:type="dxa"/>
            <w:vAlign w:val="bottom"/>
            <w:tcBorders>
              <w:top w:val="single" w:sz="8" w:color="0000EE"/>
            </w:tcBorders>
            <w:gridSpan w:val="10"/>
          </w:tcPr>
          <w:p>
            <w:pPr>
              <w:spacing w:after="0"/>
              <w:rPr>
                <w:sz w:val="17"/>
                <w:szCs w:val="17"/>
                <w:color w:val="auto"/>
              </w:rPr>
            </w:pPr>
          </w:p>
        </w:tc>
        <w:tc>
          <w:tcPr>
            <w:tcW w:w="7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99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of Stock Option Grant Notice and Stock Option Agreement for Inducement Grants Outside of the Sensei Biotherapeutics, Inc. 2021</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2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Equity Incentive Plan (incorporated by reference to Exhibit 10.4 to the Registrant’s Current Report on Form 8-K (File No. 001-39980),</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filed with the SEC on February 18, 2026)</w:t>
              </w:r>
              <w:r>
                <w:rPr>
                  <w:rFonts w:ascii="Times New Roman" w:cs="Times New Roman" w:eastAsia="Times New Roman" w:hAnsi="Times New Roman"/>
                  <w:sz w:val="18"/>
                  <w:szCs w:val="18"/>
                  <w:color w:val="000000"/>
                </w:rPr>
                <w:t>.</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580" w:type="dxa"/>
            <w:vAlign w:val="bottom"/>
            <w:gridSpan w:val="1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9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Faeth Therapeutics, Inc. 2019 Stock Incentive Plan and forms of agreements thereunder (previously filed as Exhibit 10.6 to the Form</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86">
              <w:r>
                <w:rPr>
                  <w:rFonts w:ascii="Times New Roman" w:cs="Times New Roman" w:eastAsia="Times New Roman" w:hAnsi="Times New Roman"/>
                  <w:sz w:val="18"/>
                  <w:szCs w:val="18"/>
                  <w:color w:val="0000EE"/>
                  <w:w w:val="96"/>
                </w:rPr>
                <w:t>10-K).</w:t>
              </w:r>
            </w:hyperlink>
          </w:p>
        </w:tc>
        <w:tc>
          <w:tcPr>
            <w:tcW w:w="94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80" w:type="dxa"/>
            <w:vAlign w:val="bottom"/>
            <w:gridSpan w:val="6"/>
          </w:tcPr>
          <w:p>
            <w:pPr>
              <w:ind w:left="4320"/>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680" w:type="dxa"/>
            <w:vAlign w:val="bottom"/>
            <w:gridSpan w:val="2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68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2"/>
                <w:szCs w:val="22"/>
                <w:color w:val="auto"/>
              </w:rPr>
            </w:pPr>
          </w:p>
        </w:tc>
        <w:tc>
          <w:tcPr>
            <w:tcW w:w="9920" w:type="dxa"/>
            <w:vAlign w:val="bottom"/>
            <w:tcBorders>
              <w:top w:val="single" w:sz="8" w:color="auto"/>
            </w:tcBorders>
            <w:gridSpan w:val="33"/>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Non-Employee Director Compensation Policy (incorporated by reference to Exhibit 10.12 to the Registrant’s Annual Report on Form</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10-K (File No. 001-39980) filed with the SEC on March 15, 2022).</w:t>
              </w:r>
            </w:hyperlink>
          </w:p>
        </w:tc>
        <w:tc>
          <w:tcPr>
            <w:tcW w:w="4760" w:type="dxa"/>
            <w:vAlign w:val="bottom"/>
            <w:tcBorders>
              <w:top w:val="single" w:sz="8" w:color="0000EE"/>
            </w:tcBorders>
            <w:gridSpan w:val="11"/>
          </w:tcPr>
          <w:p>
            <w:pPr>
              <w:spacing w:after="0"/>
              <w:rPr>
                <w:sz w:val="17"/>
                <w:szCs w:val="17"/>
                <w:color w:val="auto"/>
              </w:rPr>
            </w:pPr>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24"/>
                <w:szCs w:val="24"/>
                <w:color w:val="auto"/>
              </w:rPr>
            </w:pPr>
          </w:p>
        </w:tc>
        <w:tc>
          <w:tcPr>
            <w:tcW w:w="9920" w:type="dxa"/>
            <w:vAlign w:val="bottom"/>
            <w:gridSpan w:val="33"/>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Lease Agreement, by and between Sensei Biotherapeutics, Inc. and Are-Maryland No. 8 Corp., dated as of October 22, 2020</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(incorporated by reference to Exhibit 10.9 to the Registrant’s Registration Statement on Form S-1 (File No. 333-252138)).</w:t>
              </w:r>
            </w:hyperlink>
          </w:p>
        </w:tc>
        <w:tc>
          <w:tcPr>
            <w:tcW w:w="9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spacing w:after="0"/>
              <w:rPr>
                <w:sz w:val="24"/>
                <w:szCs w:val="24"/>
                <w:color w:val="auto"/>
              </w:rPr>
            </w:pPr>
          </w:p>
        </w:tc>
        <w:tc>
          <w:tcPr>
            <w:tcW w:w="9920" w:type="dxa"/>
            <w:vAlign w:val="bottom"/>
            <w:gridSpan w:val="33"/>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Lease Agreement, by and between Sensei Biotherapeutics, Inc. and RREF II 451D, LLC, dated as of January 13, 2021 (incorporated by</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reference to Exhibit 10.14 to the Registrant’s Annual Report on Form 10-K (File No. 001-39980) filed with the SEC on March 15,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20" w:type="dxa"/>
            <w:vAlign w:val="bottom"/>
          </w:tcPr>
          <w:p>
            <w:pPr>
              <w:spacing w:after="0"/>
              <w:rPr>
                <w:sz w:val="24"/>
                <w:szCs w:val="24"/>
                <w:color w:val="auto"/>
              </w:rPr>
            </w:pPr>
          </w:p>
        </w:tc>
        <w:tc>
          <w:tcPr>
            <w:tcW w:w="98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Employment Agreement, dated July 31, 2024, by and between the Registrant and Christopher Gerry (previously filed as Exhibit 10.10 to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the Form 10-K).</w:t>
              </w:r>
            </w:hyperlink>
          </w:p>
        </w:tc>
        <w:tc>
          <w:tcPr>
            <w:tcW w:w="87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20" w:type="dxa"/>
            <w:vAlign w:val="bottom"/>
          </w:tcPr>
          <w:p>
            <w:pPr>
              <w:spacing w:after="0"/>
              <w:rPr>
                <w:sz w:val="24"/>
                <w:szCs w:val="24"/>
                <w:color w:val="auto"/>
              </w:rPr>
            </w:pPr>
          </w:p>
        </w:tc>
        <w:tc>
          <w:tcPr>
            <w:tcW w:w="9920" w:type="dxa"/>
            <w:vAlign w:val="bottom"/>
            <w:gridSpan w:val="33"/>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Employment Agreement dated July 12, 2024, by and between the Registrant and Josiah Craver (incorporated by reference to Exhibit 10.1</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to the Registrant’s Quarterly Report on Form 10-Q (File No. 001-39980) filed with the SEC on November 11, 2024).</w:t>
              </w:r>
            </w:hyperlink>
          </w:p>
        </w:tc>
        <w:tc>
          <w:tcPr>
            <w:tcW w:w="148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20" w:type="dxa"/>
            <w:vAlign w:val="bottom"/>
          </w:tcPr>
          <w:p>
            <w:pPr>
              <w:spacing w:after="0"/>
              <w:rPr>
                <w:sz w:val="24"/>
                <w:szCs w:val="24"/>
                <w:color w:val="auto"/>
              </w:rPr>
            </w:pPr>
          </w:p>
        </w:tc>
        <w:tc>
          <w:tcPr>
            <w:tcW w:w="9920" w:type="dxa"/>
            <w:vAlign w:val="bottom"/>
            <w:gridSpan w:val="33"/>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Letter between the Company and Anand Parikh, effective February 17, 2026 (incorporated by reference to Exhibit 10.3 to</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the Registrant’s Current Report on Form 8-K (File No. 001-39980), filed with the SEC on February 18, 2026)</w:t>
              </w:r>
            </w:hyperlink>
          </w:p>
        </w:tc>
        <w:tc>
          <w:tcPr>
            <w:tcW w:w="1860" w:type="dxa"/>
            <w:vAlign w:val="bottom"/>
            <w:tcBorders>
              <w:top w:val="single" w:sz="8" w:color="0000EE"/>
            </w:tcBorders>
            <w:gridSpan w:val="14"/>
          </w:tcPr>
          <w:p>
            <w:pPr>
              <w:spacing w:after="0"/>
              <w:rPr>
                <w:sz w:val="17"/>
                <w:szCs w:val="17"/>
                <w:color w:val="auto"/>
              </w:rPr>
            </w:pPr>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Pr>
          <w:p>
            <w:pPr>
              <w:spacing w:after="0"/>
              <w:rPr>
                <w:sz w:val="24"/>
                <w:szCs w:val="24"/>
                <w:color w:val="auto"/>
              </w:rPr>
            </w:pPr>
          </w:p>
        </w:tc>
        <w:tc>
          <w:tcPr>
            <w:tcW w:w="97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Consulting Agreement, dated November 14, 2025, entered into with John Celebi, Edward van der Horst and Stephanie Krebs.</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3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(incorporated by reference to Exhibit 10.1 to the Registrant’s Quarterly Report on Form 10-Q (File No. 001-39980) filed with the SEC</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on November 14, 2025).</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20" w:type="dxa"/>
            <w:vAlign w:val="bottom"/>
          </w:tcPr>
          <w:p>
            <w:pPr>
              <w:spacing w:after="0"/>
              <w:rPr>
                <w:sz w:val="24"/>
                <w:szCs w:val="24"/>
                <w:color w:val="auto"/>
              </w:rPr>
            </w:pPr>
          </w:p>
        </w:tc>
        <w:tc>
          <w:tcPr>
            <w:tcW w:w="98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Retention Agreement, dated as of February 17, 2025, entered into with Christopher Gerry (previously filed as Exhibit 10.14 to</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the Form 10-K).</w:t>
              </w:r>
            </w:hyperlink>
          </w:p>
        </w:tc>
        <w:tc>
          <w:tcPr>
            <w:tcW w:w="87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2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Amended Retention Agreement, dated as of February 17, 2025, entered into with Josiah Craver (previously filed as Exhibit 10.15 to the</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Form 10-K).</w:t>
              </w:r>
            </w:hyperlink>
          </w:p>
        </w:tc>
        <w:tc>
          <w:tcPr>
            <w:tcW w:w="90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spacing w:after="0"/>
              <w:rPr>
                <w:sz w:val="22"/>
                <w:szCs w:val="22"/>
                <w:color w:val="auto"/>
              </w:rPr>
            </w:pPr>
          </w:p>
        </w:tc>
        <w:tc>
          <w:tcPr>
            <w:tcW w:w="2220" w:type="dxa"/>
            <w:vAlign w:val="bottom"/>
            <w:gridSpan w:val="5"/>
            <w:vMerge w:val="restart"/>
          </w:tcPr>
          <w:p>
            <w:pPr>
              <w:spacing w:after="0"/>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Open Market Sales Agreement</w:t>
              </w:r>
            </w:hyperlink>
          </w:p>
        </w:tc>
        <w:tc>
          <w:tcPr>
            <w:tcW w:w="200" w:type="dxa"/>
            <w:vAlign w:val="bottom"/>
            <w:tcBorders>
              <w:bottom w:val="single" w:sz="8" w:color="0000EE"/>
            </w:tcBorders>
            <w:gridSpan w:val="2"/>
          </w:tcPr>
          <w:p>
            <w:pPr>
              <w:spacing w:after="0"/>
              <w:rPr>
                <w:rFonts w:ascii="Times New Roman" w:cs="Times New Roman" w:eastAsia="Times New Roman" w:hAnsi="Times New Roman"/>
                <w:sz w:val="13"/>
                <w:szCs w:val="13"/>
                <w:color w:val="0000EE"/>
                <w:w w:val="95"/>
              </w:rPr>
            </w:pPr>
            <w:hyperlink r:id="rId97">
              <w:r>
                <w:rPr>
                  <w:rFonts w:ascii="Times New Roman" w:cs="Times New Roman" w:eastAsia="Times New Roman" w:hAnsi="Times New Roman"/>
                  <w:sz w:val="13"/>
                  <w:szCs w:val="13"/>
                  <w:color w:val="0000EE"/>
                  <w:w w:val="95"/>
                </w:rPr>
                <w:t>SM</w:t>
              </w:r>
            </w:hyperlink>
          </w:p>
        </w:tc>
        <w:tc>
          <w:tcPr>
            <w:tcW w:w="7420" w:type="dxa"/>
            <w:vAlign w:val="bottom"/>
            <w:gridSpan w:val="22"/>
            <w:vMerge w:val="restart"/>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 dated March 15, 2022, by and between the Registrant and Jefferies LLC (incorporated by reference to</w:t>
              </w:r>
            </w:hyperlink>
          </w:p>
        </w:tc>
        <w:tc>
          <w:tcPr>
            <w:tcW w:w="80" w:type="dxa"/>
            <w:vAlign w:val="bottom"/>
            <w:gridSpan w:val="4"/>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Borders>
              <w:bottom w:val="single" w:sz="8" w:color="0000EE"/>
            </w:tcBorders>
            <w:gridSpan w:val="5"/>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20" w:type="dxa"/>
            <w:vAlign w:val="bottom"/>
            <w:tcBorders>
              <w:bottom w:val="single" w:sz="8" w:color="0000EE"/>
            </w:tcBorders>
            <w:gridSpan w:val="22"/>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Exhibit 1.2 to the Registrant’s Registration Statement on Form S-3 (File No. 333-263567), filed with the SEC on March 15, 2022).</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gridSpan w:val="33"/>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Securities Purchase Agreement, dated as of February 17, 2026, by and among Sensei Biotherapeutics, Inc. and each investor</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listed on Exhibit A thereto (incorporated by reference to Exhibit 10.1 to the Registrant’s Current Report on Form 8-K (File</w:t>
              </w:r>
            </w:hyperlink>
          </w:p>
        </w:tc>
        <w:tc>
          <w:tcPr>
            <w:tcW w:w="740" w:type="dxa"/>
            <w:vAlign w:val="bottom"/>
            <w:tcBorders>
              <w:top w:val="single" w:sz="8" w:color="0000EE"/>
            </w:tcBorders>
            <w:gridSpan w:val="5"/>
          </w:tcPr>
          <w:p>
            <w:pPr>
              <w:spacing w:after="0"/>
              <w:rPr>
                <w:sz w:val="17"/>
                <w:szCs w:val="17"/>
                <w:color w:val="auto"/>
              </w:rPr>
            </w:pPr>
          </w:p>
        </w:tc>
        <w:tc>
          <w:tcPr>
            <w:tcW w:w="3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No. 001-39980), filed with the SEC on February 18, 2026)</w:t>
              </w:r>
            </w:hyperlink>
          </w:p>
        </w:tc>
        <w:tc>
          <w:tcPr>
            <w:tcW w:w="56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24"/>
                <w:szCs w:val="24"/>
                <w:color w:val="auto"/>
              </w:rPr>
            </w:pPr>
          </w:p>
        </w:tc>
        <w:tc>
          <w:tcPr>
            <w:tcW w:w="9920" w:type="dxa"/>
            <w:vAlign w:val="bottom"/>
            <w:gridSpan w:val="33"/>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Registration Rights Agreement, by and among Sensei Biotherapeutics, Inc. and certain investors signatory thereto (incorporated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by reference to Exhibit 10.2 to the Registrant’s Current Report on Form 8-K (File No. 001-39980), filed with the SEC on February 18,</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9">
              <w:r>
                <w:rPr>
                  <w:rFonts w:ascii="Times New Roman" w:cs="Times New Roman" w:eastAsia="Times New Roman" w:hAnsi="Times New Roman"/>
                  <w:sz w:val="18"/>
                  <w:szCs w:val="18"/>
                  <w:color w:val="0000EE"/>
                  <w:w w:val="95"/>
                </w:rPr>
                <w:t>2026)</w:t>
              </w:r>
            </w:hyperlink>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0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920" w:type="dxa"/>
            <w:vAlign w:val="bottom"/>
            <w:gridSpan w:val="33"/>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Exclusive License Agreement, dated as of August 10, 2007, between Faeth Therapeutics, Inc. (as successor in interest to Calithera</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6940" w:type="dxa"/>
            <w:vAlign w:val="bottom"/>
            <w:gridSpan w:val="8"/>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33"/>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Biosciences, Inc., Millennium Pharmaceuticals, Inc. and Intellikine, Inc.) and The Regents of the University of California and acting</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7100" w:type="dxa"/>
            <w:vAlign w:val="bottom"/>
            <w:gridSpan w:val="10"/>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through its Office of Technology Management, University of California San Francisco, as amended by Amendment No. 1 dated as of</w:t>
              </w:r>
            </w:hyperlink>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March 13, 2009, Amendment No. 2 dated as of July 8, 2009, Amendment No. 3 dated as of November 30, 2010, Amendment No. 4 dated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September 8, 2014, Amendment No. 5 dated August 4, 2021, and Amendment No. 6 dated as of February 1, 2022 (previously filed as</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Exhibit 10.19 to the Form 10-K).</w:t>
              </w:r>
            </w:hyperlink>
          </w:p>
        </w:tc>
        <w:tc>
          <w:tcPr>
            <w:tcW w:w="74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License Agreement, dated as of March 18, 2019, between Faeth Therapeutics, Inc. (as successor in interest to Petra Pharma Corporation</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3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and Ravenna Pharmaceuticals, Inc.) and Takeda Pharmaceutical Company Limited (previously filed as Exhibit 10.20 to the Form 10-K).</w:t>
              </w:r>
            </w:hyperlink>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60" w:type="dxa"/>
            <w:vAlign w:val="bottom"/>
            <w:tcBorders>
              <w:top w:val="single" w:sz="8" w:color="0000EE"/>
            </w:tcBorders>
            <w:gridSpan w:val="10"/>
          </w:tcPr>
          <w:p>
            <w:pPr>
              <w:ind w:left="4320"/>
              <w:spacing w:after="0"/>
              <w:rPr>
                <w:sz w:val="20"/>
                <w:szCs w:val="20"/>
                <w:color w:val="auto"/>
              </w:rPr>
            </w:pPr>
            <w:r>
              <w:rPr>
                <w:rFonts w:ascii="Times New Roman" w:cs="Times New Roman" w:eastAsia="Times New Roman" w:hAnsi="Times New Roman"/>
                <w:sz w:val="18"/>
                <w:szCs w:val="18"/>
                <w:color w:val="auto"/>
              </w:rPr>
              <w:t>44</w:t>
            </w:r>
          </w:p>
        </w:tc>
        <w:tc>
          <w:tcPr>
            <w:tcW w:w="30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60" w:type="dxa"/>
            <w:vAlign w:val="bottom"/>
            <w:gridSpan w:val="17"/>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9920" w:type="dxa"/>
            <w:vAlign w:val="bottom"/>
            <w:gridSpan w:val="20"/>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Amended and Restated TAK-228 Asset Purchase Agreement, dated as of May 15, 2023, between Faeth Therapeutics, Inc. (as successor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 interest to Calithera Biosciences, Inc.) and Millennium Pharmaceuticals, Inc. (previously filed as Exhibit 10.21 to the Form 10-K).</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9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Letter Agreement, dated as of May 15, 2023, between Millennium Pharmaceuticals, Inc. and Faeth Therapeutics, Inc. (previously filed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20"/>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Exhibit 10.22 to the Form 10-K).</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9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Letter Agreement dated as of January 29, 2026, between Millennium Pharmaceuticals, Inc., Takeda Pharmaceutical Company Limited</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and Faeth Therapeutics, Inc. (previously filed as Exhibit 10.23 to the Form 10-K).</w:t>
              </w:r>
            </w:hyperlink>
          </w:p>
        </w:tc>
        <w:tc>
          <w:tcPr>
            <w:tcW w:w="40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Retention Agreement, dated as of December 22, 2025, entered into with Christopher Gerry (previously filed as Exhibit 10.24 to the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06">
              <w:r>
                <w:rPr>
                  <w:rFonts w:ascii="Times New Roman" w:cs="Times New Roman" w:eastAsia="Times New Roman" w:hAnsi="Times New Roman"/>
                  <w:sz w:val="18"/>
                  <w:szCs w:val="18"/>
                  <w:color w:val="0000EE"/>
                  <w:w w:val="96"/>
                </w:rPr>
                <w:t>10-K).</w:t>
              </w:r>
            </w:hyperlink>
          </w:p>
        </w:tc>
        <w:tc>
          <w:tcPr>
            <w:tcW w:w="9400" w:type="dxa"/>
            <w:vAlign w:val="bottom"/>
            <w:tcBorders>
              <w:top w:val="single" w:sz="8" w:color="0000EE"/>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20" w:type="dxa"/>
            <w:vAlign w:val="bottom"/>
          </w:tcPr>
          <w:p>
            <w:pPr>
              <w:spacing w:after="0"/>
              <w:rPr>
                <w:sz w:val="24"/>
                <w:szCs w:val="24"/>
                <w:color w:val="auto"/>
              </w:rPr>
            </w:pPr>
          </w:p>
        </w:tc>
        <w:tc>
          <w:tcPr>
            <w:tcW w:w="95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Retention Agreement, dated as of December 22, 2025, entered into with Josiah Craver (previously filed as Exhibit 10.25 to the Form</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07">
              <w:r>
                <w:rPr>
                  <w:rFonts w:ascii="Times New Roman" w:cs="Times New Roman" w:eastAsia="Times New Roman" w:hAnsi="Times New Roman"/>
                  <w:sz w:val="18"/>
                  <w:szCs w:val="18"/>
                  <w:color w:val="0000EE"/>
                  <w:w w:val="96"/>
                </w:rPr>
                <w:t>10-K).</w:t>
              </w:r>
            </w:hyperlink>
          </w:p>
        </w:tc>
        <w:tc>
          <w:tcPr>
            <w:tcW w:w="94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Insider Trading Policy(incorporated by reference to Exhibit 19.1 to the Registrant’s Annual Report on Form 10-K (File No. 001-39980),</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filed with the SEC on March 28, 2025).</w:t>
              </w:r>
            </w:hyperlink>
          </w:p>
        </w:tc>
        <w:tc>
          <w:tcPr>
            <w:tcW w:w="694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4"/>
                <w:szCs w:val="24"/>
                <w:color w:val="auto"/>
              </w:rPr>
            </w:pPr>
          </w:p>
        </w:tc>
        <w:tc>
          <w:tcPr>
            <w:tcW w:w="5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Subsidiaries of the Registrant (previously filed as Exhibit 21.1 to the Form 10-K).</w:t>
              </w:r>
            </w:hyperlink>
          </w:p>
        </w:tc>
        <w:tc>
          <w:tcPr>
            <w:tcW w:w="40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Consent of Deloitte &amp; Touche LLP, independent registered public accounting firm (previously filed as Exhibit 23.1 to the Form 10-K).</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4"/>
                <w:szCs w:val="24"/>
                <w:color w:val="auto"/>
              </w:rPr>
            </w:pPr>
          </w:p>
        </w:tc>
        <w:tc>
          <w:tcPr>
            <w:tcW w:w="58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Power of Attorney (previously filed within the signature page of the Form 10-K).</w:t>
              </w:r>
            </w:hyperlink>
          </w:p>
        </w:tc>
        <w:tc>
          <w:tcPr>
            <w:tcW w:w="40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Adopted Pursuant to Section 302 of the Sarbanes-Oxley Act of 2002 (previously filed as Exhibit 31.1 to the Form 10-K).</w:t>
              </w:r>
            </w:hyperlink>
          </w:p>
        </w:tc>
        <w:tc>
          <w:tcPr>
            <w:tcW w:w="1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Adopted Pursuant to Section 302 of the Sarbanes-Oxley Act of 2002 (previously filed as Exhibit 31.2 to the Form 10-K).</w:t>
              </w:r>
            </w:hyperlink>
          </w:p>
        </w:tc>
        <w:tc>
          <w:tcPr>
            <w:tcW w:w="860" w:type="dxa"/>
            <w:vAlign w:val="bottom"/>
            <w:tcBorders>
              <w:top w:val="single" w:sz="8" w:color="0000EE"/>
            </w:tcBorders>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gridSpan w:val="4"/>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gridSpan w:val="4"/>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97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Certification of Principal Executive Officer and Principal Financial Officer Pursuant to 18 U.S.C. Section 1350, as Adopted Pursuant to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2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Section 906 of the Sarbanes-Oxley Act of 2002 (previously filed as Exhibit 32.1 to the Form 10-K).</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40" w:type="dxa"/>
            <w:vAlign w:val="bottom"/>
            <w:gridSpan w:val="8"/>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Incentive Compensation Recoupment Policy, adopted on October 2, 2023 (incorporated by reference to Exhibit 97 to the Registrant’s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Annual Report on Form 10-K (File No. 001-39980) filed with the SEC on February 29, 2024).</w:t>
              </w:r>
            </w:hyperlink>
          </w:p>
        </w:tc>
        <w:tc>
          <w:tcPr>
            <w:tcW w:w="2740" w:type="dxa"/>
            <w:vAlign w:val="bottom"/>
            <w:tcBorders>
              <w:top w:val="single" w:sz="8" w:color="0000EE"/>
            </w:tcBorders>
            <w:gridSpan w:val="3"/>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9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right="320" w:hanging="424"/>
        <w:spacing w:after="0" w:line="26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Section 1350, and is not being filed for purposes of Section 18 of the Securities Exchange Act of 1934, as amended, and is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not to be incorporated by reference into any filing of the Registrant, whether made before or after the date hereof, regardless of any general incorporation language in such filing.</w:t>
      </w: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4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portions of this exhibit (indicated by asterisks) have been omitted as the registrant has determined that the omitted information is (i) not material and (ii) the type of information that the registrant customarily and actually treats as private or confidential.</w:t>
      </w:r>
    </w:p>
    <w:p>
      <w:pPr>
        <w:spacing w:after="0" w:line="1" w:lineRule="exact"/>
        <w:rPr>
          <w:sz w:val="20"/>
          <w:szCs w:val="20"/>
          <w:color w:val="auto"/>
        </w:rPr>
      </w:pPr>
    </w:p>
    <w:p>
      <w:pPr>
        <w:ind w:left="540" w:right="4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and attachments have been omitted pursuant to Item 601(a)(5) of Regulation S-K. The registrant agrees to provide, on a supplemental basis, a copy of any omitted schedules, annexes and attachments to the SEC or its staff upon request.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82"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Amendment No. 1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64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6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Christopher W. Gerry</w:t>
            </w:r>
          </w:p>
        </w:tc>
      </w:tr>
      <w:tr>
        <w:trPr>
          <w:trHeight w:val="191"/>
        </w:trPr>
        <w:tc>
          <w:tcPr>
            <w:tcW w:w="33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Christopher W. Gerry</w:t>
            </w:r>
          </w:p>
        </w:tc>
      </w:tr>
      <w:tr>
        <w:trPr>
          <w:trHeight w:val="234"/>
        </w:trPr>
        <w:tc>
          <w:tcPr>
            <w:tcW w:w="3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General Counsel</w:t>
            </w:r>
          </w:p>
        </w:tc>
      </w:tr>
      <w:tr>
        <w:trPr>
          <w:trHeight w:val="365"/>
        </w:trPr>
        <w:tc>
          <w:tcPr>
            <w:tcW w:w="3380" w:type="dxa"/>
            <w:vAlign w:val="bottom"/>
          </w:tcPr>
          <w:p>
            <w:pPr>
              <w:spacing w:after="0"/>
              <w:rPr>
                <w:sz w:val="24"/>
                <w:szCs w:val="24"/>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47</w:t>
            </w:r>
          </w:p>
        </w:tc>
        <w:tc>
          <w:tcPr>
            <w:tcW w:w="49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Gerry, certify that:</w:t>
      </w:r>
    </w:p>
    <w:p>
      <w:pPr>
        <w:spacing w:after="0" w:line="131" w:lineRule="exact"/>
        <w:rPr>
          <w:sz w:val="20"/>
          <w:szCs w:val="20"/>
          <w:color w:val="auto"/>
        </w:rPr>
      </w:pPr>
    </w:p>
    <w:p>
      <w:pPr>
        <w:ind w:left="960" w:right="40" w:hanging="532"/>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Sensei Biotherapeutics, Inc. (the “registrant”); and</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General Counsel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Josiah Craver, certify that:</w:t>
      </w:r>
    </w:p>
    <w:p>
      <w:pPr>
        <w:spacing w:after="0" w:line="131" w:lineRule="exact"/>
        <w:rPr>
          <w:sz w:val="20"/>
          <w:szCs w:val="20"/>
          <w:color w:val="auto"/>
        </w:rPr>
      </w:pPr>
    </w:p>
    <w:p>
      <w:pPr>
        <w:ind w:left="960" w:right="40" w:hanging="532"/>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Sensei Biotherapeutics, Inc. (the “registrant”); and</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Josiah Craver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Josiah Craver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4"/>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7" Type="http://schemas.openxmlformats.org/officeDocument/2006/relationships/image" Target="media/image66.png"/><Relationship Id="rId102" Type="http://schemas.openxmlformats.org/officeDocument/2006/relationships/image" Target="media/image67.png"/><Relationship Id="rId116" Type="http://schemas.openxmlformats.org/officeDocument/2006/relationships/image" Target="media/image68.png"/><Relationship Id="rId117" Type="http://schemas.openxmlformats.org/officeDocument/2006/relationships/image" Target="media/image69.png"/><Relationship Id="rId118" Type="http://schemas.openxmlformats.org/officeDocument/2006/relationships/image" Target="media/image70.png"/><Relationship Id="rId119" Type="http://schemas.openxmlformats.org/officeDocument/2006/relationships/image" Target="media/image71.png"/><Relationship Id="rId73" Type="http://schemas.openxmlformats.org/officeDocument/2006/relationships/hyperlink" Target="http://www.sec.gov/Archives/edgar/data/1829802/000119312526056135/d112826dex21.htm" TargetMode="External"/><Relationship Id="rId74" Type="http://schemas.openxmlformats.org/officeDocument/2006/relationships/hyperlink" Target="http://www.sec.gov/Archives/edgar/data/1829802/000119312521037280/d95909dex31.htm" TargetMode="External"/><Relationship Id="rId75" Type="http://schemas.openxmlformats.org/officeDocument/2006/relationships/hyperlink" Target="http://www.sec.gov/Archives/edgar/data/1829802/000119312522301836/d514100dex31.htm" TargetMode="External"/><Relationship Id="rId76" Type="http://schemas.openxmlformats.org/officeDocument/2006/relationships/hyperlink" Target="http://www.sec.gov/Archives/edgar/data/1829802/000119312523063093/d470819dex31.htm" TargetMode="External"/><Relationship Id="rId77" Type="http://schemas.openxmlformats.org/officeDocument/2006/relationships/hyperlink" Target="http://www.sec.gov/Archives/edgar/data/1829802/000095017025046338/snse-ex3_4.htm" TargetMode="External"/><Relationship Id="rId78" Type="http://schemas.openxmlformats.org/officeDocument/2006/relationships/hyperlink" Target="http://www.sec.gov/Archives/edgar/data/1829802/000119312526056135/d112826dex31.htm" TargetMode="External"/><Relationship Id="rId79" Type="http://schemas.openxmlformats.org/officeDocument/2006/relationships/hyperlink" Target="http://www.sec.gov/Archives/edgar/data/1829802/000119312526132014/snse-ex4_1.htm" TargetMode="External"/><Relationship Id="rId80" Type="http://schemas.openxmlformats.org/officeDocument/2006/relationships/hyperlink" Target="http://www.sec.gov/Archives/edgar/data/1829802/000119312526132014/snse-ex4_2.htm" TargetMode="External"/><Relationship Id="rId81" Type="http://schemas.openxmlformats.org/officeDocument/2006/relationships/hyperlink" Target="http://www.sec.gov/Archives/edgar/data/0001829802/000119312521010054/d43789dex104.htm" TargetMode="External"/><Relationship Id="rId82" Type="http://schemas.openxmlformats.org/officeDocument/2006/relationships/hyperlink" Target="http://www.sec.gov/Archives/edgar/data/0001829802/000119312521010054/d43789dex101.htm" TargetMode="External"/><Relationship Id="rId83" Type="http://schemas.openxmlformats.org/officeDocument/2006/relationships/hyperlink" Target="http://www.sec.gov/Archives/edgar/data/0001829802/000119312521023615/d43789dex102.htm" TargetMode="External"/><Relationship Id="rId84" Type="http://schemas.openxmlformats.org/officeDocument/2006/relationships/hyperlink" Target="http://www.sec.gov/Archives/edgar/data/0001829802/000119312521023615/d43789dex1010.htm" TargetMode="External"/><Relationship Id="rId85" Type="http://schemas.openxmlformats.org/officeDocument/2006/relationships/hyperlink" Target="http://www.sec.gov/Archives/edgar/data/1829802/000119312526056135/d112826dex104.htm" TargetMode="External"/><Relationship Id="rId86" Type="http://schemas.openxmlformats.org/officeDocument/2006/relationships/hyperlink" Target="http://www.sec.gov/Archives/edgar/data/1829802/000119312526132014/snse-ex10_6.htm" TargetMode="External"/><Relationship Id="rId88" Type="http://schemas.openxmlformats.org/officeDocument/2006/relationships/hyperlink" Target="http://www.sec.gov/Archives/edgar/data/1829802/000095017022003646/snse-ex10_12.htm" TargetMode="External"/><Relationship Id="rId89" Type="http://schemas.openxmlformats.org/officeDocument/2006/relationships/hyperlink" Target="http://www.sec.gov/Archives/edgar/data/0001829802/000119312521010054/d43789dex109.htm" TargetMode="External"/><Relationship Id="rId90" Type="http://schemas.openxmlformats.org/officeDocument/2006/relationships/hyperlink" Target="http://www.sec.gov/Archives/edgar/data/1829802/000095017022003646/snse-ex10_14.htm" TargetMode="External"/><Relationship Id="rId91" Type="http://schemas.openxmlformats.org/officeDocument/2006/relationships/hyperlink" Target="http://www.sec.gov/Archives/edgar/data/1829802/000119312526132014/snse-ex10_10.htm" TargetMode="External"/><Relationship Id="rId92" Type="http://schemas.openxmlformats.org/officeDocument/2006/relationships/hyperlink" Target="http://www.sec.gov/Archives/edgar/data/1829802/000095017024126748/snse-ex10_1.htm" TargetMode="External"/><Relationship Id="rId93" Type="http://schemas.openxmlformats.org/officeDocument/2006/relationships/hyperlink" Target="http://www.sec.gov/Archives/edgar/data/1829802/000119312526056135/d112826dex103.htm" TargetMode="External"/><Relationship Id="rId94" Type="http://schemas.openxmlformats.org/officeDocument/2006/relationships/hyperlink" Target="http://www.sec.gov/Archives/edgar/data/1829802/000119312525281590/snse-ex10_1.htm" TargetMode="External"/><Relationship Id="rId95" Type="http://schemas.openxmlformats.org/officeDocument/2006/relationships/hyperlink" Target="http://www.sec.gov/Archives/edgar/data/1829802/000119312526132014/snse-ex10_14.htm" TargetMode="External"/><Relationship Id="rId96" Type="http://schemas.openxmlformats.org/officeDocument/2006/relationships/hyperlink" Target="http://www.sec.gov/Archives/edgar/data/1829802/000119312526132014/snse-ex10_15.htm" TargetMode="External"/><Relationship Id="rId97" Type="http://schemas.openxmlformats.org/officeDocument/2006/relationships/hyperlink" Target="http://www.sec.gov/Archives/edgar/data/1829802/000119312522076072/d296045dex12.htm" TargetMode="External"/><Relationship Id="rId98" Type="http://schemas.openxmlformats.org/officeDocument/2006/relationships/hyperlink" Target="http://www.sec.gov/Archives/edgar/data/1829802/000119312526056135/d112826dex101.htm" TargetMode="External"/><Relationship Id="rId99" Type="http://schemas.openxmlformats.org/officeDocument/2006/relationships/hyperlink" Target="http://www.sec.gov/Archives/edgar/data/1829802/000119312526056135/d112826dex102.htm" TargetMode="External"/><Relationship Id="rId100" Type="http://schemas.openxmlformats.org/officeDocument/2006/relationships/hyperlink" Target="http://www.sec.gov/Archives/edgar/data/1829802/000119312526132014/snse-ex10_19.htm" TargetMode="External"/><Relationship Id="rId101" Type="http://schemas.openxmlformats.org/officeDocument/2006/relationships/hyperlink" Target="http://www.sec.gov/Archives/edgar/data/1829802/000119312526132014/snse-ex10_20.htm" TargetMode="External"/><Relationship Id="rId103" Type="http://schemas.openxmlformats.org/officeDocument/2006/relationships/hyperlink" Target="http://www.sec.gov/Archives/edgar/data/1829802/000119312526132014/snse-ex10_21.htm" TargetMode="External"/><Relationship Id="rId104" Type="http://schemas.openxmlformats.org/officeDocument/2006/relationships/hyperlink" Target="http://www.sec.gov/Archives/edgar/data/1829802/000119312526132014/snse-ex10_22.htm" TargetMode="External"/><Relationship Id="rId105" Type="http://schemas.openxmlformats.org/officeDocument/2006/relationships/hyperlink" Target="http://www.sec.gov/Archives/edgar/data/1829802/000119312526132014/snse-ex10_23.htm" TargetMode="External"/><Relationship Id="rId106" Type="http://schemas.openxmlformats.org/officeDocument/2006/relationships/hyperlink" Target="http://www.sec.gov/Archives/edgar/data/1829802/000119312526132014/snse-ex10_24.htm" TargetMode="External"/><Relationship Id="rId107" Type="http://schemas.openxmlformats.org/officeDocument/2006/relationships/hyperlink" Target="http://www.sec.gov/Archives/edgar/data/1829802/000119312526132014/snse-ex10_25.htm" TargetMode="External"/><Relationship Id="rId108" Type="http://schemas.openxmlformats.org/officeDocument/2006/relationships/hyperlink" Target="http://www.sec.gov/Archives/edgar/data/1829802/000095017025046338/snse-ex19_1.htm" TargetMode="External"/><Relationship Id="rId109" Type="http://schemas.openxmlformats.org/officeDocument/2006/relationships/hyperlink" Target="http://www.sec.gov/Archives/edgar/data/1829802/000119312526132014/snse-ex21_1.htm" TargetMode="External"/><Relationship Id="rId110" Type="http://schemas.openxmlformats.org/officeDocument/2006/relationships/hyperlink" Target="http://www.sec.gov/Archives/edgar/data/1829802/000119312526132014/snse-ex23_1.htm" TargetMode="External"/><Relationship Id="rId111" Type="http://schemas.openxmlformats.org/officeDocument/2006/relationships/hyperlink" Target="http://www.sec.gov/Archives/edgar/data/1829802/000119312526132014/snse-20251231.htm#item_15_exhibits_financial_statement_sch" TargetMode="External"/><Relationship Id="rId112" Type="http://schemas.openxmlformats.org/officeDocument/2006/relationships/hyperlink" Target="http://www.sec.gov/Archives/edgar/data/1829802/000119312526132014/snse-ex31_1.htm" TargetMode="External"/><Relationship Id="rId113" Type="http://schemas.openxmlformats.org/officeDocument/2006/relationships/hyperlink" Target="http://www.sec.gov/Archives/edgar/data/1829802/000119312526132014/snse-ex31_2.htm" TargetMode="External"/><Relationship Id="rId114" Type="http://schemas.openxmlformats.org/officeDocument/2006/relationships/hyperlink" Target="http://www.sec.gov/Archives/edgar/data/1829802/000119312526132014/snse-ex32_1.htm" TargetMode="External"/><Relationship Id="rId115" Type="http://schemas.openxmlformats.org/officeDocument/2006/relationships/hyperlink" Target="http://www.sec.gov/Archives/edgar/data/1829802/000095017024023148/snse-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2026-06-02T08:03:53Z</dcterms:created>
  <dcterms:modified xsi:type="dcterms:W3CDTF">2026-06-02T08:03:53Z</dcterms:modified>
</cp:coreProperties>
</file>