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001-39980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83-1863385</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1405 Research Blvd, Suite 125</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Rockville, MD</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SNSE</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4" w:right="4400"/>
        <w:spacing w:after="0" w:line="37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Item 5.03. Amendments to Articles of Incorporation or Bylaws; Change in Fiscal Year </w:t>
      </w:r>
      <w:r>
        <w:rPr>
          <w:rFonts w:ascii="Times New Roman" w:cs="Times New Roman" w:eastAsia="Times New Roman" w:hAnsi="Times New Roman"/>
          <w:sz w:val="18"/>
          <w:szCs w:val="18"/>
          <w:i w:val="1"/>
          <w:iCs w:val="1"/>
          <w:color w:val="auto"/>
        </w:rPr>
        <w:t>Amendment and Restatement of Certificate of Incorporation and Bylaws</w:t>
      </w:r>
    </w:p>
    <w:p>
      <w:pPr>
        <w:spacing w:after="0" w:line="1"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On February 8, 2021, 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an Amended and Restated Certificate of Incorporation (the “</w:t>
      </w:r>
      <w:r>
        <w:rPr>
          <w:rFonts w:ascii="Times New Roman" w:cs="Times New Roman" w:eastAsia="Times New Roman" w:hAnsi="Times New Roman"/>
          <w:sz w:val="18"/>
          <w:szCs w:val="18"/>
          <w:b w:val="1"/>
          <w:bCs w:val="1"/>
          <w:i w:val="1"/>
          <w:i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with the Secretary of State of the State of Delaware in connection with the closing of the Company’s initial public offering of shares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stockholders previously approved the Amended Certificate to be filed in connection with, and to be effective upon, the closing of the IPO, and the form of the Amended Certificate was filed as an exhibit to the Company’s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in connection with the IPO. On February 8, 2021, the Company’s Amended and Restated Bylaws (the “</w:t>
      </w:r>
      <w:r>
        <w:rPr>
          <w:rFonts w:ascii="Times New Roman" w:cs="Times New Roman" w:eastAsia="Times New Roman" w:hAnsi="Times New Roman"/>
          <w:sz w:val="18"/>
          <w:szCs w:val="18"/>
          <w:b w:val="1"/>
          <w:bCs w:val="1"/>
          <w:i w:val="1"/>
          <w:iCs w:val="1"/>
          <w:color w:val="auto"/>
        </w:rPr>
        <w:t>Amended Bylaws</w:t>
      </w:r>
      <w:r>
        <w:rPr>
          <w:rFonts w:ascii="Times New Roman" w:cs="Times New Roman" w:eastAsia="Times New Roman" w:hAnsi="Times New Roman"/>
          <w:sz w:val="18"/>
          <w:szCs w:val="18"/>
          <w:color w:val="auto"/>
        </w:rPr>
        <w:t>”) became effective in connection with the closing of the IPO. The Board and stockholders previously approved the Amended Bylaws to become effective upon the closing of the IPO, and the form of the Amended Bylaws was filed as an exhibit to the Registration Statement.</w:t>
      </w:r>
    </w:p>
    <w:p>
      <w:pPr>
        <w:spacing w:after="0" w:line="189"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The Amended Certificate amends and restates in its entirety the Company’s Amended and Restated Certificate of Incorporation, as amended, and the Amended Bylaws amend and restate, in their entirety, the Company’s Bylaws. Collectively, the Amended Certificate and the Amended Bylaws, among other things: (i) authorize 250,000,000 shares of common stock; (ii) eliminate all references to the previously existing series of preferred stock;</w:t>
      </w:r>
    </w:p>
    <w:p>
      <w:pPr>
        <w:spacing w:after="0" w:line="2" w:lineRule="exact"/>
        <w:rPr>
          <w:sz w:val="20"/>
          <w:szCs w:val="20"/>
          <w:color w:val="auto"/>
        </w:rPr>
      </w:pPr>
    </w:p>
    <w:p>
      <w:pPr>
        <w:ind w:left="4" w:right="160" w:hanging="4"/>
        <w:spacing w:after="0" w:line="250"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10,000,000 shares of undesignated preferred stock that may be issued from time to time by the Board in one or more series; (iv) provide that the Board be divided into three classes with staggered three-year terms, with one class of directors to be elected at each annual meeting of the Company’s stockholders; (v) provide that directors may only be removed with cause and only upon the affirmative vote of holders of at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least two-thirds of the voting power of all then-outstanding shares of capital stock of the Company entitled to vote generally in the election of directors;</w:t>
      </w:r>
    </w:p>
    <w:p>
      <w:pPr>
        <w:spacing w:after="0" w:line="9" w:lineRule="exact"/>
        <w:rPr>
          <w:rFonts w:ascii="Times New Roman" w:cs="Times New Roman" w:eastAsia="Times New Roman" w:hAnsi="Times New Roman"/>
          <w:sz w:val="18"/>
          <w:szCs w:val="18"/>
          <w:color w:val="auto"/>
        </w:rPr>
      </w:pPr>
    </w:p>
    <w:p>
      <w:pPr>
        <w:ind w:left="4" w:right="140" w:hanging="4"/>
        <w:spacing w:after="0" w:line="255"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limited exceptions, vacancies on the Board shall only be filled by the remaining members of the Board; (vii) eliminate the ability of the Company’s stockholders to take action by written consent in lieu of a meeting; and (viii) provide that only the Board, the chairman of the Board or the chief executive officer may call a special meeting of stockholders.</w:t>
      </w:r>
    </w:p>
    <w:p>
      <w:pPr>
        <w:spacing w:after="0" w:line="186"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Certificate and the Amended Bylaws is qualified in its entirety by reference to the full text of the Amended Certificate, which is filed as Exhibit 3.1 to this Current Report on Form 8-K, and the Amended Bylaws, which is filed as Exhibit 3.2 to this Current Report on Form 8-K, each of which is incorporated by reference herein.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On February 10, 2021, the Company issued a press release announcing the closings of the IPO. In the aggregate, the Company has issued and sold 8,030,295 shares of its common stock in the IPO, including 1,030,243 shares issued and sold pursuant to the partial exercise by the underwriters of their option to purchase additional shares of common stock, at a price to the public of $19.00 per share. The gross proceeds to the Company were approximately $152.6 million, before deducting underwriting discounts and commissions and offering expenses.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copy of the Company’s press release is attached hereto as Exhibit 99.1 and is incorporated by reference herein.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360" w:type="dxa"/>
            <w:vAlign w:val="bottom"/>
            <w:gridSpan w:val="3"/>
          </w:tcPr>
          <w:p>
            <w:pPr>
              <w:ind w:left="420"/>
              <w:spacing w:after="0"/>
              <w:rPr>
                <w:rFonts w:ascii="Times New Roman" w:cs="Times New Roman" w:eastAsia="Times New Roman" w:hAnsi="Times New Roman"/>
                <w:sz w:val="18"/>
                <w:szCs w:val="18"/>
                <w:u w:val="single" w:color="auto"/>
                <w:color w:val="0000EE"/>
                <w:w w:val="99"/>
              </w:rPr>
            </w:pPr>
            <w:hyperlink w:anchor="page4">
              <w:r>
                <w:rPr>
                  <w:rFonts w:ascii="Times New Roman" w:cs="Times New Roman" w:eastAsia="Times New Roman" w:hAnsi="Times New Roman"/>
                  <w:sz w:val="18"/>
                  <w:szCs w:val="18"/>
                  <w:u w:val="single" w:color="auto"/>
                  <w:color w:val="0000EE"/>
                  <w:w w:val="99"/>
                </w:rPr>
                <w:t>Amended and Restated Certificate of Incorporation of Sensei Biotherapeutics, Inc.</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360" w:type="dxa"/>
            <w:vAlign w:val="bottom"/>
            <w:gridSpan w:val="3"/>
          </w:tcPr>
          <w:p>
            <w:pPr>
              <w:ind w:left="42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u w:val="single" w:color="auto"/>
                  <w:color w:val="0000EE"/>
                </w:rPr>
                <w:t>Amended and Restated Bylaws of Sensei Biotherapeutics, Inc</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360" w:type="dxa"/>
            <w:vAlign w:val="bottom"/>
            <w:gridSpan w:val="3"/>
          </w:tcPr>
          <w:p>
            <w:pPr>
              <w:ind w:left="4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Press Release, dated February 10, 2021.</w:t>
              </w:r>
            </w:hyperlink>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6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 February 11, 2021</w:t>
      </w:r>
      <w:r>
        <w:rPr>
          <w:sz w:val="20"/>
          <w:szCs w:val="20"/>
          <w:color w:val="auto"/>
        </w:rPr>
        <w:tab/>
      </w:r>
      <w:r>
        <w:rPr>
          <w:rFonts w:ascii="Times New Roman" w:cs="Times New Roman" w:eastAsia="Times New Roman" w:hAnsi="Times New Roman"/>
          <w:sz w:val="17"/>
          <w:szCs w:val="17"/>
          <w:b w:val="1"/>
          <w:bCs w:val="1"/>
          <w:color w:val="auto"/>
        </w:rPr>
        <w:t>Sensei Biotherapeutics, Inc.</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John Celebi</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Sensei Biotherapeutics,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as follows: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name of the Company is Sensei Biotherapeutics, Inc.</w:t>
      </w:r>
    </w:p>
    <w:p>
      <w:pPr>
        <w:spacing w:after="0" w:line="22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Company’s original Certificate of Incorporation was filed with the Secretary of State of the State of Delaware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 2017, under the name PPI Holdings, Inc. The Certificate of Incorporation was last amended and restated by an Amended and Restated Certificate of Incorporation on December 29, 2020.</w:t>
      </w:r>
    </w:p>
    <w:p>
      <w:pPr>
        <w:spacing w:after="0" w:line="17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Board of Directors of the Company, acting in accordance with the provisions of Sections 141 and 242 of the DGCL,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resolutions proposing to amend and restate the Certificate of Incorporation of the Company, declaring said amendment and restatement to be advisable and in the best interests of the Company and its stockholders, and authorizing the appropriate officers of the Company to solicit the consent of the stockholders therefore, and this Amended and Restated Certificate of Incorporation was approved by the holders of the requisite number of shares of stock of the Company in accordance with Section 228 of the DGCL.</w:t>
      </w:r>
    </w:p>
    <w:p>
      <w:pPr>
        <w:spacing w:after="0" w:line="179"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this Amended and Restated Certificate of Incorporation has been duly adopted and approved by the Board of Directors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in accordance with Sections 242 and 245 of the DGCL.</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this Amended and Restated Certificate of Incorporation so adopted reads in full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herein by reference in its entirety.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Sensei Biotherapeutics, Inc. has caused this Amended and Restated Certificate of Incorporation to be signed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on this 8th day of February, 2021.</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John Celebi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corporation is 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Incorporating Services, Ltd., 3500 South DuPont Highway, in the City of Dover, County of Kent, Delaware 19901. The name of the registered agent of the Company in the State of Delaware at such address is Incorporating Services, Ltd.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is authorized to issue two classes of stock to be designated, respectively, “Common Stock” and “Preferred Stock.”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all classes of capital stock which the Company shall have authority to issue is 260,000,000 shares, of which 250,000,000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each share having a par value of one-hundredth of one cent ($0.0001), and 10,000,000 shares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each share having a par value of one-hundredth of one cent ($0.0001).</w:t>
      </w:r>
    </w:p>
    <w:p>
      <w:pPr>
        <w:spacing w:after="0" w:line="176"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Preferred Stock may be issued from time to time in one or more series.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authorized to provide for the issue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ectPr>
          <w:pgSz w:w="11900" w:h="16838" w:orient="portrait"/>
          <w:cols w:equalWidth="0" w:num="1">
            <w:col w:w="11020"/>
          </w:cols>
          <w:pgMar w:left="440" w:top="266" w:right="439" w:bottom="1440" w:gutter="0" w:footer="0" w:header="0"/>
        </w:sectPr>
      </w:pPr>
    </w:p>
    <w:bookmarkStart w:id="5" w:name="page6"/>
    <w:bookmarkEnd w:id="5"/>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 </w:t>
      </w:r>
      <w:r>
        <w:rPr>
          <w:rFonts w:ascii="Times New Roman" w:cs="Times New Roman" w:eastAsia="Times New Roman" w:hAnsi="Times New Roman"/>
          <w:sz w:val="18"/>
          <w:szCs w:val="18"/>
          <w:color w:val="auto"/>
        </w:rPr>
        <w:t>Each outstanding share of Common Stock shall entitle the holder thereof to one vote on each matter properly submitted to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for their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M</w:t>
      </w:r>
      <w:r>
        <w:rPr>
          <w:rFonts w:ascii="Times New Roman" w:cs="Times New Roman" w:eastAsia="Times New Roman" w:hAnsi="Times New Roman"/>
          <w:sz w:val="14"/>
          <w:szCs w:val="14"/>
          <w:b w:val="1"/>
          <w:bCs w:val="1"/>
          <w:color w:val="auto"/>
        </w:rPr>
        <w:t>ANAGEMENT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management of the business and the conduct of the affairs of the Company shall be vested in its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160" w:firstLine="987"/>
        <w:spacing w:after="0" w:line="286" w:lineRule="auto"/>
        <w:tabs>
          <w:tab w:leader="none" w:pos="11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The number of directors that shall constitute the Board shall be fixed exclusively by resolutions adopted by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number of directors constituting the Board.</w:t>
      </w:r>
    </w:p>
    <w:p>
      <w:pPr>
        <w:spacing w:after="0" w:line="154"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1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closing of the initial public offering pursuant to an effective registration statement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covering the offer and sale of securities to the public (the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left="1140" w:hanging="173"/>
        <w:spacing w:after="0"/>
        <w:tabs>
          <w:tab w:leader="none" w:pos="114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Removal.</w:t>
      </w:r>
    </w:p>
    <w:p>
      <w:pPr>
        <w:spacing w:after="0" w:line="229" w:lineRule="exact"/>
        <w:rPr>
          <w:rFonts w:ascii="Times New Roman" w:cs="Times New Roman" w:eastAsia="Times New Roman" w:hAnsi="Times New Roman"/>
          <w:sz w:val="18"/>
          <w:szCs w:val="18"/>
          <w:b w:val="1"/>
          <w:bCs w:val="1"/>
          <w:color w:val="auto"/>
        </w:rPr>
      </w:pPr>
    </w:p>
    <w:p>
      <w:pPr>
        <w:ind w:left="-20" w:right="340" w:firstLine="1428"/>
        <w:spacing w:after="0" w:line="282" w:lineRule="auto"/>
        <w:tabs>
          <w:tab w:leader="none" w:pos="1592"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any series of Preferred Stock to elect additional directors under specified circumstances, following the closing of the Initial Public Offering, neither the Board nor any individual director may be removed without cause.</w:t>
      </w:r>
    </w:p>
    <w:p>
      <w:pPr>
        <w:spacing w:after="0" w:line="161" w:lineRule="exact"/>
        <w:rPr>
          <w:rFonts w:ascii="Times New Roman" w:cs="Times New Roman" w:eastAsia="Times New Roman" w:hAnsi="Times New Roman"/>
          <w:sz w:val="18"/>
          <w:szCs w:val="18"/>
          <w:b w:val="1"/>
          <w:bCs w:val="1"/>
          <w:color w:val="auto"/>
        </w:rPr>
      </w:pPr>
    </w:p>
    <w:p>
      <w:pPr>
        <w:ind w:left="-20" w:right="80" w:firstLine="1428"/>
        <w:spacing w:after="0" w:line="266" w:lineRule="auto"/>
        <w:tabs>
          <w:tab w:leader="none" w:pos="1602"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 imposed by law, any individual director or directors may be removed with cause by the affirmative vote of the holders of at least sixty-six and two-thirds percent (66 2/3%) of the voting power of all then-outstanding shares of capital stock of the Company entitled to vote generally at an election of directors.</w:t>
      </w:r>
    </w:p>
    <w:p>
      <w:pPr>
        <w:spacing w:after="0" w:line="171" w:lineRule="exact"/>
        <w:rPr>
          <w:rFonts w:ascii="Times New Roman" w:cs="Times New Roman" w:eastAsia="Times New Roman" w:hAnsi="Times New Roman"/>
          <w:sz w:val="18"/>
          <w:szCs w:val="18"/>
          <w:b w:val="1"/>
          <w:bCs w:val="1"/>
          <w:color w:val="auto"/>
        </w:rPr>
      </w:pPr>
    </w:p>
    <w:p>
      <w:pPr>
        <w:ind w:left="-20" w:firstLine="987"/>
        <w:spacing w:after="0" w:line="257" w:lineRule="auto"/>
        <w:tabs>
          <w:tab w:leader="none" w:pos="1151"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Vacancies. </w:t>
      </w:r>
      <w:r>
        <w:rPr>
          <w:rFonts w:ascii="Times New Roman" w:cs="Times New Roman" w:eastAsia="Times New Roman" w:hAnsi="Times New Roman"/>
          <w:sz w:val="18"/>
          <w:szCs w:val="18"/>
          <w:color w:val="auto"/>
        </w:rPr>
        <w:t>Subject to the rights of the holders of any series of Preferred Stock, any vacancies on the Board resulting from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disqualification, removal or other causes, and any newly created directorships resulting from any increase in the number of directors, shall, unless the Board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ind w:left="-20" w:right="40" w:firstLine="436"/>
        <w:spacing w:after="0" w:line="257"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YLAW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is expressly empowered to adopt, amend or repeal the Bylaws of the Company. Any adoption,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repeal of the Bylaws of the Company by the Board shall require the approval of a majority of the authorized number of directors. The stockholders shall also have power to adopt, amend or repeal the Bylaws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Company entitled to vote generally in the election of directors, voting together as a single class.</w:t>
      </w:r>
    </w:p>
    <w:p>
      <w:pPr>
        <w:spacing w:after="0" w:line="182" w:lineRule="exact"/>
        <w:rPr>
          <w:rFonts w:ascii="Times New Roman" w:cs="Times New Roman" w:eastAsia="Times New Roman" w:hAnsi="Times New Roman"/>
          <w:sz w:val="18"/>
          <w:szCs w:val="18"/>
          <w:b w:val="1"/>
          <w:bCs w:val="1"/>
          <w:color w:val="auto"/>
        </w:rPr>
      </w:pPr>
    </w:p>
    <w:p>
      <w:pPr>
        <w:ind w:left="640" w:hanging="224"/>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RITTEN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ALLOTS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of the Company need not be elected by written ballot unless the Bylaws so provide.</w:t>
      </w:r>
    </w:p>
    <w:p>
      <w:pPr>
        <w:spacing w:after="0" w:line="225" w:lineRule="exact"/>
        <w:rPr>
          <w:rFonts w:ascii="Times New Roman" w:cs="Times New Roman" w:eastAsia="Times New Roman" w:hAnsi="Times New Roman"/>
          <w:sz w:val="18"/>
          <w:szCs w:val="18"/>
          <w:b w:val="1"/>
          <w:bCs w:val="1"/>
          <w:color w:val="auto"/>
        </w:rPr>
      </w:pPr>
    </w:p>
    <w:p>
      <w:pPr>
        <w:ind w:left="-20" w:right="540" w:firstLine="436"/>
        <w:spacing w:after="0" w:line="317" w:lineRule="auto"/>
        <w:tabs>
          <w:tab w:leader="none" w:pos="63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3"/>
          <w:szCs w:val="13"/>
          <w:b w:val="1"/>
          <w:bCs w:val="1"/>
          <w:color w:val="auto"/>
        </w:rPr>
        <w:t>CTION BY</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action shall be taken by the stockholders of the Company except at an annual or special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called in accordance with the Bylaws and no action shall be taken by the stockholders by written consent or electronic transmission.</w:t>
      </w:r>
    </w:p>
    <w:p>
      <w:pPr>
        <w:spacing w:after="0" w:line="131" w:lineRule="exact"/>
        <w:rPr>
          <w:rFonts w:ascii="Times New Roman" w:cs="Times New Roman" w:eastAsia="Times New Roman" w:hAnsi="Times New Roman"/>
          <w:sz w:val="17"/>
          <w:szCs w:val="17"/>
          <w:b w:val="1"/>
          <w:bCs w:val="1"/>
          <w:color w:val="auto"/>
        </w:rPr>
      </w:pPr>
    </w:p>
    <w:p>
      <w:pPr>
        <w:ind w:left="-20" w:right="380" w:firstLine="436"/>
        <w:spacing w:after="0" w:line="286" w:lineRule="auto"/>
        <w:tabs>
          <w:tab w:leader="none" w:pos="60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DVANCE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notice of stockholder nominations for the election of directors and of business to be brought by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any meeting of the stockholders of the Company shall be given in the manner provided in the Bylaws of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for monetary damages shall be eliminated to the fullest extent under applicable law. If the DGCL is amended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corporate action further eliminating or limiting the personal liability of directors, then the liability of a director of the Company shall be eliminated to the fullest extent permitted by the DGCL, as so amended.</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Any repeal or modification of this Article VI shall be prospective and shall not affect the rights under this Article VI in effect at the time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alleged occurrence of any act or omission to act giving rise to liability or indemnification.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(or, if and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(i) any derivative claim or cause of action brought on behalf of the Company; (ii) any claim or cause of action for breach of a fiduciary duty owed by any current or former director, officer or other employee of the Company, to the Company or the Company’s stockholders; (iii) any claim or cause of action against the Company or any current or former director, officer or other employee of the Company, arising out of or pursuant to any provision of the DGCL, this Amended and Restated Certificate of Incorporation or the Bylaws of the Company (as each may be amended from time to time); (iv) any claim or cause of action seeking to interpret, apply, enforce or determine the validity of this Amended and Restated Certificate of Incorporation or the Bylaws of the Company (as each may be amended from time to time, including any right, obligation, or remedy thereunder); (v) any claim or cause of action as to which the DGCL confers jurisdiction on the Court of Chancery of the State of Delaware; and (vi) any claim or cause of action against the Company or any current or former director, officer or other employee of the Company, governed by the internal-affairs doctrine, in all cases to the fullest extent permitted by law and subject to the court having personal jurisdiction over the indispensable parties named as defendants. This Section A of Article VII shall not apply to claims or causes of action brought to enforce a duty or liability created by the Securities Act of 1933, as amended (the “</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 or the Securities Exchange Act of 1934, as amended, or any other claim for which the federal courts have exclusive jurisdiction.</w:t>
      </w:r>
    </w:p>
    <w:p>
      <w:pPr>
        <w:spacing w:after="0" w:line="183"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Unless the Company consents in writing to the selection of an alternative forum, to the fullest extent permitted by law, the federal district courts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United States of America shall be the exclusive forum for the resolution of any complaint asserting a cause of action arising under the 1933 Act.</w:t>
      </w:r>
    </w:p>
    <w:p>
      <w:pPr>
        <w:spacing w:after="0" w:line="13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person or entity holding, owning or otherwise acquiring any interest in any security of the Company shall be deemed to have notice 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consented to the provisions of this Amended and Restated Certificate of Incorporation.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VIII.</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this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 the manner now or hereafter prescribed by statute, except as provided in paragraph B. of this Article VIII, and all rights conferred upon the stockholders herein are granted subject to this reservation.</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this Amended and Restated Certificate of Incorporation or any provision of law which might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permit a lesser vote or no vote, but in addition to any affirmative vote of the holders of any particular class or series of the Company required by law or by this Amended and Restated Certificate of Incorporation or any certificate of designation filed with respect to a series of Preferred Stock that may be designated from time to time, the affirmative vote of the holders of at least sixty-six and two-thirds percent (66 2/3%) of the voting power of all of the then-outstanding shares of capital stock of the Company entitled to vote generally in the election of directors, voting together as a single class, shall be required to alter, amend or repeal Articles V, VI, VII and VIII.</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February 8, 2021</w:t>
      </w:r>
    </w:p>
    <w:p>
      <w:pPr>
        <w:sectPr>
          <w:pgSz w:w="11900" w:h="16838" w:orient="portrait"/>
          <w:cols w:equalWidth="0" w:num="1">
            <w:col w:w="10020"/>
          </w:cols>
          <w:pgMar w:left="1440" w:top="117"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SENSEI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shall be established and maintained at the office of Incorporating Services, Ltd., 3500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DuPont Highway, in the City of Dover, County of Kent, in the State of Delaware, 19901 and said corporation, or other such person or entity as the Board of Directors may from time to time designate, shall be the registered agent of the corporation.</w:t>
      </w:r>
    </w:p>
    <w:p>
      <w:pPr>
        <w:spacing w:after="0" w:line="171"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shall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jc w:val="both"/>
        <w:ind w:right="3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either within or without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 Annual Meetings.</w:t>
      </w:r>
    </w:p>
    <w:p>
      <w:pPr>
        <w:spacing w:after="0" w:line="229" w:lineRule="exact"/>
        <w:rPr>
          <w:sz w:val="20"/>
          <w:szCs w:val="20"/>
          <w:color w:val="auto"/>
        </w:rPr>
      </w:pPr>
    </w:p>
    <w:p>
      <w:pPr>
        <w:jc w:val="both"/>
        <w:ind w:right="180" w:firstLine="987"/>
        <w:spacing w:after="0" w:line="261" w:lineRule="auto"/>
        <w:tabs>
          <w:tab w:leader="none" w:pos="124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w:t>
      </w:r>
    </w:p>
    <w:p>
      <w:pPr>
        <w:sectPr>
          <w:pgSz w:w="11900" w:h="16838" w:orient="portrait"/>
          <w:cols w:equalWidth="0" w:num="1">
            <w:col w:w="11020"/>
          </w:cols>
          <w:pgMar w:left="440" w:top="266" w:right="439" w:bottom="1440" w:gutter="0" w:footer="0" w:header="0"/>
        </w:sectPr>
      </w:pPr>
    </w:p>
    <w:bookmarkStart w:id="11" w:name="page12"/>
    <w:bookmarkEnd w:id="1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18"/>
          <w:szCs w:val="18"/>
          <w:b w:val="1"/>
          <w:bCs w:val="1"/>
          <w:i w:val="1"/>
          <w:iCs w:val="1"/>
          <w:color w:val="auto"/>
        </w:rPr>
        <w:t>1934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before an annual meeting of stockholders.</w:t>
      </w:r>
    </w:p>
    <w:p>
      <w:pPr>
        <w:spacing w:after="0" w:line="187" w:lineRule="exact"/>
        <w:rPr>
          <w:sz w:val="20"/>
          <w:szCs w:val="20"/>
          <w:color w:val="auto"/>
        </w:rPr>
      </w:pPr>
    </w:p>
    <w:p>
      <w:pPr>
        <w:ind w:right="360" w:firstLine="987"/>
        <w:spacing w:after="0" w:line="282" w:lineRule="auto"/>
        <w:tabs>
          <w:tab w:leader="none" w:pos="125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Delaware law and as shall have been properly brought before the meeting.</w:t>
      </w:r>
    </w:p>
    <w:p>
      <w:pPr>
        <w:spacing w:after="0" w:line="161" w:lineRule="exact"/>
        <w:rPr>
          <w:rFonts w:ascii="Times New Roman" w:cs="Times New Roman" w:eastAsia="Times New Roman" w:hAnsi="Times New Roman"/>
          <w:sz w:val="18"/>
          <w:szCs w:val="18"/>
          <w:b w:val="1"/>
          <w:bCs w:val="1"/>
          <w:color w:val="auto"/>
        </w:rPr>
      </w:pPr>
    </w:p>
    <w:p>
      <w:pPr>
        <w:ind w:right="60" w:firstLine="1428"/>
        <w:spacing w:after="0" w:line="253" w:lineRule="auto"/>
        <w:tabs>
          <w:tab w:leader="none" w:pos="1687"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87" w:lineRule="exact"/>
        <w:rPr>
          <w:rFonts w:ascii="Times New Roman" w:cs="Times New Roman" w:eastAsia="Times New Roman" w:hAnsi="Times New Roman"/>
          <w:sz w:val="18"/>
          <w:szCs w:val="18"/>
          <w:b w:val="1"/>
          <w:bCs w:val="1"/>
          <w:color w:val="auto"/>
        </w:rPr>
      </w:pPr>
    </w:p>
    <w:p>
      <w:pPr>
        <w:ind w:firstLine="1428"/>
        <w:spacing w:after="0" w:line="254" w:lineRule="auto"/>
        <w:tabs>
          <w:tab w:leader="none" w:pos="1687"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2" w:name="page13"/>
    <w:bookmarkEnd w:id="12"/>
    <w:p>
      <w:pPr>
        <w:ind w:left="4" w:right="140" w:firstLine="1428"/>
        <w:spacing w:after="0" w:line="270" w:lineRule="auto"/>
        <w:tabs>
          <w:tab w:leader="none" w:pos="1691" w:val="left"/>
        </w:tabs>
        <w:numPr>
          <w:ilvl w:val="1"/>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timely, the written notice required by Section 5(b)(1) or 5(b)(2) must be received by the Secretary at the principal executive offices of the corporation not later than the close of business on the ninetieth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nor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prior to the first anniversary of the preceding year’s annual meeting;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subject to the last sentence of this Section 5(b)(3), in the event that the date of the annual meeting is advanced more than thirty (30) days prior to or delayed by more than thirty</w:t>
      </w:r>
    </w:p>
    <w:p>
      <w:pPr>
        <w:spacing w:after="0" w:line="2" w:lineRule="exact"/>
        <w:rPr>
          <w:rFonts w:ascii="Times New Roman" w:cs="Times New Roman" w:eastAsia="Times New Roman" w:hAnsi="Times New Roman"/>
          <w:sz w:val="17"/>
          <w:szCs w:val="17"/>
          <w:b w:val="1"/>
          <w:bCs w:val="1"/>
          <w:color w:val="auto"/>
        </w:rPr>
      </w:pPr>
    </w:p>
    <w:p>
      <w:pPr>
        <w:ind w:left="4" w:right="80" w:hanging="4"/>
        <w:spacing w:after="0" w:line="253" w:lineRule="auto"/>
        <w:tabs>
          <w:tab w:leader="none" w:pos="3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anniversary of the preceding year’s annual meeting, notice by the stockholder to be timely must be so received not earlier than the close of business on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86" w:lineRule="exact"/>
        <w:rPr>
          <w:rFonts w:ascii="Times New Roman" w:cs="Times New Roman" w:eastAsia="Times New Roman" w:hAnsi="Times New Roman"/>
          <w:sz w:val="18"/>
          <w:szCs w:val="18"/>
          <w:color w:val="auto"/>
        </w:rPr>
      </w:pPr>
    </w:p>
    <w:p>
      <w:pPr>
        <w:ind w:left="4" w:firstLine="1428"/>
        <w:spacing w:after="0" w:line="252" w:lineRule="auto"/>
        <w:tabs>
          <w:tab w:leader="none" w:pos="1691"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18"/>
          <w:szCs w:val="18"/>
          <w:b w:val="1"/>
          <w:bCs w:val="1"/>
          <w:i w:val="1"/>
          <w:iCs w:val="1"/>
          <w:color w:val="auto"/>
        </w:rPr>
        <w:t>Proponent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Proponents</w:t>
      </w:r>
      <w:r>
        <w:rPr>
          <w:rFonts w:ascii="Times New Roman" w:cs="Times New Roman" w:eastAsia="Times New Roman" w:hAnsi="Times New Roman"/>
          <w:sz w:val="18"/>
          <w:szCs w:val="18"/>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9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For purposes of Sections 5 and 6, a “</w:t>
      </w:r>
      <w:r>
        <w:rPr>
          <w:rFonts w:ascii="Times New Roman" w:cs="Times New Roman" w:eastAsia="Times New Roman" w:hAnsi="Times New Roman"/>
          <w:sz w:val="18"/>
          <w:szCs w:val="18"/>
          <w:b w:val="1"/>
          <w:bCs w:val="1"/>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Proponent or any of its affiliates or associates, whether record or beneficial:</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3" w:name="page14"/>
    <w:bookmarkEnd w:id="13"/>
    <w:p>
      <w:pPr>
        <w:ind w:left="744" w:hanging="304"/>
        <w:spacing w:after="0"/>
        <w:tabs>
          <w:tab w:leader="none" w:pos="7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value of which is derived in whole or in part from the value of any class or series of shares or other securities of the corporation,</w:t>
      </w:r>
    </w:p>
    <w:p>
      <w:pPr>
        <w:spacing w:after="0" w:line="117" w:lineRule="exact"/>
        <w:rPr>
          <w:rFonts w:ascii="Times New Roman" w:cs="Times New Roman" w:eastAsia="Times New Roman" w:hAnsi="Times New Roman"/>
          <w:sz w:val="18"/>
          <w:szCs w:val="18"/>
          <w:color w:val="auto"/>
        </w:rPr>
      </w:pPr>
    </w:p>
    <w:p>
      <w:pPr>
        <w:ind w:left="444" w:right="40" w:hanging="4"/>
        <w:spacing w:after="0" w:line="282" w:lineRule="auto"/>
        <w:tabs>
          <w:tab w:leader="none" w:pos="6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otherwise provides any direct or indirect opportunity to gain or share in any gain derived from a change in the value of securities of the corporation,</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of security value or price changes, or</w:t>
      </w:r>
    </w:p>
    <w:p>
      <w:pPr>
        <w:spacing w:after="0" w:line="117" w:lineRule="exact"/>
        <w:rPr>
          <w:rFonts w:ascii="Times New Roman" w:cs="Times New Roman" w:eastAsia="Times New Roman" w:hAnsi="Times New Roman"/>
          <w:sz w:val="18"/>
          <w:szCs w:val="18"/>
          <w:color w:val="auto"/>
        </w:rPr>
      </w:pPr>
    </w:p>
    <w:p>
      <w:pPr>
        <w:ind w:left="444" w:right="60" w:hanging="4"/>
        <w:spacing w:after="0" w:line="282"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provides the right to vote or increase or decrease the voting power of, such Proponent, or any of its affiliates or associates, with respect to any securities of the corporation,</w:t>
      </w:r>
    </w:p>
    <w:p>
      <w:pPr>
        <w:spacing w:after="0" w:line="162"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83" w:lineRule="exact"/>
        <w:rPr>
          <w:sz w:val="20"/>
          <w:szCs w:val="20"/>
          <w:color w:val="auto"/>
        </w:rPr>
      </w:pPr>
    </w:p>
    <w:p>
      <w:pPr>
        <w:ind w:left="4" w:right="160" w:firstLine="987"/>
        <w:spacing w:after="0" w:line="272" w:lineRule="auto"/>
        <w:tabs>
          <w:tab w:leader="none" w:pos="1240" w:val="left"/>
        </w:tabs>
        <w:numPr>
          <w:ilvl w:val="1"/>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stockholder providing written notice required by Section 5(b)(1) or (2)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1" w:lineRule="exact"/>
        <w:rPr>
          <w:rFonts w:ascii="Times New Roman" w:cs="Times New Roman" w:eastAsia="Times New Roman" w:hAnsi="Times New Roman"/>
          <w:sz w:val="17"/>
          <w:szCs w:val="17"/>
          <w:b w:val="1"/>
          <w:bCs w:val="1"/>
          <w:color w:val="auto"/>
        </w:rPr>
      </w:pPr>
    </w:p>
    <w:p>
      <w:pPr>
        <w:ind w:left="4" w:hanging="4"/>
        <w:spacing w:after="0" w:line="253"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86"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Times New Roman" w:cs="Times New Roman" w:eastAsia="Times New Roman" w:hAnsi="Times New Roman"/>
          <w:sz w:val="18"/>
          <w:szCs w:val="18"/>
          <w:b w:val="1"/>
          <w:bCs w:val="1"/>
          <w:i w:val="1"/>
          <w:iCs w:val="1"/>
          <w:color w:val="auto"/>
        </w:rPr>
        <w:t>Expiring Class</w:t>
      </w:r>
      <w:r>
        <w:rPr>
          <w:rFonts w:ascii="Times New Roman" w:cs="Times New Roman" w:eastAsia="Times New Roman" w:hAnsi="Times New Roman"/>
          <w:sz w:val="18"/>
          <w:szCs w:val="18"/>
          <w:color w:val="auto"/>
        </w:rPr>
        <w:t>” shall mean a class of directors whose term shall expire at the next annual meeting of stockholders.</w:t>
      </w:r>
    </w:p>
    <w:p>
      <w:pPr>
        <w:spacing w:after="0" w:line="12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4"/>
          </w:cols>
          <w:pgMar w:left="436" w:top="270" w:right="519" w:bottom="1440" w:gutter="0" w:footer="0" w:header="0"/>
        </w:sectPr>
      </w:pPr>
    </w:p>
    <w:bookmarkStart w:id="14" w:name="page15"/>
    <w:bookmarkEnd w:id="14"/>
    <w:p>
      <w:pPr>
        <w:ind w:left="1244" w:hanging="253"/>
        <w:spacing w:after="0"/>
        <w:tabs>
          <w:tab w:leader="none" w:pos="124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person shall not be eligible for election or re-election as a director unless the person is nominated either in accordance with clause</w:t>
      </w:r>
    </w:p>
    <w:p>
      <w:pPr>
        <w:spacing w:after="0" w:line="27" w:lineRule="exact"/>
        <w:rPr>
          <w:rFonts w:ascii="Times New Roman" w:cs="Times New Roman" w:eastAsia="Times New Roman" w:hAnsi="Times New Roman"/>
          <w:sz w:val="18"/>
          <w:szCs w:val="18"/>
          <w:b w:val="1"/>
          <w:bCs w:val="1"/>
          <w:color w:val="auto"/>
        </w:rPr>
      </w:pPr>
    </w:p>
    <w:p>
      <w:pPr>
        <w:ind w:left="4" w:right="20" w:hanging="4"/>
        <w:spacing w:after="0" w:line="252"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89" w:lineRule="exact"/>
        <w:rPr>
          <w:rFonts w:ascii="Times New Roman" w:cs="Times New Roman" w:eastAsia="Times New Roman" w:hAnsi="Times New Roman"/>
          <w:sz w:val="18"/>
          <w:szCs w:val="18"/>
          <w:color w:val="auto"/>
        </w:rPr>
      </w:pPr>
    </w:p>
    <w:p>
      <w:pPr>
        <w:ind w:left="4" w:firstLine="987"/>
        <w:spacing w:after="0" w:line="256" w:lineRule="auto"/>
        <w:tabs>
          <w:tab w:leader="none" w:pos="12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87"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221" w:lineRule="exact"/>
        <w:rPr>
          <w:rFonts w:ascii="Times New Roman" w:cs="Times New Roman" w:eastAsia="Times New Roman" w:hAnsi="Times New Roman"/>
          <w:sz w:val="18"/>
          <w:szCs w:val="18"/>
          <w:b w:val="1"/>
          <w:bCs w:val="1"/>
          <w:color w:val="auto"/>
        </w:rPr>
      </w:pPr>
    </w:p>
    <w:p>
      <w:pPr>
        <w:ind w:left="4" w:right="180" w:firstLine="1428"/>
        <w:spacing w:after="0" w:line="268" w:lineRule="auto"/>
        <w:tabs>
          <w:tab w:leader="none" w:pos="1691"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70" w:lineRule="exact"/>
        <w:rPr>
          <w:rFonts w:ascii="Times New Roman" w:cs="Times New Roman" w:eastAsia="Times New Roman" w:hAnsi="Times New Roman"/>
          <w:sz w:val="18"/>
          <w:szCs w:val="18"/>
          <w:b w:val="1"/>
          <w:bCs w:val="1"/>
          <w:color w:val="auto"/>
        </w:rPr>
      </w:pPr>
    </w:p>
    <w:p>
      <w:pPr>
        <w:ind w:left="1684" w:hanging="252"/>
        <w:spacing w:after="0"/>
        <w:tabs>
          <w:tab w:leader="none" w:pos="1684"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associates</w:t>
      </w:r>
      <w:r>
        <w:rPr>
          <w:rFonts w:ascii="Times New Roman" w:cs="Times New Roman" w:eastAsia="Times New Roman" w:hAnsi="Times New Roman"/>
          <w:sz w:val="18"/>
          <w:szCs w:val="18"/>
          <w:color w:val="auto"/>
        </w:rPr>
        <w:t>” shall have the meanings set forth in Rule 405 under the Securities Act of 1933, as amended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 Special Meetings.</w:t>
      </w:r>
    </w:p>
    <w:p>
      <w:pPr>
        <w:spacing w:after="0" w:line="229" w:lineRule="exact"/>
        <w:rPr>
          <w:sz w:val="20"/>
          <w:szCs w:val="20"/>
          <w:color w:val="auto"/>
        </w:rPr>
      </w:pPr>
    </w:p>
    <w:p>
      <w:pPr>
        <w:ind w:left="4" w:right="400" w:firstLine="987"/>
        <w:spacing w:after="0" w:line="261" w:lineRule="auto"/>
        <w:tabs>
          <w:tab w:leader="none" w:pos="125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5" w:name="page16"/>
    <w:bookmarkEnd w:id="15"/>
    <w:p>
      <w:pPr>
        <w:ind w:right="20" w:firstLine="987"/>
        <w:spacing w:after="0" w:line="253" w:lineRule="auto"/>
        <w:tabs>
          <w:tab w:leader="none" w:pos="123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89" w:lineRule="exact"/>
        <w:rPr>
          <w:rFonts w:ascii="Times New Roman" w:cs="Times New Roman" w:eastAsia="Times New Roman" w:hAnsi="Times New Roman"/>
          <w:sz w:val="18"/>
          <w:szCs w:val="18"/>
          <w:b w:val="1"/>
          <w:bCs w:val="1"/>
          <w:color w:val="auto"/>
        </w:rPr>
      </w:pPr>
    </w:p>
    <w:p>
      <w:pPr>
        <w:ind w:right="160" w:firstLine="987"/>
        <w:spacing w:after="0" w:line="258" w:lineRule="auto"/>
        <w:tabs>
          <w:tab w:leader="none" w:pos="125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 of these Bylaws.</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 Notice of Meetings. </w:t>
      </w:r>
      <w:r>
        <w:rPr>
          <w:rFonts w:ascii="Times New Roman" w:cs="Times New Roman" w:eastAsia="Times New Roman" w:hAnsi="Times New Roman"/>
          <w:sz w:val="18"/>
          <w:szCs w:val="18"/>
          <w:color w:val="auto"/>
        </w:rPr>
        <w:t>Except as otherwise provided by law, notice, given in writing or by electronic transmission, of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Quorum. </w:t>
      </w:r>
      <w:r>
        <w:rPr>
          <w:rFonts w:ascii="Times New Roman" w:cs="Times New Roman" w:eastAsia="Times New Roman" w:hAnsi="Times New Roman"/>
          <w:sz w:val="18"/>
          <w:szCs w:val="18"/>
          <w:color w:val="auto"/>
        </w:rPr>
        <w:t>At all meetings of stockholders, except where otherwise provided by statute or by the Certificate of Incorporation,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the presence, in person, by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6" w:name="page17"/>
    <w:bookmarkEnd w:id="1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Adjournment and Notice of Adjourned Meetings. </w:t>
      </w:r>
      <w:r>
        <w:rPr>
          <w:rFonts w:ascii="Times New Roman" w:cs="Times New Roman" w:eastAsia="Times New Roman" w:hAnsi="Times New Roman"/>
          <w:sz w:val="18"/>
          <w:szCs w:val="18"/>
          <w:color w:val="auto"/>
        </w:rPr>
        <w:t>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3" w:lineRule="exact"/>
        <w:rPr>
          <w:sz w:val="20"/>
          <w:szCs w:val="20"/>
          <w:color w:val="auto"/>
        </w:rPr>
      </w:pPr>
    </w:p>
    <w:p>
      <w:pPr>
        <w:ind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10. Voting Rights. </w:t>
      </w:r>
      <w:r>
        <w:rPr>
          <w:rFonts w:ascii="Times New Roman" w:cs="Times New Roman" w:eastAsia="Times New Roman" w:hAnsi="Times New Roman"/>
          <w:sz w:val="17"/>
          <w:szCs w:val="17"/>
          <w:color w:val="auto"/>
        </w:rPr>
        <w:t>For the purpose of determining those stockholders entitled to vote at any meeting of the stockholders, except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64"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Joint Owners of Stock. </w:t>
      </w:r>
      <w:r>
        <w:rPr>
          <w:rFonts w:ascii="Times New Roman" w:cs="Times New Roman" w:eastAsia="Times New Roman" w:hAnsi="Times New Roman"/>
          <w:sz w:val="18"/>
          <w:szCs w:val="18"/>
          <w:color w:val="auto"/>
        </w:rPr>
        <w:t>If shares or other securities having voting power stand of record in the names of two (2)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Secretary shall prepare and make, at leastten (10) days before every meeting of stockholders, a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83"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 Action Without Meeting. </w:t>
      </w:r>
      <w:r>
        <w:rPr>
          <w:rFonts w:ascii="Times New Roman" w:cs="Times New Roman" w:eastAsia="Times New Roman" w:hAnsi="Times New Roman"/>
          <w:sz w:val="18"/>
          <w:szCs w:val="18"/>
          <w:color w:val="auto"/>
        </w:rPr>
        <w:t>No action shall be taken by the stockholders except at an annual or special meeting of stockholders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these Bylaws, and no action shall be taken by the stockholders by written consent or by electronic transmission.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14. Organization.</w:t>
      </w:r>
    </w:p>
    <w:p>
      <w:pPr>
        <w:spacing w:after="0" w:line="229" w:lineRule="exact"/>
        <w:rPr>
          <w:sz w:val="20"/>
          <w:szCs w:val="20"/>
          <w:color w:val="auto"/>
        </w:rPr>
      </w:pPr>
    </w:p>
    <w:p>
      <w:pPr>
        <w:ind w:firstLine="987"/>
        <w:spacing w:after="0" w:line="261" w:lineRule="auto"/>
        <w:tabs>
          <w:tab w:leader="none" w:pos="124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79"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5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8" w:name="page19"/>
    <w:bookmarkEnd w:id="18"/>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15.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16. Powers. </w:t>
      </w:r>
      <w:r>
        <w:rPr>
          <w:rFonts w:ascii="Times New Roman" w:cs="Times New Roman" w:eastAsia="Times New Roman" w:hAnsi="Times New Roman"/>
          <w:sz w:val="18"/>
          <w:szCs w:val="18"/>
          <w:color w:val="auto"/>
        </w:rPr>
        <w:t>The powers of the corporation shall be exercised, its business conducted and its property controlled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except as may be otherwise provided by statute or by the Certificate of Incorporation.</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17. Classes of Directors. </w:t>
      </w:r>
      <w:r>
        <w:rPr>
          <w:rFonts w:ascii="Times New Roman" w:cs="Times New Roman" w:eastAsia="Times New Roman" w:hAnsi="Times New Roman"/>
          <w:sz w:val="18"/>
          <w:szCs w:val="18"/>
          <w:color w:val="auto"/>
        </w:rPr>
        <w:t>Subject to the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immediately following the closing of the initial public offering pursuant to an effective registration statement under the 1933 Act covering the offer and sale of Common Stock to the public (the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2"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18. Vacancies. </w:t>
      </w:r>
      <w:r>
        <w:rPr>
          <w:rFonts w:ascii="Times New Roman" w:cs="Times New Roman" w:eastAsia="Times New Roman" w:hAnsi="Times New Roman"/>
          <w:sz w:val="18"/>
          <w:szCs w:val="18"/>
          <w:color w:val="auto"/>
        </w:rPr>
        <w:t>Unless otherwise provided in the Certificate of Incorporation, and subject to the rights of the holders of any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any vacancies on the Board of Directors resulting from death, resignation, disqualification, removal or other causes and 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19.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 Removal.</w:t>
      </w:r>
    </w:p>
    <w:p>
      <w:pPr>
        <w:spacing w:after="0" w:line="229" w:lineRule="exact"/>
        <w:rPr>
          <w:sz w:val="20"/>
          <w:szCs w:val="20"/>
          <w:color w:val="auto"/>
        </w:rPr>
      </w:pPr>
    </w:p>
    <w:p>
      <w:pPr>
        <w:ind w:right="140" w:firstLine="987"/>
        <w:spacing w:after="0" w:line="282" w:lineRule="auto"/>
        <w:tabs>
          <w:tab w:leader="none" w:pos="124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66" w:lineRule="auto"/>
        <w:tabs>
          <w:tab w:leader="none" w:pos="125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 imposed by law, any individual director or directors may be removed with cause by the affirmative vote of the holders of at least sixty-six and two-thirds percent (66 2/3%) of the voting power of all then outstanding shares of capital stock of the corporation entitled to vote generally at an election of directors.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 Meetings.</w:t>
      </w:r>
    </w:p>
    <w:p>
      <w:pPr>
        <w:spacing w:after="0" w:line="225" w:lineRule="exact"/>
        <w:rPr>
          <w:sz w:val="20"/>
          <w:szCs w:val="20"/>
          <w:color w:val="auto"/>
        </w:rPr>
      </w:pPr>
    </w:p>
    <w:p>
      <w:pPr>
        <w:ind w:right="120" w:firstLine="987"/>
        <w:spacing w:after="0" w:line="259" w:lineRule="auto"/>
        <w:tabs>
          <w:tab w:leader="none" w:pos="124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Regular Meetings. </w:t>
      </w:r>
      <w:r>
        <w:rPr>
          <w:rFonts w:ascii="Times New Roman" w:cs="Times New Roman" w:eastAsia="Times New Roman" w:hAnsi="Times New Roman"/>
          <w:sz w:val="18"/>
          <w:szCs w:val="18"/>
          <w:color w:val="auto"/>
        </w:rPr>
        <w:t>Unless otherwise restricted by the Certificate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 w:name="page21"/>
    <w:bookmarkEnd w:id="20"/>
    <w:p>
      <w:pPr>
        <w:ind w:right="200" w:firstLine="987"/>
        <w:spacing w:after="0" w:line="268" w:lineRule="auto"/>
        <w:tabs>
          <w:tab w:leader="none" w:pos="125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within or without the State of Delaware whenever called by the Chairman of the Board, the Chief Executive Officer or a majority of the authorized number of directors.</w:t>
      </w:r>
    </w:p>
    <w:p>
      <w:pPr>
        <w:spacing w:after="0" w:line="170" w:lineRule="exact"/>
        <w:rPr>
          <w:rFonts w:ascii="Times New Roman" w:cs="Times New Roman" w:eastAsia="Times New Roman" w:hAnsi="Times New Roman"/>
          <w:sz w:val="18"/>
          <w:szCs w:val="18"/>
          <w:b w:val="1"/>
          <w:bCs w:val="1"/>
          <w:color w:val="auto"/>
        </w:rPr>
      </w:pPr>
    </w:p>
    <w:p>
      <w:pPr>
        <w:ind w:right="360" w:firstLine="987"/>
        <w:spacing w:after="0" w:line="268" w:lineRule="auto"/>
        <w:tabs>
          <w:tab w:leader="none" w:pos="12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0"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25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of all special meetings of the Board of Directors shall be orally or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The transaction of all business at any meeting of the Board of Directors, or any committee thereof, however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22. Quorum and Voting.</w:t>
      </w:r>
    </w:p>
    <w:p>
      <w:pPr>
        <w:spacing w:after="0" w:line="229" w:lineRule="exact"/>
        <w:rPr>
          <w:sz w:val="20"/>
          <w:szCs w:val="20"/>
          <w:color w:val="auto"/>
        </w:rPr>
      </w:pPr>
    </w:p>
    <w:p>
      <w:pPr>
        <w:ind w:firstLine="987"/>
        <w:spacing w:after="0" w:line="277" w:lineRule="auto"/>
        <w:tabs>
          <w:tab w:leader="none" w:pos="124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67" w:lineRule="exact"/>
        <w:rPr>
          <w:rFonts w:ascii="Times New Roman" w:cs="Times New Roman" w:eastAsia="Times New Roman" w:hAnsi="Times New Roman"/>
          <w:sz w:val="17"/>
          <w:szCs w:val="17"/>
          <w:b w:val="1"/>
          <w:bCs w:val="1"/>
          <w:color w:val="auto"/>
        </w:rPr>
      </w:pPr>
    </w:p>
    <w:p>
      <w:pPr>
        <w:ind w:right="540" w:firstLine="987"/>
        <w:spacing w:after="0" w:line="312" w:lineRule="auto"/>
        <w:tabs>
          <w:tab w:leader="none" w:pos="125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21" w:name="page22"/>
    <w:bookmarkEnd w:id="21"/>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23. Action Without Meeting. </w:t>
      </w:r>
      <w:r>
        <w:rPr>
          <w:rFonts w:ascii="Times New Roman" w:cs="Times New Roman" w:eastAsia="Times New Roman" w:hAnsi="Times New Roman"/>
          <w:sz w:val="18"/>
          <w:szCs w:val="18"/>
          <w:color w:val="auto"/>
        </w:rPr>
        <w:t>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4" w:right="3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24. Fees and Compensation. </w:t>
      </w:r>
      <w:r>
        <w:rPr>
          <w:rFonts w:ascii="Times New Roman" w:cs="Times New Roman" w:eastAsia="Times New Roman" w:hAnsi="Times New Roman"/>
          <w:sz w:val="18"/>
          <w:szCs w:val="18"/>
          <w:color w:val="auto"/>
        </w:rPr>
        <w:t>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25. Committees.</w:t>
      </w:r>
    </w:p>
    <w:p>
      <w:pPr>
        <w:spacing w:after="0" w:line="225" w:lineRule="exact"/>
        <w:rPr>
          <w:sz w:val="20"/>
          <w:szCs w:val="20"/>
          <w:color w:val="auto"/>
        </w:rPr>
      </w:pPr>
    </w:p>
    <w:p>
      <w:pPr>
        <w:jc w:val="both"/>
        <w:ind w:left="4" w:right="20" w:firstLine="987"/>
        <w:spacing w:after="0" w:line="272" w:lineRule="auto"/>
        <w:tabs>
          <w:tab w:leader="none" w:pos="1250" w:val="left"/>
        </w:tabs>
        <w:numPr>
          <w:ilvl w:val="1"/>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Executive Committee. </w:t>
      </w:r>
      <w:r>
        <w:rPr>
          <w:rFonts w:ascii="Times New Roman" w:cs="Times New Roman" w:eastAsia="Times New Roman" w:hAnsi="Times New Roman"/>
          <w:sz w:val="17"/>
          <w:szCs w:val="17"/>
          <w:color w:val="auto"/>
        </w:rPr>
        <w:t>The Board of Directors may appoint an Executive Committee to consist of one (1) or more members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ind w:left="4" w:right="20" w:hanging="4"/>
        <w:spacing w:after="0" w:line="260"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77" w:lineRule="exact"/>
        <w:rPr>
          <w:rFonts w:ascii="Times New Roman" w:cs="Times New Roman" w:eastAsia="Times New Roman" w:hAnsi="Times New Roman"/>
          <w:sz w:val="18"/>
          <w:szCs w:val="18"/>
          <w:color w:val="auto"/>
        </w:rPr>
      </w:pPr>
    </w:p>
    <w:p>
      <w:pPr>
        <w:ind w:left="4" w:right="60" w:firstLine="987"/>
        <w:spacing w:after="0" w:line="262" w:lineRule="auto"/>
        <w:tabs>
          <w:tab w:leader="none" w:pos="126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law.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ind w:left="4" w:right="20" w:firstLine="987"/>
        <w:spacing w:after="0" w:line="256" w:lineRule="auto"/>
        <w:tabs>
          <w:tab w:leader="none" w:pos="124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66" w:right="499" w:bottom="1440" w:gutter="0" w:footer="0" w:header="0"/>
        </w:sectPr>
      </w:pPr>
    </w:p>
    <w:bookmarkStart w:id="22" w:name="page23"/>
    <w:bookmarkEnd w:id="2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2" w:lineRule="exact"/>
        <w:rPr>
          <w:sz w:val="20"/>
          <w:szCs w:val="20"/>
          <w:color w:val="auto"/>
        </w:rPr>
      </w:pPr>
    </w:p>
    <w:p>
      <w:pPr>
        <w:ind w:firstLine="987"/>
        <w:spacing w:after="0" w:line="253" w:lineRule="auto"/>
        <w:tabs>
          <w:tab w:leader="none" w:pos="125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26. Organization. </w:t>
      </w:r>
      <w:r>
        <w:rPr>
          <w:rFonts w:ascii="Times New Roman" w:cs="Times New Roman" w:eastAsia="Times New Roman" w:hAnsi="Times New Roman"/>
          <w:sz w:val="18"/>
          <w:szCs w:val="18"/>
          <w:color w:val="auto"/>
        </w:rPr>
        <w:t>At every meeting of the directors and stockholders, the Chairman of the Board of Directors, or, if a Chairman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Officers Designated. </w:t>
      </w:r>
      <w:r>
        <w:rPr>
          <w:rFonts w:ascii="Times New Roman" w:cs="Times New Roman" w:eastAsia="Times New Roman" w:hAnsi="Times New Roman"/>
          <w:sz w:val="18"/>
          <w:szCs w:val="18"/>
          <w:color w:val="auto"/>
        </w:rPr>
        <w:t>The officers of the corporation shall include, if and when designated by the Board of Directors, the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28. Tenure and Duties of Officers.</w:t>
      </w:r>
    </w:p>
    <w:p>
      <w:pPr>
        <w:spacing w:after="0" w:line="225" w:lineRule="exact"/>
        <w:rPr>
          <w:sz w:val="20"/>
          <w:szCs w:val="20"/>
          <w:color w:val="auto"/>
        </w:rPr>
      </w:pPr>
    </w:p>
    <w:p>
      <w:pPr>
        <w:ind w:firstLine="987"/>
        <w:spacing w:after="0" w:line="268" w:lineRule="auto"/>
        <w:tabs>
          <w:tab w:leader="none" w:pos="124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5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at all meetings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2" w:lineRule="exact"/>
        <w:rPr>
          <w:rFonts w:ascii="Times New Roman" w:cs="Times New Roman" w:eastAsia="Times New Roman" w:hAnsi="Times New Roman"/>
          <w:sz w:val="18"/>
          <w:szCs w:val="18"/>
          <w:b w:val="1"/>
          <w:bCs w:val="1"/>
          <w:color w:val="auto"/>
        </w:rPr>
      </w:pPr>
    </w:p>
    <w:p>
      <w:pPr>
        <w:ind w:right="20" w:firstLine="987"/>
        <w:spacing w:after="0" w:line="257" w:lineRule="auto"/>
        <w:tabs>
          <w:tab w:leader="none" w:pos="123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at all meetings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82" w:lineRule="exact"/>
        <w:rPr>
          <w:rFonts w:ascii="Times New Roman" w:cs="Times New Roman" w:eastAsia="Times New Roman" w:hAnsi="Times New Roman"/>
          <w:sz w:val="18"/>
          <w:szCs w:val="18"/>
          <w:b w:val="1"/>
          <w:bCs w:val="1"/>
          <w:color w:val="auto"/>
        </w:rPr>
      </w:pPr>
    </w:p>
    <w:p>
      <w:pPr>
        <w:jc w:val="both"/>
        <w:ind w:right="20" w:firstLine="987"/>
        <w:spacing w:after="0" w:line="262" w:lineRule="auto"/>
        <w:tabs>
          <w:tab w:leader="none" w:pos="125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The Vice Presidents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6" w:lineRule="exact"/>
        <w:rPr>
          <w:rFonts w:ascii="Times New Roman" w:cs="Times New Roman" w:eastAsia="Times New Roman" w:hAnsi="Times New Roman"/>
          <w:sz w:val="18"/>
          <w:szCs w:val="18"/>
          <w:b w:val="1"/>
          <w:bCs w:val="1"/>
          <w:color w:val="auto"/>
        </w:rPr>
      </w:pPr>
    </w:p>
    <w:p>
      <w:pPr>
        <w:ind w:right="120" w:firstLine="987"/>
        <w:spacing w:after="0" w:line="262" w:lineRule="auto"/>
        <w:tabs>
          <w:tab w:leader="none" w:pos="123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Secretary. </w:t>
      </w:r>
      <w:r>
        <w:rPr>
          <w:rFonts w:ascii="Times New Roman" w:cs="Times New Roman" w:eastAsia="Times New Roman" w:hAnsi="Times New Roman"/>
          <w:sz w:val="18"/>
          <w:szCs w:val="18"/>
          <w:color w:val="auto"/>
        </w:rPr>
        <w:t>The Secretary shall attend all meetings of the stockholders and of the Board of Directors and shall record all 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76" w:lineRule="exact"/>
        <w:rPr>
          <w:sz w:val="20"/>
          <w:szCs w:val="20"/>
          <w:color w:val="auto"/>
        </w:rPr>
      </w:pPr>
    </w:p>
    <w:p>
      <w:pPr>
        <w:ind w:firstLine="987"/>
        <w:spacing w:after="0" w:line="254" w:lineRule="auto"/>
        <w:tabs>
          <w:tab w:leader="none" w:pos="121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85" w:lineRule="exact"/>
        <w:rPr>
          <w:rFonts w:ascii="Times New Roman" w:cs="Times New Roman" w:eastAsia="Times New Roman" w:hAnsi="Times New Roman"/>
          <w:sz w:val="18"/>
          <w:szCs w:val="18"/>
          <w:b w:val="1"/>
          <w:bCs w:val="1"/>
          <w:color w:val="auto"/>
        </w:rPr>
      </w:pPr>
    </w:p>
    <w:p>
      <w:pPr>
        <w:ind w:right="60" w:firstLine="987"/>
        <w:spacing w:after="0" w:line="257" w:lineRule="auto"/>
        <w:tabs>
          <w:tab w:leader="none" w:pos="124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Treasurer. </w:t>
      </w:r>
      <w:r>
        <w:rPr>
          <w:rFonts w:ascii="Times New Roman" w:cs="Times New Roman" w:eastAsia="Times New Roman" w:hAnsi="Times New Roman"/>
          <w:sz w:val="18"/>
          <w:szCs w:val="18"/>
          <w:color w:val="auto"/>
        </w:rPr>
        <w:t>Unless another officer has been appointed Chief Financial Officer of the corporation, the Treasurer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 Delegation of Authority. </w:t>
      </w:r>
      <w:r>
        <w:rPr>
          <w:rFonts w:ascii="Times New Roman" w:cs="Times New Roman" w:eastAsia="Times New Roman" w:hAnsi="Times New Roman"/>
          <w:sz w:val="18"/>
          <w:szCs w:val="18"/>
          <w:color w:val="auto"/>
        </w:rPr>
        <w:t>The Board of Directors may from time to time delegate the powers or duties of any officer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agent, notwithstanding any provision hereof.</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9"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Removal. </w:t>
      </w:r>
      <w:r>
        <w:rPr>
          <w:rFonts w:ascii="Times New Roman" w:cs="Times New Roman" w:eastAsia="Times New Roman" w:hAnsi="Times New Roman"/>
          <w:sz w:val="18"/>
          <w:szCs w:val="18"/>
          <w:color w:val="auto"/>
        </w:rPr>
        <w:t>Any officer may be removed from office at any time, either with or without cause, by the affirmative vote of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 Execution of Corporate Instruments. </w:t>
      </w:r>
      <w:r>
        <w:rPr>
          <w:rFonts w:ascii="Times New Roman" w:cs="Times New Roman" w:eastAsia="Times New Roman" w:hAnsi="Times New Roman"/>
          <w:sz w:val="18"/>
          <w:szCs w:val="18"/>
          <w:color w:val="auto"/>
        </w:rPr>
        <w:t>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6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3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Voting of Securities Owned by the Corporation. </w:t>
      </w:r>
      <w:r>
        <w:rPr>
          <w:rFonts w:ascii="Times New Roman" w:cs="Times New Roman" w:eastAsia="Times New Roman" w:hAnsi="Times New Roman"/>
          <w:sz w:val="18"/>
          <w:szCs w:val="18"/>
          <w:color w:val="auto"/>
        </w:rPr>
        <w:t>All stock and other securities of other corporations owned or held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26" w:name="page27"/>
    <w:bookmarkEnd w:id="26"/>
    <w:p>
      <w:pPr>
        <w:ind w:left="4"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35.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36. Transfers.</w:t>
      </w:r>
    </w:p>
    <w:p>
      <w:pPr>
        <w:spacing w:after="0" w:line="229" w:lineRule="exact"/>
        <w:rPr>
          <w:sz w:val="20"/>
          <w:szCs w:val="20"/>
          <w:color w:val="auto"/>
        </w:rPr>
      </w:pPr>
    </w:p>
    <w:p>
      <w:pPr>
        <w:ind w:left="4" w:right="260" w:firstLine="987"/>
        <w:spacing w:after="0" w:line="266" w:lineRule="auto"/>
        <w:tabs>
          <w:tab w:leader="none" w:pos="125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75"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37. Fixing Record Dates.</w:t>
      </w:r>
    </w:p>
    <w:p>
      <w:pPr>
        <w:spacing w:after="0" w:line="229" w:lineRule="exact"/>
        <w:rPr>
          <w:sz w:val="20"/>
          <w:szCs w:val="20"/>
          <w:color w:val="auto"/>
        </w:rPr>
      </w:pPr>
    </w:p>
    <w:p>
      <w:pPr>
        <w:ind w:left="4" w:right="320" w:firstLine="987"/>
        <w:spacing w:after="0" w:line="272" w:lineRule="auto"/>
        <w:tabs>
          <w:tab w:leader="none" w:pos="1250" w:val="left"/>
        </w:tabs>
        <w:numPr>
          <w:ilvl w:val="1"/>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Times New Roman" w:cs="Times New Roman" w:eastAsia="Times New Roman" w:hAnsi="Times New Roman"/>
          <w:sz w:val="17"/>
          <w:szCs w:val="17"/>
          <w:b w:val="1"/>
          <w:bCs w:val="1"/>
          <w:color w:val="auto"/>
        </w:rPr>
      </w:pPr>
    </w:p>
    <w:p>
      <w:pPr>
        <w:ind w:left="4" w:right="40" w:hanging="4"/>
        <w:spacing w:after="0" w:line="253" w:lineRule="auto"/>
        <w:tabs>
          <w:tab w:leader="none" w:pos="3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w:t>
      </w:r>
    </w:p>
    <w:p>
      <w:pPr>
        <w:spacing w:after="0" w:line="186" w:lineRule="exact"/>
        <w:rPr>
          <w:rFonts w:ascii="Times New Roman" w:cs="Times New Roman" w:eastAsia="Times New Roman" w:hAnsi="Times New Roman"/>
          <w:sz w:val="18"/>
          <w:szCs w:val="18"/>
          <w:color w:val="auto"/>
        </w:rPr>
      </w:pPr>
    </w:p>
    <w:p>
      <w:pPr>
        <w:ind w:left="4" w:firstLine="987"/>
        <w:spacing w:after="0" w:line="256" w:lineRule="auto"/>
        <w:tabs>
          <w:tab w:leader="none" w:pos="126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27" w:name="page28"/>
    <w:bookmarkEnd w:id="27"/>
    <w:p>
      <w:pPr>
        <w:jc w:val="both"/>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38.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39.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 Dividend Reserve. </w:t>
      </w:r>
      <w:r>
        <w:rPr>
          <w:rFonts w:ascii="Times New Roman" w:cs="Times New Roman" w:eastAsia="Times New Roman" w:hAnsi="Times New Roman"/>
          <w:sz w:val="18"/>
          <w:szCs w:val="18"/>
          <w:color w:val="auto"/>
        </w:rPr>
        <w:t>Before payment of any dividend, there may be set aside out of any funds of the corporation available for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sum or sums as the Board 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28" w:name="page29"/>
    <w:bookmarkEnd w:id="28"/>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42.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43. Indemnification of Directors, Officers, Employees and Other Agents.</w:t>
      </w:r>
    </w:p>
    <w:p>
      <w:pPr>
        <w:spacing w:after="0" w:line="225" w:lineRule="exact"/>
        <w:rPr>
          <w:sz w:val="20"/>
          <w:szCs w:val="20"/>
          <w:color w:val="auto"/>
        </w:rPr>
      </w:pPr>
    </w:p>
    <w:p>
      <w:pPr>
        <w:jc w:val="both"/>
        <w:ind w:left="4" w:right="120" w:firstLine="987"/>
        <w:spacing w:after="0" w:line="274" w:lineRule="auto"/>
        <w:tabs>
          <w:tab w:leader="none" w:pos="1250" w:val="left"/>
        </w:tabs>
        <w:numPr>
          <w:ilvl w:val="1"/>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Directors. </w:t>
      </w:r>
      <w:r>
        <w:rPr>
          <w:rFonts w:ascii="Times New Roman" w:cs="Times New Roman" w:eastAsia="Times New Roman" w:hAnsi="Times New Roman"/>
          <w:sz w:val="17"/>
          <w:szCs w:val="17"/>
          <w:color w:val="auto"/>
        </w:rPr>
        <w:t>The corporation shall indemnify its directors to the fullest extent not prohibited by the DGCL or any other applicable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corporation may modify the extent of such indemnification by individual contracts with its directors; and,</w:t>
      </w:r>
      <w:r>
        <w:rPr>
          <w:rFonts w:ascii="Times New Roman" w:cs="Times New Roman" w:eastAsia="Times New Roman" w:hAnsi="Times New Roman"/>
          <w:sz w:val="17"/>
          <w:szCs w:val="17"/>
          <w:i w:val="1"/>
          <w:iCs w:val="1"/>
          <w:color w:val="auto"/>
        </w:rPr>
        <w:t xml:space="preserve"> provided, further, </w:t>
      </w:r>
      <w:r>
        <w:rPr>
          <w:rFonts w:ascii="Times New Roman" w:cs="Times New Roman" w:eastAsia="Times New Roman" w:hAnsi="Times New Roman"/>
          <w:sz w:val="17"/>
          <w:szCs w:val="17"/>
          <w:color w:val="auto"/>
        </w:rPr>
        <w:t>that the corporation shall not be required to indemnify any director in connection with any proceeding (or part thereof) initiated by such person unless</w:t>
      </w:r>
    </w:p>
    <w:p>
      <w:pPr>
        <w:ind w:left="224" w:hanging="224"/>
        <w:spacing w:after="0"/>
        <w:tabs>
          <w:tab w:leader="none" w:pos="2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law, (ii) the proceeding was authorized by the Board of Directors of the corporation,</w:t>
      </w:r>
    </w:p>
    <w:p>
      <w:pPr>
        <w:spacing w:after="0" w:line="9" w:lineRule="exact"/>
        <w:rPr>
          <w:sz w:val="20"/>
          <w:szCs w:val="20"/>
          <w:color w:val="auto"/>
        </w:rPr>
      </w:pPr>
    </w:p>
    <w:p>
      <w:pPr>
        <w:ind w:left="4" w:right="120" w:hanging="4"/>
        <w:spacing w:after="0" w:line="260" w:lineRule="auto"/>
        <w:tabs>
          <w:tab w:leader="none" w:pos="3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provided by the corporation, in its sole discretion, pursuant to the powers vested in the corporation under the DGCL or any other applicable law or (iv) such indemnification is required to be made under subsection (d).</w:t>
      </w:r>
    </w:p>
    <w:p>
      <w:pPr>
        <w:spacing w:after="0" w:line="177" w:lineRule="exact"/>
        <w:rPr>
          <w:rFonts w:ascii="Times New Roman" w:cs="Times New Roman" w:eastAsia="Times New Roman" w:hAnsi="Times New Roman"/>
          <w:sz w:val="18"/>
          <w:szCs w:val="18"/>
          <w:color w:val="auto"/>
        </w:rPr>
      </w:pPr>
    </w:p>
    <w:p>
      <w:pPr>
        <w:ind w:left="4" w:firstLine="987"/>
        <w:spacing w:after="0" w:line="268" w:lineRule="auto"/>
        <w:tabs>
          <w:tab w:leader="none" w:pos="126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Officers, Employees and Other Agents. </w:t>
      </w:r>
      <w:r>
        <w:rPr>
          <w:rFonts w:ascii="Times New Roman" w:cs="Times New Roman" w:eastAsia="Times New Roman" w:hAnsi="Times New Roman"/>
          <w:sz w:val="18"/>
          <w:szCs w:val="18"/>
          <w:color w:val="auto"/>
        </w:rPr>
        <w:t>The corporation shall have power to indemnify its officers, employees and other agents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70" w:lineRule="exact"/>
        <w:rPr>
          <w:rFonts w:ascii="Times New Roman" w:cs="Times New Roman" w:eastAsia="Times New Roman" w:hAnsi="Times New Roman"/>
          <w:sz w:val="18"/>
          <w:szCs w:val="18"/>
          <w:b w:val="1"/>
          <w:bCs w:val="1"/>
          <w:color w:val="auto"/>
        </w:rPr>
      </w:pPr>
    </w:p>
    <w:p>
      <w:pPr>
        <w:ind w:left="4" w:right="40" w:firstLine="987"/>
        <w:spacing w:after="0" w:line="254" w:lineRule="auto"/>
        <w:tabs>
          <w:tab w:leader="none" w:pos="124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corporation shall advance to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9" w:name="page30"/>
    <w:bookmarkEnd w:id="29"/>
    <w:p>
      <w:pPr>
        <w:ind w:firstLine="987"/>
        <w:spacing w:after="0" w:line="253" w:lineRule="auto"/>
        <w:tabs>
          <w:tab w:leader="none" w:pos="125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Enforcement. </w:t>
      </w:r>
      <w:r>
        <w:rPr>
          <w:rFonts w:ascii="Times New Roman" w:cs="Times New Roman" w:eastAsia="Times New Roman" w:hAnsi="Times New Roman"/>
          <w:sz w:val="18"/>
          <w:szCs w:val="18"/>
          <w:color w:val="auto"/>
        </w:rPr>
        <w:t>Without the necessity of entering into an express contract, all rights to indemnification and advances to directors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183"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23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Bylaw shall not be exclusive of any other right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9" w:lineRule="exact"/>
        <w:rPr>
          <w:rFonts w:ascii="Times New Roman" w:cs="Times New Roman" w:eastAsia="Times New Roman" w:hAnsi="Times New Roman"/>
          <w:sz w:val="18"/>
          <w:szCs w:val="18"/>
          <w:b w:val="1"/>
          <w:bCs w:val="1"/>
          <w:color w:val="auto"/>
        </w:rPr>
      </w:pPr>
    </w:p>
    <w:p>
      <w:pPr>
        <w:ind w:right="60" w:firstLine="987"/>
        <w:spacing w:after="0" w:line="286" w:lineRule="auto"/>
        <w:tabs>
          <w:tab w:leader="none" w:pos="121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of Rights. </w:t>
      </w:r>
      <w:r>
        <w:rPr>
          <w:rFonts w:ascii="Times New Roman" w:cs="Times New Roman" w:eastAsia="Times New Roman" w:hAnsi="Times New Roman"/>
          <w:sz w:val="18"/>
          <w:szCs w:val="18"/>
          <w:color w:val="auto"/>
        </w:rPr>
        <w:t>The rights conferred on any person by this Bylaw shall continue as to a person who has ceased to be a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right="240" w:firstLine="987"/>
        <w:spacing w:after="0" w:line="286" w:lineRule="auto"/>
        <w:tabs>
          <w:tab w:leader="none" w:pos="124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fullest extent permitted by the DGCL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insurance on behalf of any person required or permitted to be indemnified pursuant to this section.</w:t>
      </w:r>
    </w:p>
    <w:p>
      <w:pPr>
        <w:spacing w:after="0" w:line="154"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25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shall only be prospective and shall not affect the rights under this Bylaw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at the time of the alleged occurrence of any action or omission to act that is the cause of any proceeding against any agent of the corporation.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30" w:name="page31"/>
    <w:bookmarkEnd w:id="30"/>
    <w:p>
      <w:pPr>
        <w:jc w:val="both"/>
        <w:ind w:left="-20" w:firstLine="987"/>
        <w:spacing w:after="0" w:line="262" w:lineRule="auto"/>
        <w:tabs>
          <w:tab w:leader="none" w:pos="118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Saving Clause. </w:t>
      </w:r>
      <w:r>
        <w:rPr>
          <w:rFonts w:ascii="Times New Roman" w:cs="Times New Roman" w:eastAsia="Times New Roman" w:hAnsi="Times New Roman"/>
          <w:sz w:val="18"/>
          <w:szCs w:val="18"/>
          <w:color w:val="auto"/>
        </w:rPr>
        <w:t>If this Bylaw or any portion hereof shall be invalidated on any ground by any court of competent jurisdiction,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176" w:lineRule="exact"/>
        <w:rPr>
          <w:rFonts w:ascii="Times New Roman" w:cs="Times New Roman" w:eastAsia="Times New Roman" w:hAnsi="Times New Roman"/>
          <w:sz w:val="18"/>
          <w:szCs w:val="18"/>
          <w:b w:val="1"/>
          <w:bCs w:val="1"/>
          <w:color w:val="auto"/>
        </w:rPr>
      </w:pPr>
    </w:p>
    <w:p>
      <w:pPr>
        <w:ind w:left="1200" w:hanging="233"/>
        <w:spacing w:after="0"/>
        <w:tabs>
          <w:tab w:leader="none" w:pos="12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For the purposes of this Bylaw, the following definitions shall apply:</w:t>
      </w:r>
    </w:p>
    <w:p>
      <w:pPr>
        <w:spacing w:after="0" w:line="229" w:lineRule="exact"/>
        <w:rPr>
          <w:rFonts w:ascii="Times New Roman" w:cs="Times New Roman" w:eastAsia="Times New Roman" w:hAnsi="Times New Roman"/>
          <w:sz w:val="18"/>
          <w:szCs w:val="18"/>
          <w:b w:val="1"/>
          <w:bCs w:val="1"/>
          <w:color w:val="auto"/>
        </w:rPr>
      </w:pPr>
    </w:p>
    <w:p>
      <w:pPr>
        <w:ind w:left="-20" w:right="760" w:firstLine="1428"/>
        <w:spacing w:after="0" w:line="266" w:lineRule="auto"/>
        <w:tabs>
          <w:tab w:leader="none" w:pos="16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Times New Roman" w:cs="Times New Roman" w:eastAsia="Times New Roman" w:hAnsi="Times New Roman"/>
          <w:sz w:val="18"/>
          <w:szCs w:val="18"/>
          <w:b w:val="1"/>
          <w:bCs w:val="1"/>
          <w:color w:val="auto"/>
        </w:rPr>
      </w:pPr>
    </w:p>
    <w:p>
      <w:pPr>
        <w:ind w:left="-20" w:right="200" w:firstLine="1428"/>
        <w:spacing w:after="0" w:line="312" w:lineRule="auto"/>
        <w:tabs>
          <w:tab w:leader="none" w:pos="1667" w:val="left"/>
        </w:tabs>
        <w:numPr>
          <w:ilvl w:val="1"/>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39" w:lineRule="exact"/>
        <w:rPr>
          <w:rFonts w:ascii="Times New Roman" w:cs="Times New Roman" w:eastAsia="Times New Roman" w:hAnsi="Times New Roman"/>
          <w:sz w:val="17"/>
          <w:szCs w:val="17"/>
          <w:b w:val="1"/>
          <w:bCs w:val="1"/>
          <w:color w:val="auto"/>
        </w:rPr>
      </w:pPr>
    </w:p>
    <w:p>
      <w:pPr>
        <w:ind w:left="-20" w:right="20" w:firstLine="1428"/>
        <w:spacing w:after="0" w:line="256" w:lineRule="auto"/>
        <w:tabs>
          <w:tab w:leader="none" w:pos="16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b w:val="1"/>
          <w:bCs w:val="1"/>
          <w:color w:val="auto"/>
        </w:rPr>
      </w:pPr>
    </w:p>
    <w:p>
      <w:pPr>
        <w:ind w:left="-20" w:right="460" w:firstLine="1428"/>
        <w:spacing w:after="0" w:line="266" w:lineRule="auto"/>
        <w:tabs>
          <w:tab w:leader="none" w:pos="16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5" w:lineRule="exact"/>
        <w:rPr>
          <w:rFonts w:ascii="Times New Roman" w:cs="Times New Roman" w:eastAsia="Times New Roman" w:hAnsi="Times New Roman"/>
          <w:sz w:val="18"/>
          <w:szCs w:val="18"/>
          <w:b w:val="1"/>
          <w:bCs w:val="1"/>
          <w:color w:val="auto"/>
        </w:rPr>
      </w:pPr>
    </w:p>
    <w:p>
      <w:pPr>
        <w:ind w:left="-20" w:right="20" w:firstLine="1428"/>
        <w:spacing w:after="0" w:line="256" w:lineRule="auto"/>
        <w:tabs>
          <w:tab w:leader="none" w:pos="16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66" w:right="4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44. Notices.</w:t>
      </w:r>
    </w:p>
    <w:p>
      <w:pPr>
        <w:spacing w:after="0" w:line="225" w:lineRule="exact"/>
        <w:rPr>
          <w:sz w:val="20"/>
          <w:szCs w:val="20"/>
          <w:color w:val="auto"/>
        </w:rPr>
      </w:pPr>
    </w:p>
    <w:p>
      <w:pPr>
        <w:ind w:firstLine="987"/>
        <w:spacing w:after="0" w:line="262" w:lineRule="auto"/>
        <w:tabs>
          <w:tab w:leader="none" w:pos="124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Written notice to stockholders of stockholder meetings shall be given as provided in Section 7 herein.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76" w:lineRule="exact"/>
        <w:rPr>
          <w:rFonts w:ascii="Times New Roman" w:cs="Times New Roman" w:eastAsia="Times New Roman" w:hAnsi="Times New Roman"/>
          <w:sz w:val="18"/>
          <w:szCs w:val="18"/>
          <w:b w:val="1"/>
          <w:bCs w:val="1"/>
          <w:color w:val="auto"/>
        </w:rPr>
      </w:pPr>
    </w:p>
    <w:p>
      <w:pPr>
        <w:ind w:right="60" w:firstLine="987"/>
        <w:spacing w:after="0" w:line="262" w:lineRule="auto"/>
        <w:tabs>
          <w:tab w:leader="none" w:pos="125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3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6"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5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3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any provision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2" w:name="page33"/>
    <w:bookmarkEnd w:id="32"/>
    <w:p>
      <w:pPr>
        <w:ind w:right="120" w:firstLine="987"/>
        <w:spacing w:after="0" w:line="259" w:lineRule="auto"/>
        <w:tabs>
          <w:tab w:leader="none" w:pos="1216"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to Stockholders Sharing an Address. </w:t>
      </w:r>
      <w:r>
        <w:rPr>
          <w:rFonts w:ascii="Times New Roman" w:cs="Times New Roman" w:eastAsia="Times New Roman" w:hAnsi="Times New Roman"/>
          <w:sz w:val="18"/>
          <w:szCs w:val="18"/>
          <w:color w:val="auto"/>
        </w:rPr>
        <w:t>Except as otherwise prohibited under DGCL, any notice given under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45. Bylaw Amendments</w:t>
      </w:r>
      <w:r>
        <w:rPr>
          <w:rFonts w:ascii="Times New Roman" w:cs="Times New Roman" w:eastAsia="Times New Roman" w:hAnsi="Times New Roman"/>
          <w:sz w:val="18"/>
          <w:szCs w:val="18"/>
          <w:color w:val="auto"/>
        </w:rPr>
        <w:t>. Subject to the limitations set forth in Section 43(h) of these Bylaws or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LOANS TO OFFICERS OR EMPLOYEES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46. Loans to Officers or Employees. </w:t>
      </w:r>
      <w:r>
        <w:rPr>
          <w:rFonts w:ascii="Times New Roman" w:cs="Times New Roman" w:eastAsia="Times New Roman" w:hAnsi="Times New Roman"/>
          <w:sz w:val="18"/>
          <w:szCs w:val="18"/>
          <w:color w:val="auto"/>
        </w:rPr>
        <w:t>Except as otherwise prohibited by applicable law, including the Sarbanes-Oxley Act of 2002,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03020" cy="428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0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Sensei Biotherapeutics Announces Closing of Initial Public Offering</w:t>
      </w:r>
    </w:p>
    <w:p>
      <w:pPr>
        <w:spacing w:after="0" w:line="2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BOSTON, MA and ROCKVILLE, MD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10, 2021 </w:t>
      </w:r>
      <w:r>
        <w:rPr>
          <w:rFonts w:ascii="Times New Roman" w:cs="Times New Roman" w:eastAsia="Times New Roman" w:hAnsi="Times New Roman"/>
          <w:sz w:val="18"/>
          <w:szCs w:val="18"/>
          <w:color w:val="auto"/>
        </w:rPr>
        <w:t>– Sensei Biotherapeutics, Inc., a clinical-stage immunotherapy company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discovery and development of next generation therapeutics for cancer, today announced the closing of its initial public offering of 7,000,052 shares of its common stock on February 8, 2021, as well as the issuance of an additional 1,030,243 shares pursuant to the exercise by the underwriters of their option to purchase additional shares on February 10, 2021, at a public offering price of $19.00 per share. The gross proceeds to Sensei from the two closings, before deducting underwriting discounts and commissions and other offering expenses payable by Sensei, were approximately $152.6 million. All of the shares in the offering were offered by Sensei. Sensei’s common stock is listed on the Nasdaq Global Market under the ticker symbol “SNSE.”</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Citigroup, Piper Sandler &amp; Co. and Berenberg acted as joint book-running managers for the offering. Oppenheimer &amp; Co. acted as the lead manager for the proposed offering.</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registration statement relating to the securities was declared effective by the Securities and Exchange Commission on February 3, 2021. The offering of these securities is being made only by means of a prospectus. A copy of the final prospectus may be obtained from Citigroup Global Markets Inc., c/o Broadridge Financial Solutions, 1155 Long Island Avenue, Edgewood, NY 11717, or by telephone at 800-831-9146 or by email at prospectus@citi.com; Piper Sandler &amp; Co., Attention: Prospectus Department, 800 Nicollet Mall, J12S03, Minneapolis, MN 55402, or by telephone at 800-747-3924 or by email at prospectus@psc.com; or Berenberg Capital Markets LLC, Attention: Investment Banking, 1251 Avenue of the Americas, 53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 New York, NY 10020, or by telephone at 646-949-9000 or by email at prospectusrequests@berenberg-us.com.</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Sensei Biotherapeutics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Sensei Biotherapeutics is a clinical-stage biopharmaceutical company focused on the discovery, development and delivery of next generation of immunotherapies for the treatment of cancer and infectious diseases. The company has developed a proprietary bacteriophage-based platform, ImmunoPhage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that enables the rapid generation of immune activating therapeutic agents that fully engage the immune system. Using the ImmunoPhage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Sensei is developing a library of ImmunoPhage, called Phortress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to target multiple tumor-associated antigens to create a personalized yet off-the-shelf cocktail approach for treating cancer patients. The platform enables efficient, scalable and cost-effective manufacturing to support all of Sensei’s clinical programs. The company’s most advanced immunotherapy, SNS-301, a first-in-class ImmunoPhage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targeting the tumor antigen Aspartyl beta Hydroxylase (ASPH), is currently in a Phase 1/2 clinical trial in patients with advanced Squamous Cell Carcinoma of the Head and Neck. Earlier stage programs include SNS-401, a ImmunoPhage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cocktail for the treatment of Merkel Cell Carcinoma, and SNS-VISTA, an antibody-based therapeutic targeting an immune checkpoint gene that inhibits anti-tumor immune responses called V-domain Ig suppressor of T cell activation (VISTA).</w:t>
      </w:r>
    </w:p>
    <w:p>
      <w:pPr>
        <w:sectPr>
          <w:pgSz w:w="11900" w:h="16838" w:orient="portrait"/>
          <w:cols w:equalWidth="0" w:num="1">
            <w:col w:w="11020"/>
          </w:cols>
          <w:pgMar w:left="440" w:top="121"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03020" cy="428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2862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914-204-6412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kathryn@theyatesnetwork.com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Seidel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212-362-1200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julie.seidel@sternir.com</w:t>
      </w:r>
    </w:p>
    <w:sectPr>
      <w:pgSz w:w="11900" w:h="16838" w:orient="portrait"/>
      <w:cols w:equalWidth="0" w:num="1">
        <w:col w:w="10019"/>
      </w:cols>
      <w:pgMar w:left="440" w:top="11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Roman"/>
      <w:start w:val="3"/>
    </w:lvl>
  </w:abstractNum>
  <w:abstractNum w:abstractNumId="2">
    <w:nsid w:val="62BBD95A"/>
    <w:multiLevelType w:val="hybridMultilevel"/>
    <w:lvl w:ilvl="0">
      <w:lvlJc w:val="left"/>
      <w:lvlText w:val="(%1)"/>
      <w:numFmt w:val="lowerRoman"/>
      <w:start w:val="6"/>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5">
    <w:nsid w:val="333AB10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2"/>
    </w:lvl>
    <w:lvl w:ilvl="1">
      <w:lvlJc w:val="left"/>
      <w:lvlText w:val="(%2)"/>
      <w:numFmt w:val="decimal"/>
      <w:start w:val="1"/>
    </w:lvl>
  </w:abstractNum>
  <w:abstractNum w:abstractNumId="8">
    <w:nsid w:val="2D1D5AE9"/>
    <w:multiLevelType w:val="hybridMultilevel"/>
    <w:lvl w:ilvl="0">
      <w:lvlJc w:val="left"/>
      <w:lvlText w:val="%1"/>
      <w:numFmt w:val="decimal"/>
      <w:start w:val="1"/>
    </w:lvl>
    <w:lvl w:ilvl="1">
      <w:lvlJc w:val="left"/>
      <w:lvlText w:val="(%2)"/>
      <w:numFmt w:val="decimal"/>
      <w:start w:val="3"/>
    </w:lvl>
  </w:abstractNum>
  <w:abstractNum w:abstractNumId="9">
    <w:nsid w:val="6763845E"/>
    <w:multiLevelType w:val="hybridMultilevel"/>
    <w:lvl w:ilvl="0">
      <w:lvlJc w:val="left"/>
      <w:lvlText w:val="(%1)"/>
      <w:numFmt w:val="decimal"/>
      <w:start w:val="30"/>
    </w:lvl>
    <w:lvl w:ilvl="1">
      <w:lvlJc w:val="left"/>
      <w:lvlText w:val="(%2)"/>
      <w:numFmt w:val="decimal"/>
      <w:start w:val="4"/>
    </w:lvl>
  </w:abstractNum>
  <w:abstractNum w:abstractNumId="10">
    <w:nsid w:val="75A2A8D4"/>
    <w:multiLevelType w:val="hybridMultilevel"/>
    <w:lvl w:ilvl="0">
      <w:lvlJc w:val="left"/>
      <w:lvlText w:val="(%1)"/>
      <w:numFmt w:val="lowerLetter"/>
      <w:start w:val="23"/>
    </w:lvl>
  </w:abstractNum>
  <w:abstractNum w:abstractNumId="11">
    <w:nsid w:val="8EDBDAB"/>
    <w:multiLevelType w:val="hybridMultilevel"/>
    <w:lvl w:ilvl="0">
      <w:lvlJc w:val="left"/>
      <w:lvlText w:val="%1"/>
      <w:numFmt w:val="decimal"/>
      <w:start w:val="1"/>
    </w:lvl>
    <w:lvl w:ilvl="1">
      <w:lvlJc w:val="left"/>
      <w:lvlText w:val="(%2)"/>
      <w:numFmt w:val="lowerLetter"/>
      <w:start w:val="3"/>
    </w:lvl>
  </w:abstractNum>
  <w:abstractNum w:abstractNumId="12">
    <w:nsid w:val="79838CB2"/>
    <w:multiLevelType w:val="hybridMultilevel"/>
    <w:lvl w:ilvl="0">
      <w:lvlJc w:val="left"/>
      <w:lvlText w:val="(%1)"/>
      <w:numFmt w:val="decimal"/>
      <w:start w:val="5"/>
    </w:lvl>
    <w:lvl w:ilvl="1">
      <w:lvlJc w:val="left"/>
      <w:lvlText w:val="(%2)"/>
      <w:numFmt w:val="lowerLetter"/>
      <w:start w:val="4"/>
    </w:lvl>
  </w:abstractNum>
  <w:abstractNum w:abstractNumId="13">
    <w:nsid w:val="4353D0CD"/>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4">
    <w:nsid w:val="B03E0C6"/>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3"/>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lvl w:ilvl="1">
      <w:lvlJc w:val="left"/>
      <w:lvlText w:val="(%2)"/>
      <w:numFmt w:val="lowerLetter"/>
      <w:start w:val="1"/>
    </w:lvl>
  </w:abstractNum>
  <w:abstractNum w:abstractNumId="23">
    <w:nsid w:val="1E7FF521"/>
    <w:multiLevelType w:val="hybridMultilevel"/>
    <w:lvl w:ilvl="0">
      <w:lvlJc w:val="left"/>
      <w:lvlText w:val="(%1)"/>
      <w:numFmt w:val="lowerLetter"/>
      <w:start w:val="9"/>
    </w:lvl>
    <w:lvl w:ilvl="1">
      <w:lvlJc w:val="left"/>
      <w:lvlText w:val="(%2)"/>
      <w:numFmt w:val="lowerLetter"/>
      <w:start w:val="2"/>
    </w:lvl>
  </w:abstractNum>
  <w:abstractNum w:abstractNumId="24">
    <w:nsid w:val="7C3DBD3D"/>
    <w:multiLevelType w:val="hybridMultilevel"/>
    <w:lvl w:ilvl="0">
      <w:lvlJc w:val="left"/>
      <w:lvlText w:val="(%1)"/>
      <w:numFmt w:val="lowerLetter"/>
      <w:start w:val="4"/>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6"/>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decimal"/>
      <w:start w:val="1"/>
    </w:lvl>
    <w:lvl w:ilvl="1">
      <w:lvlJc w:val="left"/>
      <w:lvlText w:val="(%2)"/>
      <w:numFmt w:val="lowerLetter"/>
      <w:start w:val="1"/>
    </w:lvl>
  </w:abstractNum>
  <w:abstractNum w:abstractNumId="29">
    <w:nsid w:val="3006C83E"/>
    <w:multiLevelType w:val="hybridMultilevel"/>
    <w:lvl w:ilvl="0">
      <w:lvlJc w:val="left"/>
      <w:lvlText w:val="(%1)"/>
      <w:numFmt w:val="decimal"/>
      <w:start w:val="10"/>
    </w:lvl>
    <w:lvl w:ilvl="1">
      <w:lvlJc w:val="left"/>
      <w:lvlText w:val="(%2)"/>
      <w:numFmt w:val="lowerLetter"/>
      <w:start w:val="2"/>
    </w:lvl>
  </w:abstractNum>
  <w:abstractNum w:abstractNumId="30">
    <w:nsid w:val="614FD4A1"/>
    <w:multiLevelType w:val="hybridMultilevel"/>
    <w:lvl w:ilvl="0">
      <w:lvlJc w:val="left"/>
      <w:lvlText w:val="%1"/>
      <w:numFmt w:val="lowerLetter"/>
      <w:start w:val="1"/>
    </w:lvl>
    <w:lvl w:ilvl="1">
      <w:lvlJc w:val="left"/>
      <w:lvlText w:val="(%2)"/>
      <w:numFmt w:val="lowerLetter"/>
      <w:start w:val="1"/>
    </w:lvl>
  </w:abstractNum>
  <w:abstractNum w:abstractNumId="31">
    <w:nsid w:val="419AC241"/>
    <w:multiLevelType w:val="hybridMultilevel"/>
    <w:lvl w:ilvl="0">
      <w:lvlJc w:val="left"/>
      <w:lvlText w:val="(%1)"/>
      <w:numFmt w:val="lowerLetter"/>
      <w:start w:val="9"/>
    </w:lvl>
    <w:lvl w:ilvl="1">
      <w:lvlJc w:val="left"/>
      <w:lvlText w:val="%2"/>
      <w:numFmt w:val="lowerLetter"/>
      <w:start w:val="1"/>
    </w:lvl>
  </w:abstractNum>
  <w:abstractNum w:abstractNumId="32">
    <w:nsid w:val="5577F8E1"/>
    <w:multiLevelType w:val="hybridMultilevel"/>
    <w:lvl w:ilvl="0">
      <w:lvlJc w:val="left"/>
      <w:lvlText w:val="(%1)"/>
      <w:numFmt w:val="lowerLetter"/>
      <w:start w:val="61"/>
    </w:lvl>
    <w:lvl w:ilvl="1">
      <w:lvlJc w:val="left"/>
      <w:lvlText w:val="(%2)"/>
      <w:numFmt w:val="lowerLetter"/>
      <w:start w:val="2"/>
    </w:lvl>
  </w:abstractNum>
  <w:abstractNum w:abstractNumId="33">
    <w:nsid w:val="440BADFC"/>
    <w:multiLevelType w:val="hybridMultilevel"/>
    <w:lvl w:ilvl="0">
      <w:lvlJc w:val="left"/>
      <w:lvlText w:val="(%1)"/>
      <w:numFmt w:val="lowerLetter"/>
      <w:start w:val="4"/>
    </w:lvl>
  </w:abstractNum>
  <w:abstractNum w:abstractNumId="34">
    <w:nsid w:val="5072367"/>
    <w:multiLevelType w:val="hybridMultilevel"/>
    <w:lvl w:ilvl="0">
      <w:lvlJc w:val="left"/>
      <w:lvlText w:val="(%1)"/>
      <w:numFmt w:val="lowerLetter"/>
      <w:start w:val="9"/>
    </w:lvl>
    <w:lvl w:ilvl="1">
      <w:lvlJc w:val="left"/>
      <w:lvlText w:val="(%2)"/>
      <w:numFmt w:val="decimal"/>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2021-02-11T06:02:30Z</dcterms:created>
  <dcterms:modified xsi:type="dcterms:W3CDTF">2021-02-11T06:02:30Z</dcterms:modified>
</cp:coreProperties>
</file>