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se-20230930.htm"/>
      <w:bookmarkStart w:id="1" w:name="kssnse2023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001-39980</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Sensei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83-1863385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1405 Research Blvd, Suite 125</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Rockville, MD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(240) 243-8000</w:t>
      </w:r>
    </w:p>
    <w:p>
      <w:pPr>
        <w:pStyle w:val="TextBody"/>
        <w:pBdr>
          <w:bottom w:val="single" w:sz="4" w:space="1" w:color="000000"/>
        </w:pBdr>
        <w:bidi w:val="0"/>
        <w:jc w:val="center"/>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SNSE</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The Nasdaq</w:t>
            </w:r>
            <w:r>
              <w:rPr>
                <w:rFonts w:ascii="Times New Roman" w:hAnsi="Times New Roman"/>
                <w:color w:val="000000"/>
                <w:sz w:val="20"/>
              </w:rPr>
              <w:t> </w:t>
            </w:r>
            <w:r>
              <w:rPr>
                <w:rFonts w:ascii="Times New Roman" w:hAnsi="Times New Roman"/>
                <w:b w:val="false"/>
                <w:color w:val="000000"/>
                <w:sz w:val="18"/>
              </w:rPr>
              <w:t>Stock Market LLC</w:t>
            </w:r>
          </w:p>
        </w:tc>
      </w:tr>
      <w:tr>
        <w:trPr/>
        <w:tc>
          <w:tcPr>
            <w:tcW w:w="32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Series A Preferred Stock Purchase Rights</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caps/>
          <w:color w:val="000000"/>
          <w:sz w:val="18"/>
        </w:rPr>
        <w:t>Yes</w:t>
      </w:r>
      <w:r>
        <w:rPr>
          <w:rFonts w:ascii="Times New Roman" w:hAnsi="Times New Roman"/>
          <w:color w:val="000000"/>
          <w:sz w:val="20"/>
        </w:rPr>
        <w:t xml:space="preserve"> ☒ </w:t>
      </w:r>
      <w:r>
        <w:rPr>
          <w:rFonts w:ascii="Times New Roman" w:hAnsi="Times New Roman"/>
          <w:b w:val="false"/>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caps/>
          <w:color w:val="000000"/>
          <w:sz w:val="18"/>
        </w:rPr>
        <w:t>Yes</w:t>
      </w:r>
      <w:r>
        <w:rPr>
          <w:rFonts w:ascii="Times New Roman" w:hAnsi="Times New Roman"/>
          <w:color w:val="000000"/>
          <w:sz w:val="20"/>
        </w:rPr>
        <w:t xml:space="preserve"> ☒ </w:t>
      </w:r>
      <w:r>
        <w:rPr>
          <w:rFonts w:ascii="Times New Roman" w:hAnsi="Times New Roman"/>
          <w:b w:val="false"/>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w:t>
      </w:r>
      <w:r>
        <w:rPr>
          <w:rFonts w:ascii="Times New Roman" w:hAnsi="Times New Roman"/>
          <w:b w:val="false"/>
          <w:caps/>
          <w:color w:val="000000"/>
          <w:sz w:val="18"/>
        </w:rPr>
        <w:t>Yes</w:t>
      </w:r>
      <w:r>
        <w:rPr>
          <w:rFonts w:ascii="Times New Roman" w:hAnsi="Times New Roman"/>
          <w:color w:val="000000"/>
          <w:sz w:val="20"/>
        </w:rPr>
        <w:t xml:space="preserve"> ☐ </w:t>
      </w:r>
      <w:r>
        <w:rPr>
          <w:rFonts w:ascii="Times New Roman" w:hAnsi="Times New Roman"/>
          <w:b w:val="false"/>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b w:val="false"/>
          <w:color w:val="000000"/>
          <w:sz w:val="18"/>
        </w:rPr>
      </w:pPr>
      <w:r>
        <w:rPr>
          <w:rFonts w:ascii="Times New Roman" w:hAnsi="Times New Roman"/>
          <w:b w:val="false"/>
          <w:color w:val="000000"/>
          <w:sz w:val="18"/>
        </w:rPr>
        <w:t>The number of shares of Registrant’s Common Stock outstanding as of November 2, 2023 was 24,996,517.</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53" w:type="dxa"/>
        <w:jc w:val="left"/>
        <w:tblInd w:w="0" w:type="dxa"/>
        <w:tblLayout w:type="fixed"/>
        <w:tblCellMar>
          <w:top w:w="28" w:type="dxa"/>
          <w:left w:w="28" w:type="dxa"/>
          <w:bottom w:w="28" w:type="dxa"/>
          <w:right w:w="28" w:type="dxa"/>
        </w:tblCellMar>
      </w:tblPr>
      <w:tblGrid>
        <w:gridCol w:w="976"/>
        <w:gridCol w:w="736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b w:val="false"/>
                  <w:color w:val="0563C1"/>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b w:val="false"/>
                  <w:color w:val="0563C1"/>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nver">
              <w:r>
                <w:rPr>
                  <w:rStyle w:val="InternetLink"/>
                  <w:rFonts w:ascii="Times New Roman" w:hAnsi="Times New Roman"/>
                  <w:b w:val="false"/>
                  <w:color w:val="0563C1"/>
                  <w:sz w:val="20"/>
                  <w:u w:val="single"/>
                </w:rPr>
                <w:t>Condensed Consolidated Statements of Common Stock and Stockholders’ Equity</w:t>
              </w:r>
            </w:hyperlink>
            <w:hyperlink w:anchor="condensed_consolidated_statements_conver">
              <w:r>
                <w:rPr>
                  <w:rStyle w:val="InternetLink"/>
                  <w:rFonts w:ascii="Times New Roman" w:hAnsi="Times New Roman"/>
                  <w:color w:val="0563C1"/>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b w:val="false"/>
                  <w:color w:val="0563C1"/>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_financial_statement_sche">
              <w:r>
                <w:rPr>
                  <w:rStyle w:val="InternetLink"/>
                  <w:rFonts w:ascii="Times New Roman" w:hAnsi="Times New Roman"/>
                  <w:b w:val="false"/>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563C1"/>
                  <w:sz w:val="20"/>
                  <w:u w:val="single"/>
                </w:rPr>
                <w:t>Signatures</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SENSEI BIOTHERAPEUTICS,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1"/>
        <w:gridCol w:w="146"/>
        <w:gridCol w:w="216"/>
        <w:gridCol w:w="862"/>
        <w:gridCol w:w="166"/>
        <w:gridCol w:w="146"/>
        <w:gridCol w:w="213"/>
        <w:gridCol w:w="851"/>
        <w:gridCol w:w="394"/>
      </w:tblGrid>
      <w:tr>
        <w:trPr/>
        <w:tc>
          <w:tcPr>
            <w:tcW w:w="7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72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7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89,321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72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7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108,589</w:t>
            </w:r>
          </w:p>
        </w:tc>
        <w:tc>
          <w:tcPr>
            <w:tcW w:w="394" w:type="dxa"/>
            <w:tcBorders/>
            <w:shd w:fill="CFF0FC"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 of use assets - operating leases, 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5,355</w:t>
            </w:r>
          </w:p>
        </w:tc>
        <w:tc>
          <w:tcPr>
            <w:tcW w:w="394" w:type="dxa"/>
            <w:tcBorders/>
            <w:shd w:fill="FFFFFF" w:val="cle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 of use assets - financing leases, 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2,319</w:t>
            </w:r>
          </w:p>
        </w:tc>
        <w:tc>
          <w:tcPr>
            <w:tcW w:w="394" w:type="dxa"/>
            <w:tcBorders/>
            <w:shd w:fill="CFF0FC"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2,049</w:t>
            </w:r>
          </w:p>
        </w:tc>
        <w:tc>
          <w:tcPr>
            <w:tcW w:w="394" w:type="dxa"/>
            <w:tcBorders/>
            <w:shd w:fill="FFFFFF" w:val="cle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118,375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72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4,473</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7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Compensation and employee benefits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72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7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lease liabilities, current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880</w:t>
            </w:r>
          </w:p>
        </w:tc>
        <w:tc>
          <w:tcPr>
            <w:tcW w:w="394" w:type="dxa"/>
            <w:tcBorders/>
            <w:shd w:fill="FFFFFF" w:val="cle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9,066</w:t>
            </w:r>
          </w:p>
        </w:tc>
        <w:tc>
          <w:tcPr>
            <w:tcW w:w="39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non-current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4,323</w:t>
            </w:r>
          </w:p>
        </w:tc>
        <w:tc>
          <w:tcPr>
            <w:tcW w:w="394" w:type="dxa"/>
            <w:tcBorders/>
            <w:shd w:fill="FFFFFF" w:val="cle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lease liabilities, non-current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1,579</w:t>
            </w:r>
          </w:p>
        </w:tc>
        <w:tc>
          <w:tcPr>
            <w:tcW w:w="394" w:type="dxa"/>
            <w:tcBorders/>
            <w:shd w:fill="CFF0FC"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14,968</w:t>
            </w:r>
          </w:p>
        </w:tc>
        <w:tc>
          <w:tcPr>
            <w:tcW w:w="394" w:type="dxa"/>
            <w:tcBorders/>
            <w:shd w:fill="CFF0FC"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and 10,000,000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zero</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and 250,000,000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24,996,517</w:t>
            </w:r>
            <w:r>
              <w:rPr>
                <w:rFonts w:ascii="Times New Roman" w:hAnsi="Times New Roman"/>
                <w:color w:val="000000"/>
                <w:sz w:val="20"/>
              </w:rPr>
              <w:t> </w:t>
            </w:r>
            <w:r>
              <w:rPr>
                <w:rFonts w:ascii="Times New Roman" w:hAnsi="Times New Roman"/>
                <w:b w:val="false"/>
                <w:color w:val="000000"/>
                <w:sz w:val="20"/>
              </w:rPr>
              <w:t>and 30,764,160</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94" w:type="dxa"/>
            <w:tcBorders/>
            <w:shd w:fill="CFF0FC"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302,202</w:t>
            </w:r>
          </w:p>
        </w:tc>
        <w:tc>
          <w:tcPr>
            <w:tcW w:w="394" w:type="dxa"/>
            <w:tcBorders/>
            <w:shd w:fill="FFFFFF" w:val="clear"/>
            <w:vAlign w:val="center"/>
          </w:tcPr>
          <w:p>
            <w:pPr>
              <w:pStyle w:val="TableContents"/>
              <w:bidi w:val="0"/>
              <w:spacing w:before="0" w:after="283"/>
              <w:jc w:val="left"/>
              <w:rPr/>
            </w:pPr>
            <w:r>
              <w:rPr/>
              <w:t> </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(224,481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(197,794</w:t>
            </w:r>
          </w:p>
        </w:tc>
        <w:tc>
          <w:tcPr>
            <w:tcW w:w="3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103,407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118,375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6"/>
        <w:gridCol w:w="146"/>
        <w:gridCol w:w="219"/>
        <w:gridCol w:w="1078"/>
        <w:gridCol w:w="172"/>
        <w:gridCol w:w="151"/>
        <w:gridCol w:w="219"/>
        <w:gridCol w:w="1078"/>
        <w:gridCol w:w="166"/>
        <w:gridCol w:w="146"/>
        <w:gridCol w:w="217"/>
        <w:gridCol w:w="1070"/>
        <w:gridCol w:w="171"/>
        <w:gridCol w:w="150"/>
        <w:gridCol w:w="217"/>
        <w:gridCol w:w="1070"/>
        <w:gridCol w:w="619"/>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97"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2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619" w:type="dxa"/>
            <w:tcBorders/>
            <w:shd w:fill="CFF0FC" w:val="clear"/>
            <w:vAlign w:val="center"/>
          </w:tcPr>
          <w:p>
            <w:pPr>
              <w:pStyle w:val="TableContents"/>
              <w:bidi w:val="0"/>
              <w:spacing w:before="0" w:after="283"/>
              <w:ind w:left="0" w:right="0" w:firstLine="400"/>
              <w:jc w:val="right"/>
              <w:rPr/>
            </w:pPr>
            <w:r>
              <w:rPr/>
              <w:t> </w:t>
            </w:r>
          </w:p>
        </w:tc>
      </w:tr>
      <w:tr>
        <w:trPr/>
        <w:tc>
          <w:tcPr>
            <w:tcW w:w="331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3,818</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13,806</w:t>
            </w:r>
          </w:p>
        </w:tc>
        <w:tc>
          <w:tcPr>
            <w:tcW w:w="1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23,038</w:t>
            </w:r>
          </w:p>
        </w:tc>
        <w:tc>
          <w:tcPr>
            <w:tcW w:w="619" w:type="dxa"/>
            <w:tcBorders/>
            <w:shd w:fill="FFFFFF" w:val="clear"/>
            <w:vAlign w:val="center"/>
          </w:tcPr>
          <w:p>
            <w:pPr>
              <w:pStyle w:val="TableContents"/>
              <w:bidi w:val="0"/>
              <w:spacing w:before="0" w:after="283"/>
              <w:ind w:left="0" w:right="0" w:firstLine="400"/>
              <w:jc w:val="left"/>
              <w:rPr/>
            </w:pPr>
            <w:r>
              <w:rPr/>
              <w:t> </w:t>
            </w:r>
          </w:p>
        </w:tc>
      </w:tr>
      <w:tr>
        <w:trPr/>
        <w:tc>
          <w:tcPr>
            <w:tcW w:w="331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14,102</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37,140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(7,737</w:t>
            </w:r>
          </w:p>
        </w:tc>
        <w:tc>
          <w:tcPr>
            <w:tcW w:w="1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(28,922</w:t>
            </w:r>
          </w:p>
        </w:tc>
        <w:tc>
          <w:tcPr>
            <w:tcW w:w="1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(37,140</w:t>
            </w:r>
          </w:p>
        </w:tc>
        <w:tc>
          <w:tcPr>
            <w:tcW w:w="6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297" w:type="dxa"/>
            <w:gridSpan w:val="2"/>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2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619" w:type="dxa"/>
            <w:tcBorders/>
            <w:shd w:fill="FFFFFF" w:val="clear"/>
            <w:vAlign w:val="center"/>
          </w:tcPr>
          <w:p>
            <w:pPr>
              <w:pStyle w:val="TableContents"/>
              <w:bidi w:val="0"/>
              <w:spacing w:before="0" w:after="283"/>
              <w:ind w:left="0" w:right="0" w:firstLine="400"/>
              <w:jc w:val="right"/>
              <w:rPr/>
            </w:pPr>
            <w:r>
              <w:rPr/>
              <w:t> </w:t>
            </w:r>
          </w:p>
        </w:tc>
      </w:tr>
      <w:tr>
        <w:trPr/>
        <w:tc>
          <w:tcPr>
            <w:tcW w:w="331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2,798</w:t>
            </w:r>
          </w:p>
        </w:tc>
        <w:tc>
          <w:tcPr>
            <w:tcW w:w="171"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331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w:t>
            </w:r>
          </w:p>
        </w:tc>
        <w:tc>
          <w:tcPr>
            <w:tcW w:w="619"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on asset disposal</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w:t>
            </w:r>
          </w:p>
        </w:tc>
        <w:tc>
          <w:tcPr>
            <w:tcW w:w="1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619" w:type="dxa"/>
            <w:tcBorders/>
            <w:shd w:fill="CFF0FC" w:val="clear"/>
            <w:vAlign w:val="center"/>
          </w:tcPr>
          <w:p>
            <w:pPr>
              <w:pStyle w:val="TableContents"/>
              <w:bidi w:val="0"/>
              <w:spacing w:before="0" w:after="283"/>
              <w:ind w:left="0" w:right="0" w:firstLine="400"/>
              <w:jc w:val="left"/>
              <w:rPr/>
            </w:pPr>
            <w:r>
              <w:rPr/>
              <w:t> </w:t>
            </w:r>
          </w:p>
        </w:tc>
      </w:tr>
      <w:tr>
        <w:trPr/>
        <w:tc>
          <w:tcPr>
            <w:tcW w:w="331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(26,687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(36,356</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(0.28</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number of shares used in computing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25,514,115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30,720,291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28,942,803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30,690,175</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1297" w:type="dxa"/>
            <w:gridSpan w:val="2"/>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2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619" w:type="dxa"/>
            <w:tcBorders/>
            <w:shd w:fill="FFFFFF" w:val="clear"/>
            <w:vAlign w:val="center"/>
          </w:tcPr>
          <w:p>
            <w:pPr>
              <w:pStyle w:val="TableContents"/>
              <w:bidi w:val="0"/>
              <w:spacing w:before="0" w:after="283"/>
              <w:jc w:val="righ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(7,124</w:t>
            </w:r>
          </w:p>
        </w:tc>
        <w:tc>
          <w:tcPr>
            <w:tcW w:w="1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(26,687</w:t>
            </w:r>
          </w:p>
        </w:tc>
        <w:tc>
          <w:tcPr>
            <w:tcW w:w="1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(36,356</w:t>
            </w:r>
          </w:p>
        </w:tc>
        <w:tc>
          <w:tcPr>
            <w:tcW w:w="6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items:</w:t>
            </w:r>
          </w:p>
        </w:tc>
        <w:tc>
          <w:tcPr>
            <w:tcW w:w="146" w:type="dxa"/>
            <w:tcBorders/>
            <w:shd w:fill="FFFFFF" w:val="clear"/>
            <w:vAlign w:val="center"/>
          </w:tcPr>
          <w:p>
            <w:pPr>
              <w:pStyle w:val="TableContents"/>
              <w:bidi w:val="0"/>
              <w:spacing w:before="0" w:after="283"/>
              <w:jc w:val="left"/>
              <w:rPr/>
            </w:pPr>
            <w:r>
              <w:rPr/>
              <w:t> </w:t>
            </w:r>
          </w:p>
        </w:tc>
        <w:tc>
          <w:tcPr>
            <w:tcW w:w="1297" w:type="dxa"/>
            <w:gridSpan w:val="2"/>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2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619" w:type="dxa"/>
            <w:tcBorders/>
            <w:shd w:fill="FFFFFF" w:val="clear"/>
            <w:vAlign w:val="center"/>
          </w:tcPr>
          <w:p>
            <w:pPr>
              <w:pStyle w:val="TableContents"/>
              <w:bidi w:val="0"/>
              <w:spacing w:before="0" w:after="283"/>
              <w:jc w:val="righ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 (loss) on marketable securities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comprehensive loss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(26,085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(37,228</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19"/>
        </w:rPr>
        <w:t>CONDENSED CONSOLIDATED STATEMENTS OF COMMON STOCK AND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color w:val="000000"/>
          <w:sz w:val="19"/>
        </w:rPr>
        <w:t>Unaudited)</w:t>
      </w:r>
    </w:p>
    <w:p>
      <w:pPr>
        <w:pStyle w:val="TextBody"/>
        <w:bidi w:val="0"/>
        <w:jc w:val="center"/>
        <w:rPr>
          <w:rFonts w:ascii="Times New Roman" w:hAnsi="Times New Roman"/>
          <w:sz w:val="20"/>
        </w:rPr>
      </w:pPr>
      <w:r>
        <w:rPr>
          <w:rFonts w:ascii="Times New Roman" w:hAnsi="Times New Roman"/>
          <w:b/>
          <w:color w:val="000000"/>
          <w:sz w:val="19"/>
        </w:rP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40"/>
        <w:gridCol w:w="146"/>
        <w:gridCol w:w="146"/>
        <w:gridCol w:w="796"/>
        <w:gridCol w:w="151"/>
        <w:gridCol w:w="146"/>
        <w:gridCol w:w="216"/>
        <w:gridCol w:w="415"/>
        <w:gridCol w:w="151"/>
        <w:gridCol w:w="146"/>
        <w:gridCol w:w="240"/>
        <w:gridCol w:w="802"/>
        <w:gridCol w:w="151"/>
        <w:gridCol w:w="146"/>
        <w:gridCol w:w="207"/>
        <w:gridCol w:w="739"/>
        <w:gridCol w:w="151"/>
        <w:gridCol w:w="146"/>
        <w:gridCol w:w="371"/>
        <w:gridCol w:w="872"/>
        <w:gridCol w:w="151"/>
        <w:gridCol w:w="146"/>
        <w:gridCol w:w="260"/>
        <w:gridCol w:w="871"/>
        <w:gridCol w:w="399"/>
      </w:tblGrid>
      <w:tr>
        <w:trPr/>
        <w:tc>
          <w:tcPr>
            <w:tcW w:w="2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6"/>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399" w:type="dxa"/>
            <w:tcBorders/>
            <w:shd w:fill="FFFFFF" w:val="clear"/>
            <w:vAlign w:val="center"/>
          </w:tcPr>
          <w:p>
            <w:pPr>
              <w:pStyle w:val="TableContents"/>
              <w:bidi w:val="0"/>
              <w:spacing w:before="0" w:after="283"/>
              <w:jc w:val="center"/>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30,609,029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296,049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(149,206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146,513</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1,515</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Exercise of options into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73,784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237</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Unrealized loss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(566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(566</w:t>
            </w:r>
          </w:p>
        </w:tc>
        <w:tc>
          <w:tcPr>
            <w:tcW w:w="39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(12,405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(12,405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30,682,813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297,815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(161,611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135,308</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1,396</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37,478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60</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(313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(313</w:t>
            </w:r>
          </w:p>
        </w:tc>
        <w:tc>
          <w:tcPr>
            <w:tcW w:w="39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(10,535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(10,535</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30,720,291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299,271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(172,146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125,916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1,479</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(13,416</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30,720,291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300,750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(185,562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113,986</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399" w:type="dxa"/>
            <w:tcBorders/>
            <w:shd w:fill="FFFFFF" w:val="clear"/>
            <w:vAlign w:val="center"/>
          </w:tcPr>
          <w:p>
            <w:pPr>
              <w:pStyle w:val="TableContents"/>
              <w:bidi w:val="0"/>
              <w:spacing w:before="0" w:after="283"/>
              <w:jc w:val="right"/>
              <w:rPr/>
            </w:pPr>
            <w:r>
              <w:rPr/>
              <w:t> </w:t>
            </w:r>
          </w:p>
        </w:tc>
      </w:tr>
      <w:tr>
        <w:trPr/>
        <w:tc>
          <w:tcPr>
            <w:tcW w:w="2240"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30,764,160</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302,202</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(197,794</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(1,004</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103,407</w:t>
            </w:r>
          </w:p>
        </w:tc>
        <w:tc>
          <w:tcPr>
            <w:tcW w:w="399"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1,213</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Issuance of equity in exchange for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208,510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302</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Surrender of shares for tax withholding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(50,343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(76</w:t>
            </w:r>
          </w:p>
        </w:tc>
        <w:tc>
          <w:tcPr>
            <w:tcW w:w="39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Vesting of restricted stock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49,014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181</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(10,177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(10,177</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30,971,341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303,641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(207,971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94,850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1,095</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25,964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31</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Purchase agreement, net of issuance costs and excise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(4,454,248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(7,663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(7,663</w:t>
            </w:r>
          </w:p>
        </w:tc>
        <w:tc>
          <w:tcPr>
            <w:tcW w:w="39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Vesting of restricted stock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40,762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274</w:t>
            </w:r>
          </w:p>
        </w:tc>
        <w:tc>
          <w:tcPr>
            <w:tcW w:w="399" w:type="dxa"/>
            <w:tcBorders/>
            <w:shd w:fill="CFF0FC" w:val="cle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(9,386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(9,386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26,583,819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297,104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(217,357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79,201</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1,048</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Purchase agreement, net of issuance costs and excise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(1,587,302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(2,271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(2,272</w:t>
            </w:r>
          </w:p>
        </w:tc>
        <w:tc>
          <w:tcPr>
            <w:tcW w:w="39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147</w:t>
            </w:r>
          </w:p>
        </w:tc>
        <w:tc>
          <w:tcPr>
            <w:tcW w:w="399" w:type="dxa"/>
            <w:tcBorders/>
            <w:shd w:fill="FFFFFF" w:val="clear"/>
            <w:vAlign w:val="center"/>
          </w:tcPr>
          <w:p>
            <w:pPr>
              <w:pStyle w:val="TableContents"/>
              <w:bidi w:val="0"/>
              <w:spacing w:before="0" w:after="283"/>
              <w:ind w:left="0" w:right="0" w:firstLine="200"/>
              <w:jc w:val="left"/>
              <w:rPr/>
            </w:pPr>
            <w:r>
              <w:rPr/>
              <w:t> </w:t>
            </w:r>
          </w:p>
        </w:tc>
      </w:tr>
      <w:tr>
        <w:trPr/>
        <w:tc>
          <w:tcPr>
            <w:tcW w:w="224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(7,124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(7,124</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2240"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24,996,517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295,881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(224,481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71,000</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71"/>
        <w:gridCol w:w="146"/>
        <w:gridCol w:w="249"/>
        <w:gridCol w:w="840"/>
        <w:gridCol w:w="210"/>
        <w:gridCol w:w="185"/>
        <w:gridCol w:w="249"/>
        <w:gridCol w:w="840"/>
        <w:gridCol w:w="615"/>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(26,687</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(36,356</w:t>
            </w:r>
          </w:p>
        </w:tc>
        <w:tc>
          <w:tcPr>
            <w:tcW w:w="61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3,356</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436</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452</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(Accretion) amortization on marketable securities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(910</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285</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987</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887</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financing lease right-of-use assets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586</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544</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Loss (gain) on fixed asset disposition</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68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Prepaid expenses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(436</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(1,040</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8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(1,550</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2,201</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68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Compensation and employee benefits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(1,067</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8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(971</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(833</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(25,860</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(29,452</w:t>
            </w:r>
          </w:p>
        </w:tc>
        <w:tc>
          <w:tcPr>
            <w:tcW w:w="61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w:t>
            </w:r>
          </w:p>
        </w:tc>
        <w:tc>
          <w:tcPr>
            <w:tcW w:w="2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Purchases of short-term investments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(18,536</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(65,017</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of short-term investments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7,864</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Maturities of short-term investments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48,700</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91,365</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sale of property and equipment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615" w:type="dxa"/>
            <w:tcBorders/>
            <w:shd w:fill="FFFFFF" w:val="clear"/>
            <w:vAlign w:val="center"/>
          </w:tcPr>
          <w:p>
            <w:pPr>
              <w:pStyle w:val="TableContents"/>
              <w:bidi w:val="0"/>
              <w:spacing w:before="0" w:after="283"/>
              <w:jc w:val="left"/>
              <w:rPr/>
            </w:pPr>
            <w:r>
              <w:rPr/>
              <w:t> </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30,150</w:t>
            </w:r>
          </w:p>
        </w:tc>
        <w:tc>
          <w:tcPr>
            <w:tcW w:w="2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8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33,906</w:t>
            </w:r>
          </w:p>
        </w:tc>
        <w:tc>
          <w:tcPr>
            <w:tcW w:w="6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Principal payments for financing leases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(565</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(452</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the exercise of common stock options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238</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Payment of employee restricted stock tax withholdings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8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Employee stock purchase plan proceeds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8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Payments for repurchase of common stock</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(10,132</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(10,742</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w:t>
            </w:r>
          </w:p>
        </w:tc>
        <w:tc>
          <w:tcPr>
            <w:tcW w:w="6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(decrease)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(6,452</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4,291</w:t>
            </w:r>
          </w:p>
        </w:tc>
        <w:tc>
          <w:tcPr>
            <w:tcW w:w="615" w:type="dxa"/>
            <w:tcBorders/>
            <w:shd w:fill="CFF0FC" w:val="cle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17,795</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7,159</w:t>
            </w:r>
          </w:p>
        </w:tc>
        <w:tc>
          <w:tcPr>
            <w:tcW w:w="615" w:type="dxa"/>
            <w:tcBorders/>
            <w:shd w:fill="FFFFFF" w:val="clear"/>
            <w:vAlign w:val="center"/>
          </w:tcPr>
          <w:p>
            <w:pPr>
              <w:pStyle w:val="TableContents"/>
              <w:bidi w:val="0"/>
              <w:spacing w:before="0" w:after="283"/>
              <w:jc w:val="left"/>
              <w:rPr/>
            </w:pPr>
            <w:r>
              <w:rPr/>
              <w:t> </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11,343</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11,450</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financing information:</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 repurchase issuance costs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(337</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equity in exchange for compensation included in compensation and employee benefits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jc w:val="left"/>
              <w:rPr/>
            </w:pPr>
            <w:r>
              <w:rPr/>
              <w:t> </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Property and equipment disposals included in other assets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Initial measurement of operating lease right-of-use assets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331</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6,549</w:t>
            </w:r>
          </w:p>
        </w:tc>
        <w:tc>
          <w:tcPr>
            <w:tcW w:w="615" w:type="dxa"/>
            <w:tcBorders/>
            <w:shd w:fill="FFFFFF" w:val="clear"/>
            <w:vAlign w:val="center"/>
          </w:tcPr>
          <w:p>
            <w:pPr>
              <w:pStyle w:val="TableContents"/>
              <w:bidi w:val="0"/>
              <w:spacing w:before="0" w:after="283"/>
              <w:jc w:val="left"/>
              <w:rPr/>
            </w:pPr>
            <w:r>
              <w:rPr/>
              <w:t> </w:t>
            </w:r>
          </w:p>
        </w:tc>
      </w:tr>
      <w:tr>
        <w:trPr/>
        <w:tc>
          <w:tcPr>
            <w:tcW w:w="6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Initial measurement of operating lease liabilities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331</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5,574</w:t>
            </w:r>
          </w:p>
        </w:tc>
        <w:tc>
          <w:tcPr>
            <w:tcW w:w="615" w:type="dxa"/>
            <w:tcBorders/>
            <w:shd w:fill="CFF0FC" w:val="clear"/>
            <w:vAlign w:val="center"/>
          </w:tcPr>
          <w:p>
            <w:pPr>
              <w:pStyle w:val="TableContents"/>
              <w:bidi w:val="0"/>
              <w:spacing w:before="0" w:after="283"/>
              <w:jc w:val="left"/>
              <w:rPr/>
            </w:pPr>
            <w:r>
              <w:rPr/>
              <w:t> </w:t>
            </w:r>
          </w:p>
        </w:tc>
      </w:tr>
      <w:tr>
        <w:trPr/>
        <w:tc>
          <w:tcPr>
            <w:tcW w:w="6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Initial measurement of finance lease right-of-use assets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600</w:t>
            </w:r>
          </w:p>
        </w:tc>
        <w:tc>
          <w:tcPr>
            <w:tcW w:w="6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w:t>
      </w:r>
      <w:r>
        <w:rPr>
          <w:rFonts w:ascii="Times New Roman" w:hAnsi="Times New Roman"/>
          <w:caps/>
          <w:color w:val="000000"/>
          <w:sz w:val="20"/>
        </w:rPr>
        <w:t xml:space="preserve"> </w:t>
      </w:r>
      <w:r>
        <w:rPr>
          <w:rFonts w:ascii="Times New Roman" w:hAnsi="Times New Roman"/>
          <w:b/>
          <w:caps/>
          <w:color w:val="000000"/>
          <w:sz w:val="20"/>
        </w:rPr>
        <w:t>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condensed_consolidated_financia"/>
      <w:bookmarkEnd w:id="8"/>
      <w:r>
        <w:rPr>
          <w:rFonts w:ascii="Times New Roman" w:hAnsi="Times New Roman"/>
          <w:b/>
          <w:caps/>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Sensei Biotherapeutics, Inc. (the “Company” or “Sensei”) is an immuno-oncology company that was incorporated in 1999 as a Maryland corporation until incorporated in Delaware on December 1, 2017. The Company is focused on the discovery and development of next-generation therapeutics for cancer patients.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Since its inception, the Company has incurred substantial losses and had a net loss of $26.7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As of September 30, 2023, the Company had an accumulated deficit of $224.5</w:t>
      </w:r>
      <w:r>
        <w:rPr>
          <w:rFonts w:ascii="Times New Roman" w:hAnsi="Times New Roman"/>
          <w:color w:val="000000"/>
          <w:sz w:val="20"/>
        </w:rPr>
        <w:t xml:space="preserve"> </w:t>
      </w:r>
      <w:r>
        <w:rPr>
          <w:rFonts w:ascii="Times New Roman" w:hAnsi="Times New Roman"/>
          <w:b w:val="false"/>
          <w:color w:val="000000"/>
          <w:sz w:val="20"/>
        </w:rPr>
        <w:t>million. The Company expects to generate operating losses and negative operating cash flows for the foreseeable future.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expects that its cash, cash equivalents and marketable securities as of September 30, 2023 of $72.0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prepared the accompanying condensed consolidated financial statements in conformity with generally accepted accounting principles in the United States (“US GAAP”). The condensed consolidated financial statements include those accounts of the Company and its subsidiaries after elimination of all intercompany accounts and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condensed consolidated financial statements of the Company included herein have been prepared pursuant to the rules and regulations of the Securities and Exchange Commission (“SEC”). Certain information and note disclosures normally included in financial statements prepared in accordance with US GAAP have been condensed or omitted from these condensed consolidated financial statements, as is permitted by such rules and regulations. Accordingly, these condensed consolidated financial statements should be read in conjunction with the financial statements and notes thereto included in the Company’s Annual Report on Form 10-K. The results for any interim period are not necessarily indicative of results for any future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presented. Estimates are used for, but are not limited to, depreciation of equipment, the Company’s enterprise value, fair value of financial instruments, the Company’s ability to continue as a going concern and contingencies. Actual results may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equivalents are highly liquid investments with an original maturity of 90 days or less at the date of purchase and consist of time deposits and investments in money market funds with commercial banks and financial institutions. At September 30, 2023, cash and cash equivalents included cash on deposit at commercial banks and a money market fund that invests in U.S. Government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Investments consist of marketable securities with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 xml:space="preserve">Property and equipment are recorded at cost and depreciated or amortized over the estimated useful lives of the assets. Repairs or maintenance costs are expensed as incurred. Depreciation is computed using the straight-line method over the following estimated useful lives: </w:t>
      </w:r>
    </w:p>
    <w:tbl>
      <w:tblPr>
        <w:tblW w:w="3887" w:type="dxa"/>
        <w:jc w:val="left"/>
        <w:tblInd w:w="0" w:type="dxa"/>
        <w:tblLayout w:type="fixed"/>
        <w:tblCellMar>
          <w:top w:w="28" w:type="dxa"/>
          <w:left w:w="28" w:type="dxa"/>
          <w:bottom w:w="28" w:type="dxa"/>
          <w:right w:w="28" w:type="dxa"/>
        </w:tblCellMar>
      </w:tblPr>
      <w:tblGrid>
        <w:gridCol w:w="2626"/>
        <w:gridCol w:w="1261"/>
      </w:tblGrid>
      <w:tr>
        <w:trPr/>
        <w:tc>
          <w:tcPr>
            <w:tcW w:w="262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26" w:type="dxa"/>
            <w:tcBorders/>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Office equipment and furniture</w:t>
            </w:r>
          </w:p>
        </w:tc>
        <w:tc>
          <w:tcPr>
            <w:tcW w:w="1261" w:type="dxa"/>
            <w:tcBorders/>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w:t>
            </w:r>
            <w:r>
              <w:rPr>
                <w:rFonts w:ascii="Times New Roman" w:hAnsi="Times New Roman"/>
                <w:b w:val="false"/>
                <w:color w:val="000000"/>
                <w:sz w:val="20"/>
              </w:rPr>
              <w:t>7 years</w:t>
            </w:r>
          </w:p>
        </w:tc>
      </w:tr>
      <w:tr>
        <w:trPr/>
        <w:tc>
          <w:tcPr>
            <w:tcW w:w="2626" w:type="dxa"/>
            <w:tcBorders/>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Research equipment</w:t>
            </w:r>
          </w:p>
        </w:tc>
        <w:tc>
          <w:tcPr>
            <w:tcW w:w="126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w:t>
            </w:r>
            <w:r>
              <w:rPr>
                <w:rFonts w:ascii="Times New Roman" w:hAnsi="Times New Roman"/>
                <w:color w:val="000000"/>
                <w:sz w:val="20"/>
              </w:rPr>
              <w:t>—</w:t>
            </w:r>
            <w:r>
              <w:rPr>
                <w:rFonts w:ascii="Times New Roman" w:hAnsi="Times New Roman"/>
                <w:b w:val="false"/>
                <w:color w:val="000000"/>
                <w:sz w:val="20"/>
              </w:rPr>
              <w:t>7 years</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Effective January 1, 2022, the Company adopted</w:t>
      </w:r>
      <w:r>
        <w:rPr>
          <w:rFonts w:ascii="Times New Roman" w:hAnsi="Times New Roman"/>
          <w:color w:val="000000"/>
          <w:sz w:val="20"/>
        </w:rPr>
        <w:t xml:space="preserve"> </w:t>
      </w:r>
      <w:r>
        <w:rPr>
          <w:rFonts w:ascii="Times New Roman" w:hAnsi="Times New Roman"/>
          <w:b w:val="false"/>
          <w:color w:val="000000"/>
          <w:sz w:val="20"/>
        </w:rPr>
        <w:t>Financial Accounting Standards Board (“FASB”) Accounting Standards Update No. 2016-02, Leases (Topic 842) (“ASC 842”) using the modified retrospective method. At lease inception, the Company determines if an arrangement is or contains a lease, and if so, assesses the lease for classification as either an operating or finance lease.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Leases with a term greater than one year are recognized on the balance sheet as right-of-use assets and current and non-current lease liabilities, as applicable. The Company elected not to separate lease and non-lease components for all underlying assets. As most of the Company’s leases do not provide an implicit rate, the Company uses its incremental borrowing rate based on the information available at the commencement date in determining the present value of lease payments. The incremental borrowing rate is determined by using the rate of interest that the Company would pay to borrow on a collateralized basis an amount equal to the lease payments for a similar term and in a similar economic environment. Lease terms include options to extend or terminate the lease when it is reasonably certain that the Company will exercise the options. For leases that existed prior to the adoption of ASC 842, the Company used the remaining lease term to determine the appropriate incremental borrowing rate.</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Purchase Agreement</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On July 31, 2023, the Company entered into a Purchase Agreement (the “Cambrian Purchase Agreement”) with Cambrian BioPharma, Inc. and its associates and controlled affiliates (“Cambrian”), pursuant to which the Company agreed to repurchase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1,587,302</w:t>
      </w:r>
      <w:r>
        <w:rPr>
          <w:rFonts w:ascii="Times New Roman" w:hAnsi="Times New Roman"/>
          <w:color w:val="000000"/>
          <w:sz w:val="20"/>
        </w:rPr>
        <w:t xml:space="preserve"> </w:t>
      </w:r>
      <w:r>
        <w:rPr>
          <w:rFonts w:ascii="Times New Roman" w:hAnsi="Times New Roman"/>
          <w:b w:val="false"/>
          <w:color w:val="000000"/>
          <w:sz w:val="20"/>
        </w:rPr>
        <w:t>shares of its common stock from Cambrian at a price of $1.26</w:t>
      </w:r>
      <w:r>
        <w:rPr>
          <w:rFonts w:ascii="Times New Roman" w:hAnsi="Times New Roman"/>
          <w:color w:val="000000"/>
          <w:sz w:val="20"/>
        </w:rPr>
        <w:t xml:space="preserve"> </w:t>
      </w:r>
      <w:r>
        <w:rPr>
          <w:rFonts w:ascii="Times New Roman" w:hAnsi="Times New Roman"/>
          <w:b w:val="false"/>
          <w:color w:val="000000"/>
          <w:sz w:val="20"/>
        </w:rPr>
        <w:t>per share and for an aggregate purchase price of approximately $2</w:t>
      </w:r>
      <w:r>
        <w:rPr>
          <w:rFonts w:ascii="Times New Roman" w:hAnsi="Times New Roman"/>
          <w:color w:val="000000"/>
          <w:sz w:val="20"/>
        </w:rPr>
        <w:t xml:space="preserve"> </w:t>
      </w:r>
      <w:r>
        <w:rPr>
          <w:rFonts w:ascii="Times New Roman" w:hAnsi="Times New Roman"/>
          <w:b w:val="false"/>
          <w:color w:val="000000"/>
          <w:sz w:val="20"/>
        </w:rPr>
        <w:t>million. The transaction closed on August 15, 2023 and the 1,587,302</w:t>
      </w:r>
      <w:r>
        <w:rPr>
          <w:rFonts w:ascii="Times New Roman" w:hAnsi="Times New Roman"/>
          <w:color w:val="000000"/>
          <w:sz w:val="20"/>
        </w:rPr>
        <w:t xml:space="preserve"> </w:t>
      </w:r>
      <w:r>
        <w:rPr>
          <w:rFonts w:ascii="Times New Roman" w:hAnsi="Times New Roman"/>
          <w:b w:val="false"/>
          <w:color w:val="000000"/>
          <w:sz w:val="20"/>
        </w:rPr>
        <w:t>repurchased shares have been retired and cancelled.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Cambrian Purchase Agreement is a liability in accordance with ASC 480, Distinguishing Liabilities from Equity resulting in unconditional forward purchase contracts that requires physical settlement by repurchase of a fixed number of the Company’s shares for cash and recorded as a treasury stock transaction that used borrowed funds. At inception of the Cambrian Purchase Agreement a liability of $2.3</w:t>
      </w:r>
      <w:r>
        <w:rPr>
          <w:rFonts w:ascii="Times New Roman" w:hAnsi="Times New Roman"/>
          <w:color w:val="000000"/>
          <w:sz w:val="20"/>
        </w:rPr>
        <w:t xml:space="preserve"> </w:t>
      </w:r>
      <w:r>
        <w:rPr>
          <w:rFonts w:ascii="Times New Roman" w:hAnsi="Times New Roman"/>
          <w:b w:val="false"/>
          <w:color w:val="000000"/>
          <w:sz w:val="20"/>
        </w:rPr>
        <w:t>million, net of issuance costs, was recorded at the contractual value because the fair value exceeded the contractual value of the shares on July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Standards Updates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June 2016, the FASB issued ASU No. 2016-13, Financial Instruments—Credit Losses (Topic 326): Measurement of Credit Losses on Financial Instruments. ASU 2016-13 provides guidance for estimating credit losses on certain types of financial instruments, including trade receivables, by introducing an approach based on expected losses. ASU 2016-13 also amends the accounting for credit losses on available-for-sale debt securities and purchased financial assets with credit deterioration. The guidance requires a modified retrospective transition method and early adoption is permitted. In November 2019, FASB issued ASU No. 2019-10, Financial Instruments – Credit Losses, Derivatives and Hedging, and Leases (“ASU 2019-10”), which defers the adoption of ASU 2016-13 for smaller reporting companies until periods beginning after December 15, 2022. The Company has adopted</w:t>
      </w:r>
      <w:r>
        <w:rPr>
          <w:rFonts w:ascii="Times New Roman" w:hAnsi="Times New Roman"/>
          <w:color w:val="000000"/>
          <w:sz w:val="20"/>
        </w:rPr>
        <w:t xml:space="preserve"> </w:t>
      </w:r>
      <w:r>
        <w:rPr>
          <w:rFonts w:ascii="Times New Roman" w:hAnsi="Times New Roman"/>
          <w:b w:val="false"/>
          <w:color w:val="000000"/>
          <w:sz w:val="20"/>
        </w:rPr>
        <w:t>the new guidance as of January 1, 2023, and it did not</w:t>
      </w:r>
      <w:r>
        <w:rPr>
          <w:rFonts w:ascii="Times New Roman" w:hAnsi="Times New Roman"/>
          <w:color w:val="000000"/>
          <w:sz w:val="20"/>
        </w:rPr>
        <w:t xml:space="preserve"> </w:t>
      </w:r>
      <w:r>
        <w:rPr>
          <w:rFonts w:ascii="Times New Roman" w:hAnsi="Times New Roman"/>
          <w:b w:val="false"/>
          <w:color w:val="000000"/>
          <w:sz w:val="20"/>
        </w:rPr>
        <w:t>have a material impact on its financial statements and related disclosures.</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Marketable securities consist of the following as of September 30, 2023 (in thousands):</w:t>
      </w:r>
      <w:r>
        <w:rPr>
          <w:rFonts w:ascii="Times New Roman" w:hAnsi="Times New Roman"/>
          <w:color w:val="000000"/>
          <w:sz w:val="20"/>
        </w:rPr>
        <w:t xml:space="preserve"> </w:t>
      </w:r>
    </w:p>
    <w:p>
      <w:pPr>
        <w:pStyle w:val="TextBody"/>
        <w:bidi w:val="0"/>
        <w:jc w:val="left"/>
        <w:rPr/>
      </w:pPr>
      <w:r>
        <w:rPr/>
        <w:t> </w:t>
      </w:r>
    </w:p>
    <w:tbl>
      <w:tblPr>
        <w:tblW w:w="9139" w:type="dxa"/>
        <w:jc w:val="left"/>
        <w:tblInd w:w="0" w:type="dxa"/>
        <w:tblLayout w:type="fixed"/>
        <w:tblCellMar>
          <w:top w:w="28" w:type="dxa"/>
          <w:left w:w="28" w:type="dxa"/>
          <w:bottom w:w="28" w:type="dxa"/>
          <w:right w:w="28" w:type="dxa"/>
        </w:tblCellMar>
      </w:tblPr>
      <w:tblGrid>
        <w:gridCol w:w="2251"/>
        <w:gridCol w:w="146"/>
        <w:gridCol w:w="338"/>
        <w:gridCol w:w="1087"/>
        <w:gridCol w:w="146"/>
        <w:gridCol w:w="146"/>
        <w:gridCol w:w="596"/>
        <w:gridCol w:w="979"/>
        <w:gridCol w:w="146"/>
        <w:gridCol w:w="146"/>
        <w:gridCol w:w="497"/>
        <w:gridCol w:w="1138"/>
        <w:gridCol w:w="166"/>
        <w:gridCol w:w="146"/>
        <w:gridCol w:w="242"/>
        <w:gridCol w:w="778"/>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13,211</w:t>
            </w:r>
          </w:p>
        </w:tc>
        <w:tc>
          <w:tcPr>
            <w:tcW w:w="1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39,124</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agencies</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As of September 30, 2023, all marketable securities held by the Company had remaining contractual maturities of one year</w:t>
      </w:r>
      <w:r>
        <w:rPr>
          <w:rFonts w:ascii="Times New Roman" w:hAnsi="Times New Roman"/>
          <w:color w:val="000000"/>
          <w:sz w:val="20"/>
        </w:rPr>
        <w:t xml:space="preserve"> </w:t>
      </w:r>
      <w:r>
        <w:rPr>
          <w:rFonts w:ascii="Times New Roman" w:hAnsi="Times New Roman"/>
          <w:b w:val="false"/>
          <w:color w:val="000000"/>
          <w:sz w:val="20"/>
        </w:rPr>
        <w:t>or less.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unrealized losses were associated with marketable securities with contractual maturities of one year</w:t>
      </w:r>
      <w:r>
        <w:rPr>
          <w:rFonts w:ascii="Times New Roman" w:hAnsi="Times New Roman"/>
          <w:color w:val="000000"/>
          <w:sz w:val="20"/>
        </w:rPr>
        <w:t xml:space="preserve"> </w:t>
      </w:r>
      <w:r>
        <w:rPr>
          <w:rFonts w:ascii="Times New Roman" w:hAnsi="Times New Roman"/>
          <w:b w:val="false"/>
          <w:color w:val="000000"/>
          <w:sz w:val="20"/>
        </w:rPr>
        <w:t>or less.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impairments of the Company’s assets measured and carried at fair value during the nine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net consist of the following (in thousands):</w:t>
      </w:r>
      <w:r>
        <w:rPr>
          <w:rFonts w:ascii="Times New Roman" w:hAnsi="Times New Roman"/>
          <w:color w:val="000000"/>
          <w:sz w:val="20"/>
        </w:rPr>
        <w:t xml:space="preserve"> </w:t>
      </w:r>
    </w:p>
    <w:p>
      <w:pPr>
        <w:pStyle w:val="TextBody"/>
        <w:bidi w:val="0"/>
        <w:jc w:val="left"/>
        <w:rPr/>
      </w:pPr>
      <w:r>
        <w:rPr/>
        <w:t> </w:t>
      </w:r>
    </w:p>
    <w:tbl>
      <w:tblPr>
        <w:tblW w:w="7135" w:type="dxa"/>
        <w:jc w:val="left"/>
        <w:tblInd w:w="0" w:type="dxa"/>
        <w:tblLayout w:type="fixed"/>
        <w:tblCellMar>
          <w:top w:w="28" w:type="dxa"/>
          <w:left w:w="28" w:type="dxa"/>
          <w:bottom w:w="28" w:type="dxa"/>
          <w:right w:w="28" w:type="dxa"/>
        </w:tblCellMar>
      </w:tblPr>
      <w:tblGrid>
        <w:gridCol w:w="4051"/>
        <w:gridCol w:w="146"/>
        <w:gridCol w:w="285"/>
        <w:gridCol w:w="855"/>
        <w:gridCol w:w="166"/>
        <w:gridCol w:w="146"/>
        <w:gridCol w:w="274"/>
        <w:gridCol w:w="82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equipment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Office equipment and furniture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3,492</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Depreciation and amortization expense for the three months ended September 30, 2023 and 2022 was $137</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and $151</w:t>
      </w:r>
      <w:r>
        <w:rPr>
          <w:rFonts w:ascii="Times New Roman" w:hAnsi="Times New Roman"/>
          <w:color w:val="000000"/>
          <w:sz w:val="20"/>
        </w:rPr>
        <w:t xml:space="preserve"> </w:t>
      </w:r>
      <w:r>
        <w:rPr>
          <w:rFonts w:ascii="Times New Roman" w:hAnsi="Times New Roman"/>
          <w:b w:val="false"/>
          <w:color w:val="000000"/>
          <w:sz w:val="20"/>
        </w:rPr>
        <w:t>thousand, respectively, and for the nine months ended September 30, 2023 and 2022 was $436</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and $452</w:t>
      </w:r>
      <w:r>
        <w:rPr>
          <w:rFonts w:ascii="Times New Roman" w:hAnsi="Times New Roman"/>
          <w:color w:val="000000"/>
          <w:sz w:val="20"/>
        </w:rPr>
        <w:t xml:space="preserve"> </w:t>
      </w:r>
      <w:r>
        <w:rPr>
          <w:rFonts w:ascii="Times New Roman" w:hAnsi="Times New Roman"/>
          <w:b w:val="false"/>
          <w:color w:val="000000"/>
          <w:sz w:val="20"/>
        </w:rPr>
        <w:t>thousand,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Effective January 1, 2022, the Company adopted ASC 842 and reclassed capital leases that were previously classified as property and equipment, net were presented separately under right of use assets - financing leases, net on the Company's condensed consolidated balance sheet. $2.2</w:t>
      </w:r>
      <w:r>
        <w:rPr>
          <w:rFonts w:ascii="Times New Roman" w:hAnsi="Times New Roman"/>
          <w:color w:val="000000"/>
          <w:sz w:val="20"/>
        </w:rPr>
        <w:t xml:space="preserve"> </w:t>
      </w:r>
      <w:r>
        <w:rPr>
          <w:rFonts w:ascii="Times New Roman" w:hAnsi="Times New Roman"/>
          <w:b w:val="false"/>
          <w:color w:val="000000"/>
          <w:sz w:val="20"/>
        </w:rPr>
        <w:t>million related to items previously classified under research equipment and $70</w:t>
      </w:r>
      <w:r>
        <w:rPr>
          <w:rFonts w:ascii="Times New Roman" w:hAnsi="Times New Roman"/>
          <w:color w:val="000000"/>
          <w:sz w:val="20"/>
        </w:rPr>
        <w:t xml:space="preserve"> </w:t>
      </w:r>
      <w:r>
        <w:rPr>
          <w:rFonts w:ascii="Times New Roman" w:hAnsi="Times New Roman"/>
          <w:b w:val="false"/>
          <w:color w:val="000000"/>
          <w:sz w:val="20"/>
        </w:rPr>
        <w:t>thousand related to items previously classified under office equipment and furniture on the table above. These leases are further described in Note 6.</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spacing w:before="120" w:after="283"/>
        <w:jc w:val="left"/>
        <w:rPr/>
      </w:pPr>
      <w:r>
        <w:rPr/>
        <w:t> </w:t>
      </w:r>
    </w:p>
    <w:tbl>
      <w:tblPr>
        <w:tblW w:w="7097" w:type="dxa"/>
        <w:jc w:val="left"/>
        <w:tblInd w:w="0" w:type="dxa"/>
        <w:tblLayout w:type="fixed"/>
        <w:tblCellMar>
          <w:top w:w="28" w:type="dxa"/>
          <w:left w:w="28" w:type="dxa"/>
          <w:bottom w:w="28" w:type="dxa"/>
          <w:right w:w="28" w:type="dxa"/>
        </w:tblCellMar>
      </w:tblPr>
      <w:tblGrid>
        <w:gridCol w:w="2431"/>
        <w:gridCol w:w="146"/>
        <w:gridCol w:w="214"/>
        <w:gridCol w:w="688"/>
        <w:gridCol w:w="148"/>
        <w:gridCol w:w="148"/>
        <w:gridCol w:w="214"/>
        <w:gridCol w:w="688"/>
        <w:gridCol w:w="148"/>
        <w:gridCol w:w="148"/>
        <w:gridCol w:w="277"/>
        <w:gridCol w:w="458"/>
        <w:gridCol w:w="148"/>
        <w:gridCol w:w="148"/>
        <w:gridCol w:w="214"/>
        <w:gridCol w:w="688"/>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9" w:type="dxa"/>
            <w:gridSpan w:val="14"/>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September 30, 2023</w:t>
            </w:r>
          </w:p>
        </w:tc>
        <w:tc>
          <w:tcPr>
            <w:tcW w:w="191" w:type="dxa"/>
            <w:tcBorders/>
            <w:shd w:fill="FFFFFF" w:val="clear"/>
            <w:vAlign w:val="center"/>
          </w:tcPr>
          <w:p>
            <w:pPr>
              <w:pStyle w:val="TableContents"/>
              <w:bidi w:val="0"/>
              <w:spacing w:before="0" w:after="283"/>
              <w:jc w:val="center"/>
              <w:rPr/>
            </w:pPr>
            <w:r>
              <w:rPr/>
              <w:t> </w:t>
            </w:r>
          </w:p>
        </w:tc>
      </w:tr>
      <w:tr>
        <w:trPr/>
        <w:tc>
          <w:tcPr>
            <w:tcW w:w="2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4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10,565</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10,565</w:t>
            </w:r>
          </w:p>
        </w:tc>
        <w:tc>
          <w:tcPr>
            <w:tcW w:w="191" w:type="dxa"/>
            <w:tcBorders/>
            <w:shd w:fill="CFF0FC" w:val="cle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13,211</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13,211</w:t>
            </w:r>
          </w:p>
        </w:tc>
        <w:tc>
          <w:tcPr>
            <w:tcW w:w="191" w:type="dxa"/>
            <w:tcBorders/>
            <w:shd w:fill="CFF0FC" w:val="cle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39,124</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39,124</w:t>
            </w:r>
          </w:p>
        </w:tc>
        <w:tc>
          <w:tcPr>
            <w:tcW w:w="191" w:type="dxa"/>
            <w:tcBorders/>
            <w:shd w:fill="FFFFFF" w:val="clear"/>
            <w:vAlign w:val="center"/>
          </w:tcPr>
          <w:p>
            <w:pPr>
              <w:pStyle w:val="TableContents"/>
              <w:bidi w:val="0"/>
              <w:spacing w:before="0" w:after="283"/>
              <w:jc w:val="left"/>
              <w:rPr/>
            </w:pPr>
            <w:r>
              <w:rPr/>
              <w:t> </w:t>
            </w:r>
          </w:p>
        </w:tc>
      </w:tr>
      <w:tr>
        <w:trPr/>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U.S. Government agencies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8,335</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60,670</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transfers among Level 1, Level 2 or Level 3 categories in the nine months ended September 30, 2023 and 2022.</w:t>
      </w:r>
    </w:p>
    <w:p>
      <w:pPr>
        <w:pStyle w:val="TextBody"/>
        <w:bidi w:val="0"/>
        <w:spacing w:before="360" w:after="283"/>
        <w:jc w:val="left"/>
        <w:rPr>
          <w:rFonts w:ascii="Times New Roman" w:hAnsi="Times New Roman"/>
          <w:sz w:val="20"/>
        </w:rPr>
      </w:pPr>
      <w:r>
        <w:rPr>
          <w:rFonts w:ascii="Times New Roman" w:hAnsi="Times New Roman"/>
          <w:b/>
          <w:caps/>
          <w:color w:val="000000"/>
          <w:sz w:val="20"/>
        </w:rPr>
        <w:t>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leases office and laboratory facilities under operating leases, which expire at various dates through 2027. The Company has $678</w:t>
      </w:r>
      <w:r>
        <w:rPr>
          <w:rFonts w:ascii="Times New Roman" w:hAnsi="Times New Roman"/>
          <w:color w:val="000000"/>
          <w:sz w:val="20"/>
        </w:rPr>
        <w:t xml:space="preserve"> </w:t>
      </w:r>
      <w:r>
        <w:rPr>
          <w:rFonts w:ascii="Times New Roman" w:hAnsi="Times New Roman"/>
          <w:b w:val="false"/>
          <w:color w:val="000000"/>
          <w:sz w:val="20"/>
        </w:rPr>
        <w:t>thousand in letters of credit outstanding as security on certain of these leases. As part of its adoption of ASC 842, the Company recorded operating right-of-use assets and operating lease liabilities for these leases as of January 1,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entered into an operating sublease agreement on January 18, 2023 (the "Sublease") with respect to part of its existing Boston office and laboratory facilities (the "Head Lease"). The Company accounted for the Head Lease and the Sublease as separate contracts and there was no effect on the right-of-use asset or lease liability associated with the Head Lease. The Sublease has an effective end date of June 30, 2024. The Head Lease rent expense is presented separately from income related to the Sublease and both are reported as components of operating expenses on the condensed consolidated statements of operations and comprehensive loss. The Company recorded $239</w:t>
      </w:r>
      <w:r>
        <w:rPr>
          <w:rFonts w:ascii="Times New Roman" w:hAnsi="Times New Roman"/>
          <w:color w:val="000000"/>
          <w:sz w:val="20"/>
        </w:rPr>
        <w:t xml:space="preserve"> </w:t>
      </w:r>
      <w:r>
        <w:rPr>
          <w:rFonts w:ascii="Times New Roman" w:hAnsi="Times New Roman"/>
          <w:b w:val="false"/>
          <w:color w:val="000000"/>
          <w:sz w:val="20"/>
        </w:rPr>
        <w:t>thousand of income related to the Sublease for the nine months ended September 30, 2023.</w:t>
      </w:r>
    </w:p>
    <w:p>
      <w:pPr>
        <w:pStyle w:val="TextBody"/>
        <w:bidi w:val="0"/>
        <w:spacing w:before="120" w:after="283"/>
        <w:jc w:val="left"/>
        <w:rPr>
          <w:rFonts w:ascii="Times New Roman" w:hAnsi="Times New Roman"/>
          <w:sz w:val="20"/>
        </w:rPr>
      </w:pPr>
      <w:r>
        <w:rPr>
          <w:rFonts w:ascii="Times New Roman" w:hAnsi="Times New Roman"/>
          <w:b/>
          <w:i/>
          <w:color w:val="000000"/>
          <w:sz w:val="20"/>
        </w:rPr>
        <w:t>Finance Leases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Company leases research equipment and furniture under finance leases.</w:t>
      </w:r>
      <w:r>
        <w:rPr>
          <w:rFonts w:ascii="Times New Roman" w:hAnsi="Times New Roman"/>
          <w:color w:val="000000"/>
          <w:sz w:val="20"/>
        </w:rPr>
        <w:t xml:space="preserve">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contains a summary of the lease costs recognized under ASC 842 pertaining to the Company’s finance and operating leases for the nine months ended September 30, 2023 (in thousands):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88" w:type="dxa"/>
        <w:jc w:val="left"/>
        <w:tblInd w:w="0" w:type="dxa"/>
        <w:tblLayout w:type="fixed"/>
        <w:tblCellMar>
          <w:top w:w="28" w:type="dxa"/>
          <w:left w:w="28" w:type="dxa"/>
          <w:bottom w:w="28" w:type="dxa"/>
          <w:right w:w="28" w:type="dxa"/>
        </w:tblCellMar>
      </w:tblPr>
      <w:tblGrid>
        <w:gridCol w:w="3756"/>
        <w:gridCol w:w="146"/>
        <w:gridCol w:w="700"/>
        <w:gridCol w:w="1895"/>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25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finance right-of-use assets</w:t>
            </w:r>
          </w:p>
        </w:tc>
        <w:tc>
          <w:tcPr>
            <w:tcW w:w="14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on finance lease liabilities</w:t>
            </w:r>
          </w:p>
        </w:tc>
        <w:tc>
          <w:tcPr>
            <w:tcW w:w="14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left"/>
              <w:rPr/>
            </w:pPr>
            <w:r>
              <w:rPr/>
              <w:t> </w:t>
            </w:r>
          </w:p>
        </w:tc>
        <w:tc>
          <w:tcPr>
            <w:tcW w:w="1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costs</w:t>
            </w:r>
          </w:p>
        </w:tc>
        <w:tc>
          <w:tcPr>
            <w:tcW w:w="146" w:type="dxa"/>
            <w:tcBorders/>
            <w:shd w:fill="FFFFFF" w:val="cle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Sublease income</w:t>
            </w:r>
          </w:p>
        </w:tc>
        <w:tc>
          <w:tcPr>
            <w:tcW w:w="146" w:type="dxa"/>
            <w:tcBorders/>
            <w:shd w:fill="CFF0FC" w:val="cle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costs, net</w:t>
            </w:r>
          </w:p>
        </w:tc>
        <w:tc>
          <w:tcPr>
            <w:tcW w:w="146" w:type="dxa"/>
            <w:tcBorders/>
            <w:shd w:fill="FFFFFF" w:val="cle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contains a summary of other information pertaining to the Company’s finance and operating leases for the nine months ended September 30, 2023 (in thousands, except lease term and discount rate):</w:t>
      </w:r>
    </w:p>
    <w:tbl>
      <w:tblPr>
        <w:tblW w:w="7073" w:type="dxa"/>
        <w:jc w:val="left"/>
        <w:tblInd w:w="0" w:type="dxa"/>
        <w:tblLayout w:type="fixed"/>
        <w:tblCellMar>
          <w:top w:w="28" w:type="dxa"/>
          <w:left w:w="28" w:type="dxa"/>
          <w:bottom w:w="28" w:type="dxa"/>
          <w:right w:w="28" w:type="dxa"/>
        </w:tblCellMar>
      </w:tblPr>
      <w:tblGrid>
        <w:gridCol w:w="3921"/>
        <w:gridCol w:w="146"/>
        <w:gridCol w:w="700"/>
        <w:gridCol w:w="1895"/>
        <w:gridCol w:w="41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Operating Lease Information:</w:t>
            </w:r>
          </w:p>
        </w:tc>
        <w:tc>
          <w:tcPr>
            <w:tcW w:w="146" w:type="dxa"/>
            <w:tcBorders/>
            <w:shd w:fill="CFF0FC" w:val="clear"/>
            <w:vAlign w:val="center"/>
          </w:tcPr>
          <w:p>
            <w:pPr>
              <w:pStyle w:val="TableContents"/>
              <w:bidi w:val="0"/>
              <w:spacing w:before="0" w:after="283"/>
              <w:jc w:val="left"/>
              <w:rPr/>
            </w:pPr>
            <w:r>
              <w:rPr/>
              <w:t> </w:t>
            </w:r>
          </w:p>
        </w:tc>
        <w:tc>
          <w:tcPr>
            <w:tcW w:w="259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for operating leases</w:t>
            </w:r>
          </w:p>
        </w:tc>
        <w:tc>
          <w:tcPr>
            <w:tcW w:w="14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for operating subleases</w:t>
            </w:r>
          </w:p>
        </w:tc>
        <w:tc>
          <w:tcPr>
            <w:tcW w:w="14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for finance leases</w:t>
            </w:r>
          </w:p>
        </w:tc>
        <w:tc>
          <w:tcPr>
            <w:tcW w:w="14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cash flows from finance leases</w:t>
            </w:r>
          </w:p>
        </w:tc>
        <w:tc>
          <w:tcPr>
            <w:tcW w:w="14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2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9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remaining lease term</w:t>
            </w:r>
          </w:p>
        </w:tc>
        <w:tc>
          <w:tcPr>
            <w:tcW w:w="146" w:type="dxa"/>
            <w:tcBorders/>
            <w:shd w:fill="CFF0FC" w:val="clear"/>
            <w:vAlign w:val="center"/>
          </w:tcPr>
          <w:p>
            <w:pPr>
              <w:pStyle w:val="TableContents"/>
              <w:bidi w:val="0"/>
              <w:spacing w:before="0" w:after="283"/>
              <w:jc w:val="left"/>
              <w:rPr/>
            </w:pPr>
            <w:r>
              <w:rPr/>
              <w:t> </w:t>
            </w:r>
          </w:p>
        </w:tc>
        <w:tc>
          <w:tcPr>
            <w:tcW w:w="259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3.0</w:t>
            </w:r>
            <w:r>
              <w:rPr>
                <w:rFonts w:ascii="Times New Roman" w:hAnsi="Times New Roman"/>
                <w:color w:val="000000"/>
                <w:sz w:val="20"/>
              </w:rPr>
              <w:t> </w:t>
            </w:r>
            <w:r>
              <w:rPr>
                <w:rFonts w:ascii="Times New Roman" w:hAnsi="Times New Roman"/>
                <w:b w:val="false"/>
                <w:color w:val="000000"/>
                <w:sz w:val="20"/>
              </w:rPr>
              <w:t>years</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9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leases</w:t>
            </w:r>
          </w:p>
        </w:tc>
        <w:tc>
          <w:tcPr>
            <w:tcW w:w="146" w:type="dxa"/>
            <w:tcBorders/>
            <w:shd w:fill="CFF0FC" w:val="clear"/>
            <w:vAlign w:val="center"/>
          </w:tcPr>
          <w:p>
            <w:pPr>
              <w:pStyle w:val="TableContents"/>
              <w:bidi w:val="0"/>
              <w:spacing w:before="0" w:after="283"/>
              <w:jc w:val="left"/>
              <w:rPr/>
            </w:pPr>
            <w:r>
              <w:rPr/>
              <w:t> </w:t>
            </w:r>
          </w:p>
        </w:tc>
        <w:tc>
          <w:tcPr>
            <w:tcW w:w="259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2.3</w:t>
            </w:r>
            <w:r>
              <w:rPr>
                <w:rFonts w:ascii="Times New Roman" w:hAnsi="Times New Roman"/>
                <w:color w:val="000000"/>
                <w:sz w:val="20"/>
              </w:rPr>
              <w:t> </w:t>
            </w:r>
            <w:r>
              <w:rPr>
                <w:rFonts w:ascii="Times New Roman" w:hAnsi="Times New Roman"/>
                <w:b w:val="false"/>
                <w:color w:val="000000"/>
                <w:sz w:val="20"/>
              </w:rPr>
              <w:t>years</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92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9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59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9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leases</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presents supplemental balance sheet information related to operating and financing leases as of September 30, 2023 (in thousands):</w:t>
      </w:r>
    </w:p>
    <w:tbl>
      <w:tblPr>
        <w:tblW w:w="5048" w:type="dxa"/>
        <w:jc w:val="left"/>
        <w:tblInd w:w="0" w:type="dxa"/>
        <w:tblLayout w:type="fixed"/>
        <w:tblCellMar>
          <w:top w:w="28" w:type="dxa"/>
          <w:left w:w="28" w:type="dxa"/>
          <w:bottom w:w="28" w:type="dxa"/>
          <w:right w:w="28" w:type="dxa"/>
        </w:tblCellMar>
      </w:tblPr>
      <w:tblGrid>
        <w:gridCol w:w="3571"/>
        <w:gridCol w:w="146"/>
        <w:gridCol w:w="307"/>
        <w:gridCol w:w="833"/>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CEE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CEEFF" w:val="clear"/>
            <w:vAlign w:val="center"/>
          </w:tcPr>
          <w:p>
            <w:pPr>
              <w:pStyle w:val="TableContents"/>
              <w:bidi w:val="0"/>
              <w:spacing w:before="0" w:after="283"/>
              <w:jc w:val="left"/>
              <w:rPr/>
            </w:pPr>
            <w:r>
              <w:rPr/>
              <w:t> </w:t>
            </w:r>
          </w:p>
        </w:tc>
        <w:tc>
          <w:tcPr>
            <w:tcW w:w="1140"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Right-of-use assets, net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0"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Right-of-use lease liabilities, current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Right-of-use lease liabilities, noncurrent</w:t>
            </w:r>
          </w:p>
        </w:tc>
        <w:tc>
          <w:tcPr>
            <w:tcW w:w="146" w:type="dxa"/>
            <w:tcBorders/>
            <w:shd w:fill="CCEEFF" w:val="clear"/>
            <w:vAlign w:val="center"/>
          </w:tcPr>
          <w:p>
            <w:pPr>
              <w:pStyle w:val="TableContents"/>
              <w:bidi w:val="0"/>
              <w:spacing w:before="0" w:after="283"/>
              <w:jc w:val="left"/>
              <w:rPr/>
            </w:pPr>
            <w:r>
              <w:rPr/>
              <w:t> </w:t>
            </w:r>
          </w:p>
        </w:tc>
        <w:tc>
          <w:tcPr>
            <w:tcW w:w="3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3,403</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0" w:type="dxa"/>
            <w:gridSpan w:val="2"/>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leases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Right-of-use assets, net</w:t>
            </w:r>
          </w:p>
        </w:tc>
        <w:tc>
          <w:tcPr>
            <w:tcW w:w="146"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Right-of-use lease liabilities, current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Right-of-use lease liabilities, noncurrent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financing lease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br/>
        <w:br/>
        <w:t>The following table presents the maturity of the Company’s operating and finance lease liabilities as of September 30, 2023 (in thousands):</w:t>
        <w:br/>
        <w:br/>
      </w:r>
      <w:r>
        <w:rPr>
          <w:rFonts w:ascii="Times New Roman" w:hAnsi="Times New Roman"/>
          <w:color w:val="000000"/>
          <w:sz w:val="20"/>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92" w:type="dxa"/>
        <w:jc w:val="left"/>
        <w:tblInd w:w="0" w:type="dxa"/>
        <w:tblLayout w:type="fixed"/>
        <w:tblCellMar>
          <w:top w:w="28" w:type="dxa"/>
          <w:left w:w="28" w:type="dxa"/>
          <w:bottom w:w="28" w:type="dxa"/>
          <w:right w:w="28" w:type="dxa"/>
        </w:tblCellMar>
      </w:tblPr>
      <w:tblGrid>
        <w:gridCol w:w="3181"/>
        <w:gridCol w:w="146"/>
        <w:gridCol w:w="230"/>
        <w:gridCol w:w="626"/>
        <w:gridCol w:w="146"/>
        <w:gridCol w:w="146"/>
        <w:gridCol w:w="222"/>
        <w:gridCol w:w="604"/>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757</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future minimum lease payments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 representing interest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normal course of business, the Company enters into licensing agreements with various parties to obtain the right to make, use, and sell licensed products currently in development.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records estimated losses from loss contingencies, such as a loss arising from a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2017, the Company became actively involved in a matter pending in the Ontario (Canada) Superior Court of Justice which names, among multiple other defendants, the Company and two</w:t>
      </w:r>
      <w:r>
        <w:rPr>
          <w:rFonts w:ascii="Times New Roman" w:hAnsi="Times New Roman"/>
          <w:color w:val="000000"/>
          <w:sz w:val="20"/>
        </w:rPr>
        <w:t xml:space="preserve"> </w:t>
      </w:r>
      <w:r>
        <w:rPr>
          <w:rFonts w:ascii="Times New Roman" w:hAnsi="Times New Roman"/>
          <w:b w:val="false"/>
          <w:color w:val="000000"/>
          <w:sz w:val="20"/>
        </w:rPr>
        <w:t>former officers of the Company. The claims pending in this matter allege breach of contract by the Company and seek declaratory and other relief, including monetary damages from the Company, and the individual defendants, including the Company’s former officers. The claims by such plaintiffs were originally made in a lawsuit filed in Ontario during October 2011, but was not pursued by such plaintiffs in any material manner until 2017. The Company believes that there is no</w:t>
      </w:r>
      <w:r>
        <w:rPr>
          <w:rFonts w:ascii="Times New Roman" w:hAnsi="Times New Roman"/>
          <w:color w:val="000000"/>
          <w:sz w:val="20"/>
        </w:rPr>
        <w:t xml:space="preserve"> </w:t>
      </w:r>
      <w:r>
        <w:rPr>
          <w:rFonts w:ascii="Times New Roman" w:hAnsi="Times New Roman"/>
          <w:b w:val="false"/>
          <w:color w:val="000000"/>
          <w:sz w:val="20"/>
        </w:rPr>
        <w:t>merit to the claims alleged against the Company and its former officers, including no</w:t>
      </w:r>
      <w:r>
        <w:rPr>
          <w:rFonts w:ascii="Times New Roman" w:hAnsi="Times New Roman"/>
          <w:color w:val="000000"/>
          <w:sz w:val="20"/>
        </w:rPr>
        <w:t xml:space="preserve"> </w:t>
      </w:r>
      <w:r>
        <w:rPr>
          <w:rFonts w:ascii="Times New Roman" w:hAnsi="Times New Roman"/>
          <w:b w:val="false"/>
          <w:color w:val="000000"/>
          <w:sz w:val="20"/>
        </w:rPr>
        <w:t>alleged breach of contract by the Company, and intends to vigorously defend against the claims pertaining to the Company and its former officers.</w:t>
      </w:r>
      <w:r>
        <w:rPr>
          <w:rFonts w:ascii="Times New Roman" w:hAnsi="Times New Roman"/>
          <w:color w:val="000000"/>
          <w:sz w:val="20"/>
        </w:rPr>
        <w:t xml:space="preserve"> </w:t>
      </w:r>
      <w:r>
        <w:rPr>
          <w:rFonts w:ascii="Times New Roman" w:hAnsi="Times New Roman"/>
          <w:b w:val="false"/>
          <w:color w:val="000000"/>
          <w:sz w:val="20"/>
        </w:rPr>
        <w:t>At the present stage of the suit, management believes the outcome in this matter is not likely to have any material impact on the Company’s results, cash flows, or financial position.</w:t>
      </w:r>
      <w:r>
        <w:rPr>
          <w:rFonts w:ascii="Times New Roman" w:hAnsi="Times New Roman"/>
          <w:color w:val="000000"/>
          <w:sz w:val="20"/>
        </w:rPr>
        <w:t xml:space="preserve">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7. Equity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Each share of common stock entitles the holder to one vote on all matters submitted to a vote of the Company’s stockholders. Common stockholders are not entitled to receive dividends, unless declared by the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is a summary of the common stock warrant activity for the nine months ended September 30, 2023 related to common stock warrants issued in conjunction with equity and debt fundraising events:</w:t>
      </w:r>
    </w:p>
    <w:tbl>
      <w:tblPr>
        <w:tblW w:w="8136" w:type="dxa"/>
        <w:jc w:val="left"/>
        <w:tblInd w:w="0" w:type="dxa"/>
        <w:tblLayout w:type="fixed"/>
        <w:tblCellMar>
          <w:top w:w="28" w:type="dxa"/>
          <w:left w:w="28" w:type="dxa"/>
          <w:bottom w:w="28" w:type="dxa"/>
          <w:right w:w="28" w:type="dxa"/>
        </w:tblCellMar>
      </w:tblPr>
      <w:tblGrid>
        <w:gridCol w:w="2986"/>
        <w:gridCol w:w="146"/>
        <w:gridCol w:w="158"/>
        <w:gridCol w:w="847"/>
        <w:gridCol w:w="146"/>
        <w:gridCol w:w="146"/>
        <w:gridCol w:w="266"/>
        <w:gridCol w:w="590"/>
        <w:gridCol w:w="146"/>
        <w:gridCol w:w="146"/>
        <w:gridCol w:w="236"/>
        <w:gridCol w:w="755"/>
        <w:gridCol w:w="146"/>
        <w:gridCol w:w="146"/>
        <w:gridCol w:w="334"/>
        <w:gridCol w:w="551"/>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 xml:space="preserve">of Common </w:t>
              <w:br/>
              <w:t xml:space="preserve">Stock </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Purchase Agreement</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On July 31, 2023, the Company entered into the Cambrian Purchase Agreement, pursuant to which the Company agreed to repurchase 1,587,302</w:t>
      </w:r>
      <w:r>
        <w:rPr>
          <w:rFonts w:ascii="Times New Roman" w:hAnsi="Times New Roman"/>
          <w:color w:val="000000"/>
          <w:sz w:val="20"/>
        </w:rPr>
        <w:t xml:space="preserve"> </w:t>
      </w:r>
      <w:r>
        <w:rPr>
          <w:rFonts w:ascii="Times New Roman" w:hAnsi="Times New Roman"/>
          <w:b w:val="false"/>
          <w:color w:val="000000"/>
          <w:sz w:val="20"/>
        </w:rPr>
        <w:t>shares of its common stock from Cambrian at a price of $1.26</w:t>
      </w:r>
      <w:r>
        <w:rPr>
          <w:rFonts w:ascii="Times New Roman" w:hAnsi="Times New Roman"/>
          <w:color w:val="000000"/>
          <w:sz w:val="20"/>
        </w:rPr>
        <w:t xml:space="preserve"> </w:t>
      </w:r>
      <w:r>
        <w:rPr>
          <w:rFonts w:ascii="Times New Roman" w:hAnsi="Times New Roman"/>
          <w:b w:val="false"/>
          <w:color w:val="000000"/>
          <w:sz w:val="20"/>
        </w:rPr>
        <w:t>per share and for an aggregate purchase price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approximately $2 million. The transaction closed on August 15, 2023 and the 1,587,302 repurchased shares were retired and cancelled on or about the date of the closing.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16, 2022, the Inflation Reduction Act of 2022 (“IRA”) was signed into law, which contains certain revisions to the Internal Revenue Code, including a 1% excise tax on the value of net corporate stock repurchases that is effective beginning on January 1, 2023. The excise tax is recorded as an incremental cost in equity on the Company's condensed consolidated balance sheets and was not significant as of September 30, 2023.</w:t>
      </w:r>
    </w:p>
    <w:p>
      <w:pPr>
        <w:pStyle w:val="TextBody"/>
        <w:bidi w:val="0"/>
        <w:spacing w:before="160" w:after="283"/>
        <w:jc w:val="left"/>
        <w:rPr>
          <w:rFonts w:ascii="Times New Roman" w:hAnsi="Times New Roman"/>
          <w:sz w:val="20"/>
        </w:rPr>
      </w:pPr>
      <w:r>
        <w:rPr>
          <w:rFonts w:ascii="Times New Roman" w:hAnsi="Times New Roman"/>
          <w:b/>
          <w:caps/>
          <w:color w:val="000000"/>
          <w:sz w:val="20"/>
        </w:rPr>
        <w:t>8. STOCK-BASED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(as defined below), the Company ceased issuing new awards under the 2018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2021 Equity Incentive Plan (the “2021 Plan”) was approved by the board of directors on January 27, 2021 and the Company’s stockholders on January 28, 2021, and became effective on the execution of the underwriting agreement related to the Company's initial public offering. The 2021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2021 Plan was 5,000,000, which began automatically increasing on January 1 of each calendar year, starting on January 1, 2022 through January 1, 2031, in an amount equal to 4.0% of the total number of shares of the Company’s capital stock outstanding on the last day of the calendar month before the date of each automatic increase, or a lesser number of shares determined by the board of directors. In December 2022, the Company's board of directors determined that the automatic increase of available shares for calendar year 2023 would be reduced from 4.0% to 1.0% of the Company's capital stock. As a result, on January 1, 2023 the number of shares available for issuance pursuant to the 2021 Plan increased to 2,900,096</w:t>
      </w:r>
      <w:r>
        <w:rPr>
          <w:rFonts w:ascii="Times New Roman" w:hAnsi="Times New Roman"/>
          <w:color w:val="000000"/>
          <w:sz w:val="20"/>
        </w:rPr>
        <w:t xml:space="preserve"> </w:t>
      </w:r>
      <w:r>
        <w:rPr>
          <w:rFonts w:ascii="Times New Roman" w:hAnsi="Times New Roman"/>
          <w:b w:val="false"/>
          <w:color w:val="000000"/>
          <w:sz w:val="20"/>
        </w:rPr>
        <w:t>shares. As of September 30, 2023, 2,537,629</w:t>
      </w:r>
      <w:r>
        <w:rPr>
          <w:rFonts w:ascii="Times New Roman" w:hAnsi="Times New Roman"/>
          <w:color w:val="000000"/>
          <w:sz w:val="20"/>
        </w:rPr>
        <w:t xml:space="preserve"> </w:t>
      </w:r>
      <w:r>
        <w:rPr>
          <w:rFonts w:ascii="Times New Roman" w:hAnsi="Times New Roman"/>
          <w:b w:val="false"/>
          <w:color w:val="000000"/>
          <w:sz w:val="20"/>
        </w:rPr>
        <w:t>shares remained available for issuance pursuant to the 2021 Plan.</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2021 Employee Stock Purchase Plan (the “2021 ESPP”) was approved by the Company’s board of directors on January 27, 2021 and became effective on the execution of the underwriting agreement related to the initial public offering. A total of 333,333</w:t>
      </w:r>
      <w:r>
        <w:rPr>
          <w:rFonts w:ascii="Times New Roman" w:hAnsi="Times New Roman"/>
          <w:color w:val="000000"/>
          <w:sz w:val="20"/>
        </w:rPr>
        <w:t xml:space="preserve"> </w:t>
      </w:r>
      <w:r>
        <w:rPr>
          <w:rFonts w:ascii="Times New Roman" w:hAnsi="Times New Roman"/>
          <w:b w:val="false"/>
          <w:color w:val="000000"/>
          <w:sz w:val="20"/>
        </w:rPr>
        <w:t>shares of common stock were initially reserved for issuance under the 2021 ESPP, which will automatically increase on January 1 of each calendar year, beginning on January 1, 2022 through January 1, 2031, by an amount equal to 1.0% of the total shares of common stock outstanding on December 31st of the preceding calendar year. The purchase price of the shares under the 2021 ESPP are at 85% of the lower of the fair market value of the Company’s common stock on the first trading day of the offering period or on the purchase date. As of September 30, 2023, the Company had issued 119,011</w:t>
      </w:r>
      <w:r>
        <w:rPr>
          <w:rFonts w:ascii="Times New Roman" w:hAnsi="Times New Roman"/>
          <w:color w:val="000000"/>
          <w:sz w:val="20"/>
        </w:rPr>
        <w:t xml:space="preserve"> </w:t>
      </w:r>
      <w:r>
        <w:rPr>
          <w:rFonts w:ascii="Times New Roman" w:hAnsi="Times New Roman"/>
          <w:b w:val="false"/>
          <w:color w:val="000000"/>
          <w:sz w:val="20"/>
        </w:rPr>
        <w:t>shares under the 2021 ESPP. As of September 30, 2023, 828,053</w:t>
      </w:r>
      <w:r>
        <w:rPr>
          <w:rFonts w:ascii="Times New Roman" w:hAnsi="Times New Roman"/>
          <w:color w:val="000000"/>
          <w:sz w:val="20"/>
        </w:rPr>
        <w:t xml:space="preserve"> </w:t>
      </w:r>
      <w:r>
        <w:rPr>
          <w:rFonts w:ascii="Times New Roman" w:hAnsi="Times New Roman"/>
          <w:b w:val="false"/>
          <w:color w:val="000000"/>
          <w:sz w:val="20"/>
        </w:rPr>
        <w:t>shares were available to be issued under the 2021 ESPP. During the nine months ended September 30, 2023, the Company issued 25,964</w:t>
      </w:r>
      <w:r>
        <w:rPr>
          <w:rFonts w:ascii="Times New Roman" w:hAnsi="Times New Roman"/>
          <w:color w:val="000000"/>
          <w:sz w:val="20"/>
        </w:rPr>
        <w:t xml:space="preserve"> </w:t>
      </w:r>
      <w:r>
        <w:rPr>
          <w:rFonts w:ascii="Times New Roman" w:hAnsi="Times New Roman"/>
          <w:b w:val="false"/>
          <w:color w:val="000000"/>
          <w:sz w:val="20"/>
        </w:rPr>
        <w:t>shares of common stock related to the ESPP offering that ended on May 15, 2023. The Company recognized $6</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of share-based compensation expense related to the ESPP for the nine months ended September 30, 2023.</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2023, the Company has granted options to purchase shares of common stock to employees and non-employee directors pursuant to the 2021 Plan at a weighted average fair value of $1.05</w:t>
      </w:r>
      <w:r>
        <w:rPr>
          <w:rFonts w:ascii="Times New Roman" w:hAnsi="Times New Roman"/>
          <w:color w:val="000000"/>
          <w:sz w:val="20"/>
        </w:rPr>
        <w:t xml:space="preserve"> </w:t>
      </w:r>
      <w:r>
        <w:rPr>
          <w:rFonts w:ascii="Times New Roman" w:hAnsi="Times New Roman"/>
          <w:b w:val="false"/>
          <w:color w:val="000000"/>
          <w:sz w:val="20"/>
        </w:rPr>
        <w:t>per share. The Company uses the Black-Scholes option-pricing model to estimate the fair value of the stock options on the applicable grant 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is a summary of the stock option award activity during the nine months ended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30"/>
        <w:gridCol w:w="146"/>
        <w:gridCol w:w="146"/>
        <w:gridCol w:w="931"/>
        <w:gridCol w:w="166"/>
        <w:gridCol w:w="146"/>
        <w:gridCol w:w="230"/>
        <w:gridCol w:w="626"/>
        <w:gridCol w:w="146"/>
        <w:gridCol w:w="146"/>
        <w:gridCol w:w="236"/>
        <w:gridCol w:w="755"/>
        <w:gridCol w:w="146"/>
        <w:gridCol w:w="146"/>
        <w:gridCol w:w="558"/>
        <w:gridCol w:w="559"/>
        <w:gridCol w:w="392"/>
      </w:tblGrid>
      <w:tr>
        <w:trPr/>
        <w:tc>
          <w:tcPr>
            <w:tcW w:w="4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3,333,434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473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473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(397,289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473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473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3,380,761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4730"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Options expected to vest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1,305,528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473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2,075,233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92"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aggregate intrinsic value of the outstanding stock option awards is calculated as the difference between the exercise price and the market price of the Company’s common stock at September 30, 2023. There were no stock options exercised in the nine months ended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grant date fair value of options vested during the nine months ended September 30, 2023 and 2022 was $3.5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$6.9</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At September 30, 2023, there was $5.1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unrecognized stock-based compensation expense associated with the stock options, which is expected to be recognized over a weighted-average period of 1.63</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has granted restricted stock units with service-based vesting conditions.</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is a summary of the restricted stock unit activity during the nine months ended September 30, 2023:</w:t>
      </w:r>
    </w:p>
    <w:tbl>
      <w:tblPr>
        <w:tblW w:w="6875" w:type="dxa"/>
        <w:jc w:val="left"/>
        <w:tblInd w:w="0" w:type="dxa"/>
        <w:tblLayout w:type="fixed"/>
        <w:tblCellMar>
          <w:top w:w="28" w:type="dxa"/>
          <w:left w:w="28" w:type="dxa"/>
          <w:bottom w:w="28" w:type="dxa"/>
          <w:right w:w="28" w:type="dxa"/>
        </w:tblCellMar>
      </w:tblPr>
      <w:tblGrid>
        <w:gridCol w:w="2746"/>
        <w:gridCol w:w="146"/>
        <w:gridCol w:w="253"/>
        <w:gridCol w:w="1457"/>
        <w:gridCol w:w="166"/>
        <w:gridCol w:w="146"/>
        <w:gridCol w:w="550"/>
        <w:gridCol w:w="1220"/>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at December 31, 2022</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(298,286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1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at September 30, 2023</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2021 Plan, the Company granted restricted stock units which vest annually over a period of one, two, three</w:t>
      </w:r>
      <w:r>
        <w:rPr>
          <w:rFonts w:ascii="Times New Roman" w:hAnsi="Times New Roman"/>
          <w:color w:val="000000"/>
          <w:sz w:val="20"/>
        </w:rPr>
        <w:t xml:space="preserve"> </w:t>
      </w:r>
      <w:r>
        <w:rPr>
          <w:rFonts w:ascii="Times New Roman" w:hAnsi="Times New Roman"/>
          <w:b w:val="false"/>
          <w:color w:val="000000"/>
          <w:sz w:val="20"/>
        </w:rPr>
        <w:t>or four years.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there was approximately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unrecognized stock-based compensation expense associated with the restricted stock units which is expected to be recognized over a weighted-average period of 2.46</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is a summary of the employee-issued common stock warrant activity during the nine months ended September 30, 2023:</w:t>
      </w:r>
      <w:r>
        <w:rPr>
          <w:rFonts w:ascii="Times New Roman" w:hAnsi="Times New Roman"/>
          <w:color w:val="000000"/>
          <w:sz w:val="20"/>
        </w:rPr>
        <w:t xml:space="preserve"> </w:t>
      </w:r>
    </w:p>
    <w:tbl>
      <w:tblPr>
        <w:tblW w:w="9216" w:type="dxa"/>
        <w:jc w:val="left"/>
        <w:tblInd w:w="0" w:type="dxa"/>
        <w:tblLayout w:type="fixed"/>
        <w:tblCellMar>
          <w:top w:w="28" w:type="dxa"/>
          <w:left w:w="28" w:type="dxa"/>
          <w:bottom w:w="28" w:type="dxa"/>
          <w:right w:w="28" w:type="dxa"/>
        </w:tblCellMar>
      </w:tblPr>
      <w:tblGrid>
        <w:gridCol w:w="4291"/>
        <w:gridCol w:w="146"/>
        <w:gridCol w:w="170"/>
        <w:gridCol w:w="790"/>
        <w:gridCol w:w="166"/>
        <w:gridCol w:w="146"/>
        <w:gridCol w:w="266"/>
        <w:gridCol w:w="590"/>
        <w:gridCol w:w="146"/>
        <w:gridCol w:w="146"/>
        <w:gridCol w:w="236"/>
        <w:gridCol w:w="755"/>
        <w:gridCol w:w="146"/>
        <w:gridCol w:w="146"/>
        <w:gridCol w:w="334"/>
        <w:gridCol w:w="55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Common</w:t>
              <w:br/>
              <w:t>Stock</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and exercisable at December 31, 2022</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and exercisable at September 30, 2023</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w:t>
      </w:r>
      <w:r>
        <w:rPr>
          <w:rFonts w:ascii="Times New Roman" w:hAnsi="Times New Roman"/>
          <w:color w:val="000000"/>
          <w:sz w:val="20"/>
        </w:rPr>
        <w:t xml:space="preserve"> </w:t>
      </w:r>
      <w:r>
        <w:rPr>
          <w:rFonts w:ascii="Times New Roman" w:hAnsi="Times New Roman"/>
          <w:b w:val="false"/>
          <w:color w:val="000000"/>
          <w:sz w:val="20"/>
        </w:rPr>
        <w:t>there was no</w:t>
      </w:r>
      <w:r>
        <w:rPr>
          <w:rFonts w:ascii="Times New Roman" w:hAnsi="Times New Roman"/>
          <w:color w:val="000000"/>
          <w:sz w:val="20"/>
        </w:rPr>
        <w:t xml:space="preserve"> </w:t>
      </w:r>
      <w:r>
        <w:rPr>
          <w:rFonts w:ascii="Times New Roman" w:hAnsi="Times New Roman"/>
          <w:b w:val="false"/>
          <w:color w:val="000000"/>
          <w:sz w:val="20"/>
        </w:rPr>
        <w:t>unrecognized stock-based compensation expense associated with the common stock warrants.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 the nine months ended September 30, 2023, the Company utilized the Black-Scholes option-pricing model for estimating the fair value of the stock options granted. The following table presents the assumptions and the Company’s methodology for developing each of the assumptions used: </w:t>
      </w:r>
    </w:p>
    <w:p>
      <w:pPr>
        <w:pStyle w:val="TextBody"/>
        <w:bidi w:val="0"/>
        <w:spacing w:before="120" w:after="283"/>
        <w:jc w:val="left"/>
        <w:rPr/>
      </w:pPr>
      <w:r>
        <w:rPr/>
        <w:t> </w:t>
      </w:r>
    </w:p>
    <w:tbl>
      <w:tblPr>
        <w:tblW w:w="4661" w:type="dxa"/>
        <w:jc w:val="left"/>
        <w:tblInd w:w="0" w:type="dxa"/>
        <w:tblLayout w:type="fixed"/>
        <w:tblCellMar>
          <w:top w:w="28" w:type="dxa"/>
          <w:left w:w="28" w:type="dxa"/>
          <w:bottom w:w="28" w:type="dxa"/>
          <w:right w:w="28" w:type="dxa"/>
        </w:tblCellMar>
      </w:tblPr>
      <w:tblGrid>
        <w:gridCol w:w="1876"/>
        <w:gridCol w:w="146"/>
        <w:gridCol w:w="1234"/>
        <w:gridCol w:w="171"/>
        <w:gridCol w:w="1234"/>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93%-97%</w:t>
            </w:r>
          </w:p>
        </w:tc>
        <w:tc>
          <w:tcPr>
            <w:tcW w:w="171"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94%-97%</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5.5-7.0</w:t>
            </w:r>
          </w:p>
        </w:tc>
        <w:tc>
          <w:tcPr>
            <w:tcW w:w="17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5.5-7.0</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3.6%–4.6%</w:t>
            </w:r>
          </w:p>
        </w:tc>
        <w:tc>
          <w:tcPr>
            <w:tcW w:w="171"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1.7%-4.0%</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rate</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color w:val="000000"/>
              </w:rPr>
            </w:pPr>
            <w:r>
              <w:rPr>
                <w:color w:val="000000"/>
              </w:rPr>
              <w:t>—</w:t>
            </w: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color w:val="000000"/>
              </w:rPr>
            </w:pPr>
            <w:r>
              <w:rPr>
                <w:color w:val="000000"/>
              </w:rPr>
              <w:t>—</w:t>
            </w: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Expected life—The expected life is estimated as the contractual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Dividend rate—The assumed dividend yield is based upon the Company’s expectation of not paying dividends in the foreseeable future.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Stock-based compensation expense was recorded in the following line items in the condensed consolidated statements of operations for the three and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9358" w:type="dxa"/>
        <w:jc w:val="left"/>
        <w:tblInd w:w="0" w:type="dxa"/>
        <w:tblLayout w:type="fixed"/>
        <w:tblCellMar>
          <w:top w:w="28" w:type="dxa"/>
          <w:left w:w="28" w:type="dxa"/>
          <w:bottom w:w="28" w:type="dxa"/>
          <w:right w:w="28" w:type="dxa"/>
        </w:tblCellMar>
      </w:tblPr>
      <w:tblGrid>
        <w:gridCol w:w="3451"/>
        <w:gridCol w:w="146"/>
        <w:gridCol w:w="305"/>
        <w:gridCol w:w="826"/>
        <w:gridCol w:w="211"/>
        <w:gridCol w:w="211"/>
        <w:gridCol w:w="305"/>
        <w:gridCol w:w="826"/>
        <w:gridCol w:w="146"/>
        <w:gridCol w:w="146"/>
        <w:gridCol w:w="295"/>
        <w:gridCol w:w="798"/>
        <w:gridCol w:w="204"/>
        <w:gridCol w:w="204"/>
        <w:gridCol w:w="295"/>
        <w:gridCol w:w="798"/>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3,356</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EMPLOYEE RETIREMENT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maintains a defined contribution 401(k) profit-sharing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the three months ended September 30, 2023 and 2022, the Company’s matching contributions were $43</w:t>
      </w:r>
      <w:r>
        <w:rPr>
          <w:rFonts w:ascii="Times New Roman" w:hAnsi="Times New Roman"/>
          <w:color w:val="000000"/>
          <w:sz w:val="20"/>
        </w:rPr>
        <w:t xml:space="preserve"> </w:t>
      </w:r>
      <w:r>
        <w:rPr>
          <w:rFonts w:ascii="Times New Roman" w:hAnsi="Times New Roman"/>
          <w:b w:val="false"/>
          <w:color w:val="000000"/>
          <w:sz w:val="20"/>
        </w:rPr>
        <w:t>thousand and $85</w:t>
      </w:r>
      <w:r>
        <w:rPr>
          <w:rFonts w:ascii="Times New Roman" w:hAnsi="Times New Roman"/>
          <w:color w:val="000000"/>
          <w:sz w:val="20"/>
        </w:rPr>
        <w:t xml:space="preserve"> </w:t>
      </w:r>
      <w:r>
        <w:rPr>
          <w:rFonts w:ascii="Times New Roman" w:hAnsi="Times New Roman"/>
          <w:b w:val="false"/>
          <w:color w:val="000000"/>
          <w:sz w:val="20"/>
        </w:rPr>
        <w:t>thousand, respectively. During the nine months ended September 30, 2023 and 2022, the Company’s matching contributions were $190</w:t>
      </w:r>
      <w:r>
        <w:rPr>
          <w:rFonts w:ascii="Times New Roman" w:hAnsi="Times New Roman"/>
          <w:color w:val="000000"/>
          <w:sz w:val="20"/>
        </w:rPr>
        <w:t xml:space="preserve"> </w:t>
      </w:r>
      <w:r>
        <w:rPr>
          <w:rFonts w:ascii="Times New Roman" w:hAnsi="Times New Roman"/>
          <w:b w:val="false"/>
          <w:color w:val="000000"/>
          <w:sz w:val="20"/>
        </w:rPr>
        <w:t>thousand and $268</w:t>
      </w:r>
      <w:r>
        <w:rPr>
          <w:rFonts w:ascii="Times New Roman" w:hAnsi="Times New Roman"/>
          <w:color w:val="000000"/>
          <w:sz w:val="20"/>
        </w:rPr>
        <w:t xml:space="preserve"> </w:t>
      </w:r>
      <w:r>
        <w:rPr>
          <w:rFonts w:ascii="Times New Roman" w:hAnsi="Times New Roman"/>
          <w:b w:val="false"/>
          <w:color w:val="000000"/>
          <w:sz w:val="20"/>
        </w:rPr>
        <w:t>thousand,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10. RELATED-PARTY TRANSACTIONS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Service Agreement - Hope Farms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2020, the Company entered into a service agreement with Hope Farms at Disco Bay LLC (“Hope Farms”) to provide animal vaccination testing and provide samples to the Company (the “Hope Farms Service Agreement”). The Company’s Chief Research and Development Officer is a co-founder and partial owner of Hope Farms. Further, the CEO of Hope Farms is the spouse of the Company’s Chief Research and Development Officer. In October 2022, the Company and Hope Farms agreed to terminate the Hope Farms Services Agreement, effective as of September 30,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recognized no</w:t>
      </w:r>
      <w:r>
        <w:rPr>
          <w:rFonts w:ascii="Times New Roman" w:hAnsi="Times New Roman"/>
          <w:color w:val="000000"/>
          <w:sz w:val="20"/>
        </w:rPr>
        <w:t xml:space="preserve"> </w:t>
      </w:r>
      <w:r>
        <w:rPr>
          <w:rFonts w:ascii="Times New Roman" w:hAnsi="Times New Roman"/>
          <w:b w:val="false"/>
          <w:color w:val="000000"/>
          <w:sz w:val="20"/>
        </w:rPr>
        <w:t>expense and $104</w:t>
      </w:r>
      <w:r>
        <w:rPr>
          <w:rFonts w:ascii="Times New Roman" w:hAnsi="Times New Roman"/>
          <w:color w:val="000000"/>
          <w:sz w:val="20"/>
        </w:rPr>
        <w:t xml:space="preserve"> </w:t>
      </w:r>
      <w:r>
        <w:rPr>
          <w:rFonts w:ascii="Times New Roman" w:hAnsi="Times New Roman"/>
          <w:b w:val="false"/>
          <w:color w:val="000000"/>
          <w:sz w:val="20"/>
        </w:rPr>
        <w:t>thousand for the nine months ended September 30, 2023 and 2022, respectively, relating to the Hope Farms Service Agreement.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Service Agreement - Binney Street Partners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2022, the Company entered into a service agreement with Binney Street Partners LLC (“Binney Street Partners”) to provide business development services (the “BSP Service Agreement”). The Company subsequently hired a managing partner of Binney Street Partners to serve as the Company's Chief Business Officer, effective June 1, 2022. In September 2022, the Company and Binney Street Partners agreed to terminate the BSP Service Agreement, effective as of August 11,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recognized no</w:t>
      </w:r>
      <w:r>
        <w:rPr>
          <w:rFonts w:ascii="Times New Roman" w:hAnsi="Times New Roman"/>
          <w:color w:val="000000"/>
          <w:sz w:val="20"/>
        </w:rPr>
        <w:t xml:space="preserve"> </w:t>
      </w:r>
      <w:r>
        <w:rPr>
          <w:rFonts w:ascii="Times New Roman" w:hAnsi="Times New Roman"/>
          <w:b w:val="false"/>
          <w:color w:val="000000"/>
          <w:sz w:val="20"/>
        </w:rPr>
        <w:t>expense and $221</w:t>
      </w:r>
      <w:r>
        <w:rPr>
          <w:rFonts w:ascii="Times New Roman" w:hAnsi="Times New Roman"/>
          <w:color w:val="000000"/>
          <w:sz w:val="20"/>
        </w:rPr>
        <w:t xml:space="preserve"> </w:t>
      </w:r>
      <w:r>
        <w:rPr>
          <w:rFonts w:ascii="Times New Roman" w:hAnsi="Times New Roman"/>
          <w:b w:val="false"/>
          <w:color w:val="000000"/>
          <w:sz w:val="20"/>
        </w:rPr>
        <w:t>thousand for the nine months ended September 30, 2023 and 2022, respectively, relating to the BSP Service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Agreement - Apeiron Investment Group</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On May 23, 2023, the Company entered into a purchase agreement (the “Apeiron Purchase Agreement”) with Apeiron Investment Group Ltd., Presight Sensei Co-Invest Fund, L.P., Presight Sensei Co-Invest Management, L.L.C., Christian Angermayer, Apeiron SICAV Ltd. - Presight Capital Fund ONE, and Altarius Asset Management Ltd. (collectively, the “Apeiron Parties”), pursuant to which the Company agreed to purchase 4,454,248</w:t>
      </w:r>
      <w:r>
        <w:rPr>
          <w:rFonts w:ascii="Times New Roman" w:hAnsi="Times New Roman"/>
          <w:color w:val="000000"/>
          <w:sz w:val="20"/>
        </w:rPr>
        <w:t xml:space="preserve"> </w:t>
      </w:r>
      <w:r>
        <w:rPr>
          <w:rFonts w:ascii="Times New Roman" w:hAnsi="Times New Roman"/>
          <w:b w:val="false"/>
          <w:color w:val="000000"/>
          <w:sz w:val="20"/>
        </w:rPr>
        <w:t>shares of the Company</w:t>
      </w:r>
      <w:r>
        <w:rPr>
          <w:rFonts w:ascii="Times New Roman" w:hAnsi="Times New Roman"/>
          <w:color w:val="000000"/>
          <w:sz w:val="20"/>
        </w:rPr>
        <w:t>’</w:t>
      </w:r>
      <w:r>
        <w:rPr>
          <w:rFonts w:ascii="Times New Roman" w:hAnsi="Times New Roman"/>
          <w:b w:val="false"/>
          <w:color w:val="000000"/>
          <w:sz w:val="20"/>
        </w:rPr>
        <w:t>s common stock from certain of the Apeiron Parties for a purchase price of $1.58</w:t>
      </w:r>
      <w:r>
        <w:rPr>
          <w:rFonts w:ascii="Times New Roman" w:hAnsi="Times New Roman"/>
          <w:color w:val="000000"/>
          <w:sz w:val="20"/>
        </w:rPr>
        <w:t xml:space="preserve"> </w:t>
      </w:r>
      <w:r>
        <w:rPr>
          <w:rFonts w:ascii="Times New Roman" w:hAnsi="Times New Roman"/>
          <w:b w:val="false"/>
          <w:color w:val="000000"/>
          <w:sz w:val="20"/>
        </w:rPr>
        <w:t>per share. The closing of the purchase transaction was completed on June 1, 2023, pursuant to which the Company paid approximately $7.8</w:t>
      </w:r>
      <w:r>
        <w:rPr>
          <w:rFonts w:ascii="Times New Roman" w:hAnsi="Times New Roman"/>
          <w:color w:val="000000"/>
          <w:sz w:val="20"/>
        </w:rPr>
        <w:t xml:space="preserve"> </w:t>
      </w:r>
      <w:r>
        <w:rPr>
          <w:rFonts w:ascii="Times New Roman" w:hAnsi="Times New Roman"/>
          <w:b w:val="false"/>
          <w:color w:val="000000"/>
          <w:sz w:val="20"/>
        </w:rPr>
        <w:t>million in the aggregate to the Aperion Parties, including $0.75</w:t>
      </w:r>
      <w:r>
        <w:rPr>
          <w:rFonts w:ascii="Times New Roman" w:hAnsi="Times New Roman"/>
          <w:color w:val="000000"/>
          <w:sz w:val="20"/>
        </w:rPr>
        <w:t xml:space="preserve"> </w:t>
      </w:r>
      <w:r>
        <w:rPr>
          <w:rFonts w:ascii="Times New Roman" w:hAnsi="Times New Roman"/>
          <w:b w:val="false"/>
          <w:color w:val="000000"/>
          <w:sz w:val="20"/>
        </w:rPr>
        <w:t>million for costs related to the negotiation and execution of the Purchase Agreement.</w:t>
      </w:r>
      <w:r>
        <w:rPr>
          <w:rFonts w:ascii="Times New Roman" w:hAnsi="Times New Roman"/>
          <w:color w:val="000000"/>
          <w:sz w:val="20"/>
        </w:rPr>
        <w:t xml:space="preserve"> </w:t>
      </w:r>
      <w:r>
        <w:rPr>
          <w:rFonts w:ascii="Times New Roman" w:hAnsi="Times New Roman"/>
          <w:b w:val="false"/>
          <w:color w:val="000000"/>
          <w:sz w:val="20"/>
        </w:rPr>
        <w:t>Prior to the closing, certain of the Apeiron Parties beneficially owned more than 5% of the Company's outstanding shares of</w:t>
      </w:r>
      <w:r>
        <w:rPr>
          <w:rFonts w:ascii="Times New Roman" w:hAnsi="Times New Roman"/>
          <w:color w:val="000000"/>
          <w:sz w:val="20"/>
        </w:rPr>
        <w:t xml:space="preserve"> </w:t>
      </w:r>
      <w:r>
        <w:rPr>
          <w:rFonts w:ascii="Times New Roman" w:hAnsi="Times New Roman"/>
          <w:b w:val="false"/>
          <w:color w:val="000000"/>
          <w:sz w:val="20"/>
        </w:rPr>
        <w:t>common stock. Following the closing, the Apeiron Parties owned no outstanding shares of the Company’s common stock. The price per share and the transaction were unanimously approved by the independent directors of our board of directors.</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Under the terms of the Apeiron Purchase Agreement, the Apeiron Parties agreed to withdraw their notice of intent to nominate director candidates for election to our board of directors at the 2023 annual meeting of stockholders. The Apeiron Parties additionally agreed to customary standstill restrictions, including an agreement to not acquire any additional shares of the Company’s voting securities or any of the Company’s indebtedness until the date that is the earlier of (i) four years from the date of the Apeiron Purchase Agreement and (ii) 30 days prior to the nomination deadline for the nomination of director candidates for election to our board of directors at the Company’s 2027 annual meeting of stockholders.</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Agreement - Cambrian BioPharma, Inc.</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On July 31, 2023, the Company entered into the Cambrian Purchase Agreement, pursuant to which the Company agreed to repurchase 1,587,302</w:t>
      </w:r>
      <w:r>
        <w:rPr>
          <w:rFonts w:ascii="Times New Roman" w:hAnsi="Times New Roman"/>
          <w:color w:val="000000"/>
          <w:sz w:val="20"/>
        </w:rPr>
        <w:t xml:space="preserve"> </w:t>
      </w:r>
      <w:r>
        <w:rPr>
          <w:rFonts w:ascii="Times New Roman" w:hAnsi="Times New Roman"/>
          <w:b w:val="false"/>
          <w:color w:val="000000"/>
          <w:sz w:val="20"/>
        </w:rPr>
        <w:t>shares of its common stock from Cambrian, a beneficial owner of more than 5% of the Company’s outstanding shares of common stock,</w:t>
      </w:r>
      <w:r>
        <w:rPr>
          <w:rFonts w:ascii="Times New Roman" w:hAnsi="Times New Roman"/>
          <w:color w:val="000000"/>
          <w:sz w:val="20"/>
        </w:rPr>
        <w:t xml:space="preserve"> </w:t>
      </w:r>
      <w:r>
        <w:rPr>
          <w:rFonts w:ascii="Times New Roman" w:hAnsi="Times New Roman"/>
          <w:b w:val="false"/>
          <w:color w:val="000000"/>
          <w:sz w:val="20"/>
        </w:rPr>
        <w:t>at a purchase price of $1.26</w:t>
      </w:r>
      <w:r>
        <w:rPr>
          <w:rFonts w:ascii="Times New Roman" w:hAnsi="Times New Roman"/>
          <w:color w:val="000000"/>
          <w:sz w:val="20"/>
        </w:rPr>
        <w:t xml:space="preserve"> </w:t>
      </w:r>
      <w:r>
        <w:rPr>
          <w:rFonts w:ascii="Times New Roman" w:hAnsi="Times New Roman"/>
          <w:b w:val="false"/>
          <w:color w:val="000000"/>
          <w:sz w:val="20"/>
        </w:rPr>
        <w:t>per share and for an aggregate purchase price of approximately $2</w:t>
      </w:r>
      <w:r>
        <w:rPr>
          <w:rFonts w:ascii="Times New Roman" w:hAnsi="Times New Roman"/>
          <w:color w:val="000000"/>
          <w:sz w:val="20"/>
        </w:rPr>
        <w:t xml:space="preserve"> </w:t>
      </w:r>
      <w:r>
        <w:rPr>
          <w:rFonts w:ascii="Times New Roman" w:hAnsi="Times New Roman"/>
          <w:b w:val="false"/>
          <w:color w:val="000000"/>
          <w:sz w:val="20"/>
        </w:rPr>
        <w:t>million. The transaction closed on August 15, 2023 and the 1,587,302</w:t>
      </w:r>
      <w:r>
        <w:rPr>
          <w:rFonts w:ascii="Times New Roman" w:hAnsi="Times New Roman"/>
          <w:color w:val="000000"/>
          <w:sz w:val="20"/>
        </w:rPr>
        <w:t xml:space="preserve"> </w:t>
      </w:r>
      <w:r>
        <w:rPr>
          <w:rFonts w:ascii="Times New Roman" w:hAnsi="Times New Roman"/>
          <w:b w:val="false"/>
          <w:color w:val="000000"/>
          <w:sz w:val="20"/>
        </w:rPr>
        <w:t>repurchased shares were retired and cancelled on or about the date of the closing. James Peyer, a director of the Company, is the CEO of Cambrian. The price per share and the transaction were unanimously approved by the independent directors of our board of directors.</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Under the terms of the Cambrian Purchase Agreement, Cambrian agreed to vote, until thirty days prior to the deadline for delivery of notice for the nomination of director candidates for election to our board of directors at the Company’s 2025 annual meeting of stockholders (the “Effective Period”), all of Cambrian’s shares of the Company’s common stock at all meetings of stockholders, as well as in any consent solicitations of the Company’s stockholders, in accordance with the board’s recommendations. In the event that Institutional Shareholder Services, Inc. and Glass Lewis &amp; Co., LLC recommend otherwise with respect to any Company proposals (other than the election or removal of directors), Cambrian will be permitted to vote in accordance with such recommendations. Under the terms of the Cambrian Purchase Agreement, Cambrian has also agreed to certain standstill restrictions during the Effective Period including, among other things, with respect to nominating persons for election to the board of directors, submitting any stockholder proposal for consideration at any stockholder meeting, soliciting any proxies, and conducting any “withhold” or similar campaign.</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11. </w:t>
      </w:r>
      <w:r>
        <w:rPr>
          <w:rFonts w:ascii="Times New Roman" w:hAnsi="Times New Roman"/>
          <w:b/>
          <w:caps/>
          <w:color w:val="000000"/>
          <w:sz w:val="20"/>
        </w:rPr>
        <w:t>INCOME TAXES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recorded no</w:t>
      </w:r>
      <w:r>
        <w:rPr>
          <w:rFonts w:ascii="Times New Roman" w:hAnsi="Times New Roman"/>
          <w:color w:val="000000"/>
          <w:sz w:val="20"/>
        </w:rPr>
        <w:t xml:space="preserve"> </w:t>
      </w:r>
      <w:r>
        <w:rPr>
          <w:rFonts w:ascii="Times New Roman" w:hAnsi="Times New Roman"/>
          <w:b w:val="false"/>
          <w:color w:val="000000"/>
          <w:sz w:val="20"/>
        </w:rPr>
        <w:t>provision for income taxes for the nine months ended September 30, 2023 and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equity-based compensation, research and development tax credit carryforwards, and capitalized research and development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expenditures.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16, 2022, the IRA was signed into law, which contains certain revisions to the Internal Revenue Code, including a 1% excise tax on the value of net corporate stock repurchases that is effective beginning on January 1, 2023. The excise tax is recorded as an incremental cost in equity on the Company's condensed consolidated balance sheets and was not significant as of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12.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Basic and diluted net loss per share attributable to common stockholders is calculated as follows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number of shares used in computing net loss per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25,514,115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30,720,291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28,942,803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30,690,175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outstanding potentially dilutive securities have been excluded from the calculation of diluted net loss per share, as their effect is anti-dilutive:</w:t>
      </w:r>
    </w:p>
    <w:tbl>
      <w:tblPr>
        <w:tblW w:w="9368" w:type="dxa"/>
        <w:jc w:val="left"/>
        <w:tblInd w:w="0" w:type="dxa"/>
        <w:tblLayout w:type="fixed"/>
        <w:tblCellMar>
          <w:top w:w="28" w:type="dxa"/>
          <w:left w:w="28" w:type="dxa"/>
          <w:bottom w:w="28" w:type="dxa"/>
          <w:right w:w="28" w:type="dxa"/>
        </w:tblCellMar>
      </w:tblPr>
      <w:tblGrid>
        <w:gridCol w:w="6001"/>
        <w:gridCol w:w="189"/>
        <w:gridCol w:w="1210"/>
        <w:gridCol w:w="189"/>
        <w:gridCol w:w="189"/>
        <w:gridCol w:w="189"/>
        <w:gridCol w:w="1210"/>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center"/>
              <w:rPr/>
            </w:pPr>
            <w:r>
              <w:rPr/>
              <w:t> </w:t>
            </w:r>
          </w:p>
        </w:tc>
        <w:tc>
          <w:tcPr>
            <w:tcW w:w="3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center"/>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to purchase common stock</w:t>
            </w:r>
          </w:p>
        </w:tc>
        <w:tc>
          <w:tcPr>
            <w:tcW w:w="189"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3,380,761</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3,523,211</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restricted stock units</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232,708</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225,200</w:t>
            </w:r>
          </w:p>
        </w:tc>
        <w:tc>
          <w:tcPr>
            <w:tcW w:w="1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 issued to employees and contractor to purchase common stock</w:t>
            </w:r>
          </w:p>
        </w:tc>
        <w:tc>
          <w:tcPr>
            <w:tcW w:w="189"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56,692</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57,004</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 issued related to convertible notes and other equity agreements</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412,262</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412,262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RESTRUCTURING AND RELATED CHARGES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 December 2022, the Company began implementing a restructuring plan to reduce operating costs primarily associated with a reduction in the Company's workforce (the “Restructuring”).</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connection with the Restructuring, the Company incurred expenses within research and development and general and administrative expenses of $0.2</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 These costs primarily related to one-time termination benefits and ongoing benefit arrangements, both of which included severance payments and extended benefits coverage support and were contingent upon the impacted employees’ execution and non-revocation of separation agreements. Aggregate costs in connection with the Restructuring also included certain contract termination costs.</w:t>
        <w:br/>
        <w:br/>
        <w:t>The following table summarizes the accrued liabilities activity recorded in connection with the Restructuring, including the reduction in workforce in December 2022 and related activities as of September 30, 2023 (in thousands):</w:t>
      </w:r>
    </w:p>
    <w:tbl>
      <w:tblPr>
        <w:tblW w:w="6376" w:type="dxa"/>
        <w:jc w:val="left"/>
        <w:tblInd w:w="0" w:type="dxa"/>
        <w:tblLayout w:type="fixed"/>
        <w:tblCellMar>
          <w:top w:w="28" w:type="dxa"/>
          <w:left w:w="28" w:type="dxa"/>
          <w:bottom w:w="28" w:type="dxa"/>
          <w:right w:w="28" w:type="dxa"/>
        </w:tblCellMar>
      </w:tblPr>
      <w:tblGrid>
        <w:gridCol w:w="3216"/>
        <w:gridCol w:w="146"/>
        <w:gridCol w:w="211"/>
        <w:gridCol w:w="631"/>
        <w:gridCol w:w="166"/>
        <w:gridCol w:w="211"/>
        <w:gridCol w:w="376"/>
        <w:gridCol w:w="166"/>
        <w:gridCol w:w="211"/>
        <w:gridCol w:w="631"/>
        <w:gridCol w:w="41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Personnel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Restructuring and other costs,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Cash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Restructuring and other costs,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Restructuring and other costs,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Cash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June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The words and phrases “designed to,”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in this Quarterly Report under the caption “Risk Factors,” and in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2022, which are included in our Annual Report on Form 10-K filed with the SEC on March 29, 2023.</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clinical-stage immuno-oncology company focused on the discovery and development of next-generation therapeutics for cancer patients. Through our TMAb (Tumor Microenvironment Activated Biologics) platform, we are developing highly selective therapeutics designed to disable immunosuppressive signals or activate immunostimulatory signals selectively in the tumor microenvironment. Our strategy is to generate novel product candidates that incorporate next-generation technologies or approaches using our robust set of R&amp;D capabilities. We plan to efficiently develop these product candidates by incorporating state-of-the-art biomarker approaches and mechanistic understanding into clinical trial designs targeted to well-defined patient populations.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currently have the following investigational product candidates in various stages of development: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SNS-101</w:t>
      </w:r>
      <w:r>
        <w:rPr>
          <w:color w:val="000000"/>
        </w:rPr>
        <w:t xml:space="preserve"> </w:t>
      </w:r>
      <w:r>
        <w:rPr>
          <w:rFonts w:ascii="Times New Roman" w:hAnsi="Times New Roman"/>
          <w:b w:val="false"/>
          <w:color w:val="000000"/>
          <w:sz w:val="20"/>
        </w:rPr>
        <w:t xml:space="preserve">is a conditionally active monoclonal antibody targeting the immune checkpoint VISTA (V-domain Ig suppressor of T-cell activation). In May 2023, we initiated a first-in-human Phase 1/2 open-label, multi-center, dose escalation and expansion trial to evaluate the safety, tolerability, pharmacokinetics, pharmacodynamics and efficacy of SNS-101 as monotherapy and/or in combination with cemiplimab in patients with advanced solid tumors.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primary objectives for the Phase 1 portion of the clinical trial are to evaluate safety and tolerability and determine the maximum tolerated dose, or MTD, and recommended monotherapy and combination dose for the Phase 2 portion of the trial, or RP2D. The Phase 1 portion of the clinical trial is open to patients with advanced solid tumors. Selected patient populations for the Phase 2 portion will be determined based on results from the Phase 1 study together with data from our preclinical studies.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November 2023, we reported initial pharmacokinetic and safety data for the monotherapy portion of the clinical trial in a late-breaker poster presentation at the Society for Immunotherapy of Cancer (SITC) 38th Annual Meeting. Safety, cytokine expression and pharmacokinetic data were presented for seven patients from the first three monotherapy cohorts, all of which had cleared the dose-limiting toxicity assessment period. As of the safety cut-off date of October 3,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total of 11 adverse events were reported in five patients, with no dose-limiting toxicities observed. Only one adverse event (Grade 2 dermatitis acneiform) was considered related to SNS-101. One serious adverse event (bronchial obstruction) leading to death was reported, but it was attributed to disease progression and not considered related to SNS-101.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There were no instances of cytokine release syndrome and no significant changes in key inflammatory cytokines over time, consistent with preclinical studies.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Pharmacokinetic data demonstrate dose-proportional exposure consistent with lack of target mediated drug disposition, no notable accumulation with repeat dosing, and linear elimination kinetics of SNS-101, all in concordance with preclinical data</w:t>
      </w:r>
      <w:r>
        <w:rPr>
          <w:rFonts w:ascii="Calibri;sans-serif" w:hAnsi="Calibri;sans-serif"/>
          <w:b w:val="false"/>
          <w:color w:val="000000"/>
          <w:sz w:val="22"/>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 of November 6, 2023, a total of 17 patients have been enrolled in the clinical trial. Ten patients have been enrolled in the monotherapy dose escalation portion of the trial across four dosing cohorts receiving SNS-101 treatment at 0.3, 1, 3, or 10 mg/kg, and four of the six planned patients have been enrolled in the fifth cohort at a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dose of 15 mg/kg. In the combination arm of the trial, three patients have been enrolled in the first cohort at a dose of 3.0 mg/kg.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Following completion of the dose escalation portion of the Phase 1 clinical trial and prior to initiating the Phase 2 portion, we plan on enrolling additional patients with specific tumor types to further optimize the Phase 2 trial design.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report initial pharmacokinetic and safety data for the combination dose escalation arm in the first quarter of 2024; topline data for the monotherapy dose escalation arm in the second quarter of 2024; and topline data for the combination dose escalation arm in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SNS-102</w:t>
      </w:r>
      <w:r>
        <w:rPr>
          <w:color w:val="000000"/>
        </w:rPr>
        <w:t xml:space="preserve"> </w:t>
      </w:r>
      <w:r>
        <w:rPr>
          <w:rFonts w:ascii="Times New Roman" w:hAnsi="Times New Roman"/>
          <w:b w:val="false"/>
          <w:color w:val="000000"/>
          <w:sz w:val="20"/>
        </w:rPr>
        <w:t>is a conditionally active monoclonal antibody targeting VSIG4 (V-Set and Immunoglobulin Domain Containing 4), an immune checkpoint often expressed on macrophages. We have selected a product candidate that is 585-fold more selective for VSIG4 at low pH conditions. A counter-receptor has been provisionally identified and is being confirmed.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SNS-103</w:t>
      </w:r>
      <w:r>
        <w:rPr>
          <w:color w:val="000000"/>
        </w:rPr>
        <w:t xml:space="preserve"> </w:t>
      </w:r>
      <w:r>
        <w:rPr>
          <w:rFonts w:ascii="Times New Roman" w:hAnsi="Times New Roman"/>
          <w:b w:val="false"/>
          <w:color w:val="000000"/>
          <w:sz w:val="20"/>
        </w:rPr>
        <w:t>is a conditionally active monoclonal antibody targeting ENTPDase1 (ecto-nucleoside triphosphate diphosphohydrolase-1), also known as CD39. We are currently evaluating two lead antibodies, one of which we expect to select as a product candidate in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SNS-201</w:t>
      </w:r>
      <w:r>
        <w:rPr>
          <w:color w:val="000000"/>
        </w:rPr>
        <w:t xml:space="preserve"> </w:t>
      </w:r>
      <w:r>
        <w:rPr>
          <w:rFonts w:ascii="Times New Roman" w:hAnsi="Times New Roman"/>
          <w:b w:val="false"/>
          <w:color w:val="000000"/>
          <w:sz w:val="20"/>
        </w:rPr>
        <w:t xml:space="preserve">is a bispecific antibody that is being designed to conditionally activate Cluster of Differentiation 28 (CD28). It is a bispecific format with monovalent CD28 engagement and bivalent pH-selective VISTA binding for efficient engagement at low pH. We have selected a product candidate from a set of lead-optimized bispecific antibodies and are conducting preclinical studies.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While CD28 agonism has shown some clinical promise, human testing has been stymied by dose-limiting toxicities that result from systemic activation of CD28. Based on preclinical testing of SNS-201 and a prototype molecule, we believe that a bispecific antibody incorporating both a CD28 agonist arm and a pH-sensitive anti-VISTA arm will allow us to conditionally activate CD28 under low pH conditions, such as those found in the tumor microenvironment, leading to T cell activation in the tumor while minimizing off-tumor toxicity. Certain competitor approaches require specific and targetable tumor specific/associated antigens in targeting CD28. SNS-201 addresses the challenge of truly specific tumor antigens for solid tumors by bypassing this requirement through restricted activation of the CD28 signaling pathway within the tumor microenvironment via pH-selective VISTA binding to tumor infiltrating myeloid-lineage cells. While SNS-201 leverages our SNS-101 program, the method of action of SNS-201 is entirely distinct from SNS-101 -- the only similarity is the unique complementarity-determining regions from SNS-101 for pH-selective recruitment to the myeloid compartment. We have engineered SNS-201 on an IgG1 backbone with mutations abolishing Fc receptor interactions.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Upon successful candidate selection from our discovery pipeline, we expect to advance one product candidate toward early manufacturing activities and single-dose toxicology studies.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have any product candidates approved for sale, have not generated any revenue from product sales, and do not expect to generate any revenue from product sales for at least the next several years. We have largely funded our operations with proceeds from the sale of convertible preferred stock, common stock and convertible debt. Through the date of this Report, we have raised an aggregate of $123.4 million of gross proceeds from private placements of our equity and convertible debt securities and net proceeds of $138.5 million from our initial public offering, or IPO, in February 2021.</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significant operating losses over the last several years. Our net loss was $26.7 million and $36.4 million for the nine months ended September 30, 2023 and 2022, respectively. As of September 30, 2023, we had an accumulated deficit of $224.5 million. We expect to continue to incur significant expenses and operating losses for the foreseeable future. We anticipate that our expenses will increase significantly in connection with our ongoing activities,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conduct clinical trials of product candidates, including SNS-101;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the research and development of our other product candidates and prepare to submit INDs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 in our TMAb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to discover and develop additional product candidates or acquire or in-license drugs,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ultimately establish a sales, marketing and distribution infrastructure and scale up manufacturing capabilities to commercialize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manufacture our product candidates or otherwise secure the clinical and commercial supply of our product candidates;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hire additional research and development and selling, general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 expand and protect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incur costs associated with operating as a public company.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Cash used to fund operating expenses is impacted by the timing of when we pay these expenses, as reflected in the change in our accounts payable and accrued expenses. We expect to continue to incur net losses and negative cash flows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we seek and obtain regulatory approval to commercialize any product candidate, we will also incur increased expenses in connection with commercialization and marketing of any such product.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research and development expense consists of expenses incurred in connection with the discovery and development of our product candidates. These expenses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incurred under agreements with contract research organizations, or CROs, as well as investigative sites and consultants that conduct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manufacturing our product candidates including the cost of contract manufacturing organizations, or CMOs, that manufacture product for use in our preclinical studies and clinical trials and perform analytical testing, scale-up and other services in connection with our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outsourced professional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employee-related expenses, including salaries, benefits and stock-based compensation for employees engaged in the research and development function;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relating to regulatory activities, including filing fees paid to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fees for maintaining licenses and other amounts due under our third party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laboratory materials and supplies used to support our research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allocated expenses for utilities and other facility-related costs.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direct external research and development expenses consist primarily of external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We use internal resources primarily to conduct research and manage our preclinical development, process development, manufacturing and clinical development activities. These employees work across multiple development programs and, therefore, we do not track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preclinical studies and clinical trials, and prepare regulatory filings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uncertainties associated with the duration and cost of clinical trials, which vary significantly over the life of a project as a result of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outcome and costs of our preclinical studies, our current product candidates and any other product candidates we may acquire or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of our product candidates or making arrangements with third-party manufacturers for both clinical and commercial supplies of these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 patient enrollment in, and the initiation, duration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gaining regulatory approvals for our product candidates, subject to the successful outcome of ongoing and future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of any required post-marketing approval commitments to applicable regulatory authorities.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product candidates. We may obtain unexpected results from our clinical trials. 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significant additional development costs.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legal, auditing and tax services, and insurance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anticipate that our general and administrative expenses will increase as a result of increased payroll, expanded infrastructure and higher consulting, legal and tax-related services associated with maintaining compliance with Nasdaq listing and SEC requirements, accounting and investor relations costs, and director and officer insurance premiums associated with being a public company.</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Other Income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other income (expense) consists of realized gain or loss on short-term investments, gain on debt extinguishments, accretion expense on short-term investments and interest expense.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sets forth our results of operations for the three months ended September 30, 2023 and 2022:</w:t>
      </w:r>
      <w:r>
        <w:rPr>
          <w:rFonts w:ascii="Times New Roman" w:hAnsi="Times New Roman"/>
          <w:color w:val="000000"/>
          <w:sz w:val="20"/>
        </w:rPr>
        <w:t xml:space="preserve"> </w:t>
      </w:r>
    </w:p>
    <w:tbl>
      <w:tblPr>
        <w:tblW w:w="6904" w:type="dxa"/>
        <w:jc w:val="left"/>
        <w:tblInd w:w="0" w:type="dxa"/>
        <w:tblLayout w:type="fixed"/>
        <w:tblCellMar>
          <w:top w:w="28" w:type="dxa"/>
          <w:left w:w="28" w:type="dxa"/>
          <w:bottom w:w="28" w:type="dxa"/>
          <w:right w:w="28" w:type="dxa"/>
        </w:tblCellMar>
      </w:tblPr>
      <w:tblGrid>
        <w:gridCol w:w="2511"/>
        <w:gridCol w:w="146"/>
        <w:gridCol w:w="269"/>
        <w:gridCol w:w="806"/>
        <w:gridCol w:w="212"/>
        <w:gridCol w:w="186"/>
        <w:gridCol w:w="269"/>
        <w:gridCol w:w="940"/>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3,818</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7,737</w:t>
            </w:r>
          </w:p>
        </w:tc>
        <w:tc>
          <w:tcPr>
            <w:tcW w:w="21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(6,204</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(7,737</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6,204</w:t>
            </w:r>
          </w:p>
        </w:tc>
        <w:tc>
          <w:tcPr>
            <w:tcW w:w="411" w:type="dxa"/>
            <w:tcBorders/>
            <w:shd w:fill="CFF0FC" w:val="clear"/>
            <w:vAlign w:val="center"/>
          </w:tcPr>
          <w:p>
            <w:pPr>
              <w:pStyle w:val="TableContents"/>
              <w:bidi w:val="0"/>
              <w:spacing w:before="0" w:after="283"/>
              <w:jc w:val="left"/>
              <w:rPr/>
            </w:pPr>
            <w:r>
              <w:rPr/>
              <w:t> </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were $3.8 million for the three months ended September 30, 2023, compared to $9.2 million for the three months ended September 30, 2022. The decrease of $5.4 million was primarily attributable to $3.0 million lower manufacturing related expense, $1.4 million of decreased personnel costs, including stock-based compensation and incentives, $0.7 million less expense relating to preclinical research, $0.5 million of lower facilities expense, $0.4 million decrease in outside research fees and $0.3 million less expense relating to relating to lab supply purchases, primarily offset by $0.8 million of higher costs for clinical trials and $0.1 million of increased consulting costs.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$3.9 million for the three months ended September 30, 2023, compared to $4.8 million for the three months ended September 30, 2022. The decrease of $0.8 million was primarily attributable to $0.6 million of decreased personnel costs, including stock-based compensation and incentives, $0.3 million less expense for directors and officers insurance and $0.3 million of lower external professional services associated with stockholder activism related to our 2023 annual meeting of stockholders, partially offset by $0.2 million of higher facilities expense and $0.1 million of higher legal expense.</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Other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was $0.6 million for the three months ended September 30, 2023, compared to other income of $0.5 million for the three months ended September 30, 2022. The other income increase of $0.1 million was primarily attributable to a higher gain on investments relating to interest and accretion.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sets forth our results of operations for the nine months ended September 30, 2023 and 2022:</w:t>
      </w:r>
      <w:r>
        <w:rPr>
          <w:rFonts w:ascii="Times New Roman" w:hAnsi="Times New Roman"/>
          <w:color w:val="000000"/>
          <w:sz w:val="20"/>
        </w:rPr>
        <w:t xml:space="preserve"> </w:t>
      </w:r>
    </w:p>
    <w:tbl>
      <w:tblPr>
        <w:tblW w:w="6816" w:type="dxa"/>
        <w:jc w:val="left"/>
        <w:tblInd w:w="0" w:type="dxa"/>
        <w:tblLayout w:type="fixed"/>
        <w:tblCellMar>
          <w:top w:w="28" w:type="dxa"/>
          <w:left w:w="28" w:type="dxa"/>
          <w:bottom w:w="28" w:type="dxa"/>
          <w:right w:w="28" w:type="dxa"/>
        </w:tblCellMar>
      </w:tblPr>
      <w:tblGrid>
        <w:gridCol w:w="2511"/>
        <w:gridCol w:w="146"/>
        <w:gridCol w:w="248"/>
        <w:gridCol w:w="866"/>
        <w:gridCol w:w="195"/>
        <w:gridCol w:w="171"/>
        <w:gridCol w:w="248"/>
        <w:gridCol w:w="866"/>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13,806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15,116</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w:t>
            </w:r>
          </w:p>
        </w:tc>
        <w:tc>
          <w:tcPr>
            <w:tcW w:w="411" w:type="dxa"/>
            <w:tcBorders/>
            <w:shd w:fill="CFF0FC" w:val="clear"/>
            <w:vAlign w:val="center"/>
          </w:tcPr>
          <w:p>
            <w:pPr>
              <w:pStyle w:val="TableContents"/>
              <w:bidi w:val="0"/>
              <w:spacing w:before="0" w:after="283"/>
              <w:jc w:val="left"/>
              <w:rPr/>
            </w:pPr>
            <w:r>
              <w:rPr/>
              <w:t> </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28,922</w:t>
            </w:r>
          </w:p>
        </w:tc>
        <w:tc>
          <w:tcPr>
            <w:tcW w:w="1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37,140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(8,218</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(28,922</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8,218</w:t>
            </w:r>
          </w:p>
        </w:tc>
        <w:tc>
          <w:tcPr>
            <w:tcW w:w="411" w:type="dxa"/>
            <w:tcBorders/>
            <w:shd w:fill="CFF0FC" w:val="clear"/>
            <w:vAlign w:val="center"/>
          </w:tcPr>
          <w:p>
            <w:pPr>
              <w:pStyle w:val="TableContents"/>
              <w:bidi w:val="0"/>
              <w:spacing w:before="0" w:after="283"/>
              <w:jc w:val="left"/>
              <w:rPr/>
            </w:pPr>
            <w:r>
              <w:rPr/>
              <w:t> </w:t>
            </w:r>
          </w:p>
        </w:tc>
      </w:tr>
      <w:tr>
        <w:trPr/>
        <w:tc>
          <w:tcPr>
            <w:tcW w:w="2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(26,687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were $13.8 million for the nine months ended September 30, 2023, compared to $23.0 million for the nine months ended September 30, 2022. The decrease of $9.2 million was primarily attributable to $4.6 million lower manufacturing related expense, $3.9 million of decreased personnel costs, including stock-based compensation and incentives, $2.0 million less expense relating to relating to lab supply purchases, $0.8 million of lower facilities expense, $0.4 million of less costs for preclinical research and $0.2 million of lower outside research fees, primarily offset by $1.9 million of higher expense associated with clinical trials, $0.6 million of increased consulting costs, $0.1 million of higher restructuring expense and $0.1 million of increase licensing fees.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were $15.1 million for the nine months ended September 30, 2023, compared to $14.1 million for the nine months ended September 30, 2022. The increase of $1.0 million was primarily attributable to $2.7 million of higher external professional services associated with stockholder activism related to our 2023 annual meeting of stockholders, $0.6 million of higher facilities expense and $0.1 million related to restructuring costs, primarily offset by $0.7 million less expense for directors and officers insurance $0.6 million of lower recruiting expense, $0.4 million of lower franchise, net worth, and other non-income tax expense, $0.4 million of lower personnel costs, including stock-based compensation and incentives, $0.2 million of lower expense for outside services and $0.1 million of lower audit fee expense.</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Other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was $2.2 million for the nine months ended September 30, 2023, compared to other income of $0.8 million for the nine months ended September 30, 2022. The other income increase of $1.5 million was primarily attributable to a higher gain on investments relating to interest and accretion.</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not generated any product revenue and have incurred net losses and negative cash flows from our operations. As of September 30, 2023, we had cash, cash equivalents and marketable securities of $72.0 million. We have financed our operations through sales of our common stock, convertible preferred stock and convertible debt. Through the date of this Report, we have raised an aggregate of $123.4 million of gross proceeds from private placements of our equity and convertible debt securities and net proceeds of $138.5 million from our IPO in February 2021. Our net loss was $26.7 million and $36.4 million for the nine months ended September 30, 2023 and 2022, respectively. As of September 30, 2023, we had an accumulated deficit of $224.5 million. Our primary use of cash is to fund operating expenses, which consist primarily of research and development expenditures, and to a lesser extent, general and administrative expenditures.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our sources and uses of cash for each of the periods below:</w:t>
      </w:r>
      <w:r>
        <w:rPr>
          <w:rFonts w:ascii="Times New Roman" w:hAnsi="Times New Roman"/>
          <w:color w:val="000000"/>
          <w:sz w:val="20"/>
        </w:rPr>
        <w:t xml:space="preserve">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4321"/>
        <w:gridCol w:w="146"/>
        <w:gridCol w:w="248"/>
        <w:gridCol w:w="866"/>
        <w:gridCol w:w="195"/>
        <w:gridCol w:w="171"/>
        <w:gridCol w:w="248"/>
        <w:gridCol w:w="86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(25,860</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30,150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33,906</w:t>
            </w:r>
          </w:p>
        </w:tc>
        <w:tc>
          <w:tcPr>
            <w:tcW w:w="21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net cash used in operating activities was $25.9 million, primarily resulting from our $26.7 million net loss and a $3.9 million decrease in our operating assets and liabilities partially offset by increases in non-cash charges of $4.8 million, primarily related to $3.4 million of stock compensation expense, $1.0 million of non-cash lease expense, $0.6 million for amortization of financing lease right-of-use assets, $0.4 million for depreciation and amortization and $0.3 million relating to fixed asset disposition, primarily offset by $0.9 million of accretion on marketable securities. During the nine months ended September 30, 2022, net cash used in operating activities was $29.5 million, primarily resulting from our $36.4 million net loss partially offset by increases in non-cash charges of $6.6 million which included $4.4 million of stock compensation expense, $0.9 million of non-cash lease expense, $0.5 million related to amortization on financing lease right-of-use assets, $0.5 million depreciation and amortization and $0.3 million of accretion on marketable securities, as well as a $0.4 million increase in our operating assets and liabilities.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net cash provided by investing activities was $30.2 million, primarily due to $48.7 million in maturities of short-term investments and $0.2 million for proceeds from the sale of equipment, partially offset by $18.5 million in purchases of short-term investments and $0.2 million in purchases of property and equipment. During the nine months ended September 30, 2022, net cash provided by investing activities was $33.9 million primarily due to $99.2 million in sales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and maturities of short-term investments, partially offset by $65.0 million in purchases of short-term investments and $0.3 million in purchases of property and equipment.</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net cash used in financing activities was $10.7 million, primarily from $10.1 million of payments relating to the repurchase of shares of our common stock and $0.6 million of principal payments under our financing leases. During the nine months ended September 30, 2022, net cash used in financing activities was $0.2 million, primarily from $0.5 million of principal payments under our financing leases, partially offset by $0.2 million of proceeds from the exercise of stock options and $0.1 million relating to ESPP purchases.</w:t>
      </w:r>
    </w:p>
    <w:p>
      <w:pPr>
        <w:pStyle w:val="TextBody"/>
        <w:bidi w:val="0"/>
        <w:spacing w:before="360" w:after="283"/>
        <w:jc w:val="left"/>
        <w:rPr>
          <w:rFonts w:ascii="Times New Roman" w:hAnsi="Times New Roman"/>
          <w:sz w:val="20"/>
        </w:rPr>
      </w:pPr>
      <w:r>
        <w:rPr>
          <w:rFonts w:ascii="Times New Roman" w:hAnsi="Times New Roman"/>
          <w:b/>
          <w:i/>
          <w:color w:val="000000"/>
          <w:sz w:val="20"/>
        </w:rPr>
        <w:t>Material Cash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material cash requirements will have an impact on our future liquidity. Our material cash requirements represent material expected or contractually committed future payment obligations. We believe that we will be able to fund these obligations through cash from our existing balances of cash, cash equivalents and marketable securities.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operating lease arrangements for our corporate offices, lab facilities and an executive residence. As part of our adoption of ASC 842, we recorded operating right-of-use assets and operating lease liabilities for these leases as of January 1, 2022. As of September 30, 2023, we had operating lease payment obligations of $5.5 million, with $0.5 million payable for the remainder of 2023. See Note 6 in our condensed consolidated financial statements included elsewhere in this Form 10-Q for additional information.</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Finance Leases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lease research equipment, furniture and a vehicle under finance leases. As part of our adoption of ASC 842, we recorded financing right-of-use assets and financing lease liabilities for these leases as of January 1, 2022. As of September 30, 2023, we had finance lease payment obligations of $2.0 million, with $0.2 million payable for the remainder of 2023. See Note 6 in our condensed consolidated financial statements included elsewhere in this Form 10-Q for additional information.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biopharmaceutical industry, it can take a significant amount of time and capital resources to successfully complete all stages of research and development and commercialize a product candidate. The ultimate length of time and spend required cannot be accurately estimated as it varies substantially according to the type, complexity, novelty and intended use of a product candidate. Please see the "Funding Requirements" section below for further details.</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 The timing and amount of our operating expenditures will depend largely on: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initiation, progress, timing, costs and results of current and future preclinical studies and clinical trials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and timing of the manufacture of additional clinical trial material as well as any costs related to the scale-up of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to 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need to hire additional clinical, quality assurance, quality control and other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and characteristics of product candidates that we develop or may in-license;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timing and cost of meeting and maintaining compliance with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filing, prosecuting,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terms of any collaboration agreements we may choose to enter into, including the achievement of milestones or occurrence of other developments that trigger payments under any license or collaboration agreements we might have at such time;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associated with the expansion of our operational, financial and management systems and increased personnel, including personnel to support our operations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establishing sales, marketing and distribution capabilities for any product candidates for which we may receive regulatory approval in regions where we choose to commercialize our products, if approved, on our own.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our existing cash and cash equivalents will enable us to fund our operating expenses and capital expenditure requirements at least into the second half of 2025. We have based this estimate on assumptions that may prove to be wrong, and we may use our available capital resources sooner than we currently expect. 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securing manufacturing arrangements for commercial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establishing or contracting for sales and marketing capabilities if we obtain regulatory approvals to market our product candidates.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2023, there were no significant changes to our critical accounting policies disclosed in our audited financial statements for the year ended December 31, 2022, which are included in our Annual Report on Form 10-K, as filed with the SEC on March 29,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 2 in our condensed consolidated financial statements included elsewhere in this Form 10-Q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qualify as an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take advantage of these exemptions until the last day of the fiscal year following the fifth anniversary of our initial public offering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consolidated financial statements may not be directly comparable to those of other public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smaller reporting company as defined by Item 10 of Regulation S-K and are not required to provide the information otherwise required under this item.</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“disclosure controls and procedures,” as defined in Rules 13a-15(e) and 15d-15(e) under the Securities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Chief Financial Officer, has evaluated the effectiveness of our disclosure controls and procedures as of September 30, 2023. Based on this evaluation, our Chief Executive Officer and Chief Financial Officer concluded that our disclosure controls and procedures were effective at the reasonable assurance level as of September 30, 2023.</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material changes in our internal control over financial reporting (as defined in Rules 13a-15(f) and 15d-15(f) under the Exchange Act) that occurred during the three months ended September 30, 2023 which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not currently a party to any material legal proceedings. From time to time, we may become involved in other litigation or legal proceedings relating to claims arising from the ordinary course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our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need additional funding to complete the development of our product candidates. A failure to obtain this necessary capital when needed could force us to delay, limit, reduce or terminate our product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significant losses in every year since our inception. We expect to continue to incur losses over the next several years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is highly dependent on the success of our product candidates that we advance into the clinic. All our product candidates will require significant additional preclinical, clinical and manufacturing development before we may be able to seek regulatory approval for and launch a product commercially. 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Interim data from our clinical trials that we announce or publish from time to time may change as more patients are enrolled and additional data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depend on timely enrollment of patients in our clinical trials for our product candidates. 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trials are difficult to design and implement, can be lengthy and expensive, involve uncertain outcomes and may not ultimately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our Dependence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collaborate with third parties in connection with the development of our product candidates, and may depend upon future collaboration partners to commit to the research, development, manufacturing and marketing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Regulatory Approval of our Product Candidates and Other Legal Compliance Matters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Healthcare legislative reform measures may have a material adverse effect on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operate in a rapidly changing industry and face significant competition, which may result in others discovering,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any of our product candidates receives marketing approval, it may fail to achieve the degree of market acceptance by physicians, patients, third-party payors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obtain and maintain patent protection for our technologies and product candidates, including SNS-101,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 parties may initiate legal proceedings alleging that we are infringing their intellectual property rights, the outcome of which would be uncertain and could significantly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need to grow the size of our organization, and we may experience difficulties in managing this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success depends on our ability to retain key members of senior management and to attract, retain and motivate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Risks Related to our Securities and our Status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trading price of our common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and operations could be negatively affected by any securities litigation or shareholder activism, which could cause us to incur significant expense, hinder execution of business and growth strategies and impact our share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maintain an effective system of internal control over financial reporting which results in material weaknesses, we may be unable to accurately report our results of operations, meet our reporting obligations or prevent fraud and investor confidence in our company and the market price of our common stock may be materially and adversely affected.</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We will need additional funding to complete the development of our product candidates.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results and costs of discovery, laboratory testing, manufacturing, preclinical and clinical development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amounts of any milestone or royalty payments we may be required to make or may be entitled to receive under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building out our infrastructure including hiring additional clinical, quality control and manufacturing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revenue, if any, received from commercial sales of our product candidates for which we receive marketing approval;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operating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acquire or in-license other product candidates and technologies.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To date, we have primarily financed our operations through the sale of equity securities. We may seek to raise any necessary additional capital through a combination of public or private equity offerings, debt financings, collaborations, strategic alliances, licensing arrangements and other marketing and distribution arrangements. We cannot assure you that we will be successful in acquiring additional funding at levels sufficient to fund our operations or on terms favorable to us. While the long-term economic impact of each of the COVID-19 pandemic, the conflicts in Ukraine and the Middle East and recent and potential future disruptions in access to bank deposits or lending commitments due to bank failures are difficult to assess or predict, each of these events has caused significant disruptions to the global financial markets and contributed to a general global economic slowdown. Furthermore, inflation rates, particularly in the United States and the U.K.,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pStyle w:val="TextBody"/>
        <w:bidi w:val="0"/>
        <w:jc w:val="left"/>
        <w:rPr>
          <w:rFonts w:ascii="Times New Roman" w:hAnsi="Times New Roman"/>
          <w:sz w:val="20"/>
        </w:rPr>
      </w:pPr>
      <w:r>
        <w:rPr>
          <w:rFonts w:ascii="Times New Roman" w:hAnsi="Times New Roman"/>
          <w:b/>
          <w:i/>
          <w:color w:val="000000"/>
          <w:sz w:val="20"/>
        </w:rPr>
        <w:t>We have incurred significant losses in every year since our inception. We expect to continue to incur losses over the next several years and may never achieve or maintain profitability.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have incurred significant net losses since our inception. Our net loss was $26.7 million and $36.4 million for the nine months ended September 30, 2023 and 2022, respectively. As of September 30, 2023, we had an accumulated deficit of $224.5 million. We have funded our operations to date primarily with proceeds from the sale of our equity securities and borrowings of convertible debt.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have no products approved for commercial sale, have not generated any revenue from commercial sales of our product candidates, and are devoting substantially all of our financial resources and efforts to research and development of our TMAb platform. Investment in therapeutic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 We anticipate that our expenses will increase substantially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prepare to file INDs and then initiate clinical development of our product candidates, including SNS-101;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the research and development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 in our TMAb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to discover and develop additional product candidates or acquire or in-license drugs,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regulatory approvals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ultimately establish a sales, marketing and distribution infrastructure and scale up manufacturing capabilities to commercialize any product candidates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secure the clinical and commercial supply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hire additional research and development and selling, general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 expand and protect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incur additional costs associated with operating as a newly public company.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Our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As an organization, we have not demonstrated an ability to successfully complete clinical trials, obtain regulatory approvals, manufacture our product candidates at commercial scale or arrange for a third party to do so on our behalf, conduct sales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suffer.</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jc w:val="left"/>
        <w:rPr>
          <w:rFonts w:ascii="Times New Roman" w:hAnsi="Times New Roman"/>
          <w:sz w:val="20"/>
        </w:rPr>
      </w:pPr>
      <w:r>
        <w:rPr>
          <w:rFonts w:ascii="Times New Roman" w:hAnsi="Times New Roman"/>
          <w:b w:val="false"/>
          <w:color w:val="000000"/>
          <w:sz w:val="20"/>
        </w:rPr>
        <w:t>There is no assurance that any ongoing or future clinical trials of our product candidates will be successful or will generate positive clinical data and we may not receive marketing approval from the FDA or other regulatory agencies for any of our product candidates. All of our product candidates, other than SNS-101, are in preclinical development. Although the FDA cleared our IND for SNS-101 in April 2023, there can be no assurance that the FDA will permit any future IND for our other product candidates to go into effect in a timely manner or at all. We would not be permitted to conduct further clinical trials in the United States without future INDs for our other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completing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submission of INDs for and receipt of allowance to proceed with our clinical trials or other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initiating, enrolling, and completing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positive results from our preclinical studies and clinical trials that support a demonstration of efficacy, safety, and durability of effect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receiving approvals for commercialization of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sales, marketing and distribution capabilities and successfully launching commercial sales of our products,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acceptance of our products,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our product candidates at an acceptable cost;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maintaining and growing an organization of scientists, medical professionals and business people who can develop and commercialize our product candidates and technology.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therapeutic efficacy of our product candidates, including SNS-101, is unproven in humans, and we may not be able to successfully develop and commercialize drug candidates pursuant to these programs.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TMAb product candidates are novel chemical and biologic entities and their potential benefit as therapeutic cancer drugs is unproven. For example, SNS-101 is a human monoclonal antibody targeting the novel immune checkpoint VISTA. There are currently no approved therapies that target VISTA. Our ability to generate revenues from our TMAb product candidates, which we do not expect will occur in the short-term, if ever, will depend heavily on their successful development and commercialization, which is subject to many potential risks. For example, our product candidates may not prove to be effective inhibitors of the molecular targets they are being designed to act against and may not demonstrate in patients any or all of the pharmacological benefits that may have been demonstrated in preclinical studies. These product candidates may interact with human biological systems in unforeseen, ineffective or harmful ways. If the FDA determines that any of our drug candidates are associated with significant side effects or have characteristics that are unexpected, we may need to delay or abandon their development or limit development to certain uses or subpopulations in which the undesirable side effects or other characteristics are less prevalent, less severe or more acceptable from a risk benefit perspective. Moreover, we may determine after conducting clinical trials or related studies that certain of our product candidates or platforms do not possess the anticipated therapeutic characteristics, and we may decide to abandon or discontinue any one of our studies, product candidates or platforms. For example, in June 2021 we announced the discontinuation of our SNS-301</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program and terminated the Phase 1/2 clinic trial studying SNS-301 due to a lack of efficacy. In November 2022, we announced the suspension of our ImmunoPhage platform entirely and we are now focused exclusively on developing our TMAb platform.</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Many drug candidates that initially showed promise in early stage testing for treating cancer have later been found to be ineffective and/or cause side effects that prevented further development of the compound or resulted in their removal from the market. For example, in a third-party clinical trial of an anti-VISTA monoclonal antibody, dose limiting toxicities caused by cytokine release syndrome resulted in early termination of the clinical trial. Although initial clinical data from the monotherapy arm of our Phase 1/2 clinical trial of SNS-101 demonstrate favorable pharmacokinetics and cytokine release profiles, there is no assurance that data from additional patients, including at higher doses and in combination with cemiplimab, will produce similar results. As a result of these and other risks described herein that are inherent in the development and commercialization of novel therapeutic agents, we may not successfully develop and commercialize our drug candidates, in which case we may not achieve profitability and the value of our stock may decline.</w:t>
      </w:r>
    </w:p>
    <w:p>
      <w:pPr>
        <w:pStyle w:val="TextBody"/>
        <w:bidi w:val="0"/>
        <w:spacing w:before="120" w:after="120"/>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do not have any products that have gained regulatory approval. Our business is substantially dependent on our ability to obtain regulatory approval for our preclinical programs.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with respect to such product candidate. Prior to seeking approval for any of our product candidates, we will need to confer with the FDA and other regulatory authorities regarding the design of our clinical trials and the type and amount of clinical data necessary to seek and gain approval for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product candidates could fail to receive regulatory approval from the FDA or other comparable regulatory authorities for many reasons,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disagreement with the design, protocol or conduct of our clinical trials, including with respect to our clinical trial of SNS-101;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to demonstrate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of clinical trials to meet the level of statistical significance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disagreement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insufficiency of data collected from clinical trials of our product candidates to support the submission and filing of a Biologics License Application, or BLA, or other submission or to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to obtain approval of the manufacturing processes or our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approval policies or regulations that render our preclinical and clinical data insufficient for approval;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lack of adequate funding to complete a clinical trial in a manner that is satisfactory to the applicable regulatory authority.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FDA or a comparable regulatory authority may require more information, including additional preclinical or clinical data to support approval, including data that would require us to perform additional clinical trials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 generate revenues attributable to that product candidate. Also, any regulatory approval of our current or future product candidates, once obtained, may be withdrawn.</w:t>
      </w:r>
    </w:p>
    <w:p>
      <w:pPr>
        <w:pStyle w:val="TextBody"/>
        <w:bidi w:val="0"/>
        <w:spacing w:before="120" w:after="120"/>
        <w:jc w:val="left"/>
        <w:rPr>
          <w:rFonts w:ascii="Times New Roman" w:hAnsi="Times New Roman"/>
          <w:sz w:val="20"/>
        </w:rPr>
      </w:pPr>
      <w:r>
        <w:rPr>
          <w:rFonts w:ascii="Times New Roman" w:hAnsi="Times New Roman"/>
          <w:b/>
          <w:i/>
          <w:color w:val="000000"/>
          <w:sz w:val="20"/>
        </w:rPr>
        <w:t>Our business is highly dependent on the success of our product candidates that we advance into the clinic. All of our product candidates may require significant additional preclinical, clinical and manufacturing development before we may be able to seek regulatory approval for and launch a product commercially and we may not be successful in our efforts to build a pipeline of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 key element of our strategy is utilizing our TMAb platform to develop conditionally active monoclonal antibodies, which we believe could generate safer and more effective cancer therapies. However, we currently have no products that are approved for commercial sale and may never be able to develop marketable products. We are very early in our development efforts, and if any of our product candidates, including SNS-101, encounters safety or efficacy problems, development delays, regulatory issues or other problems, our development plans and forecasted timelines and business could be significantly harmed. Our TMAb platform is designed to generate next-generation antibodies that have potential to block immunosuppressive signals or activate immunostimulatory signals selectively within the tumor microenvironment. However, our TMAb platform may not produce product candidates that are safe and effective, or which compare favorably with other commercially available alternatives. Even if we are successful in continuing to build our pipeline and develop next-generation antibodies, the potential product candidates that we identify may not be suitable for clinical development, including as a result of lack of safety, lack of tolerability, or other characteristics that indicate that they are unlikely to be products that will receive marketing approval, achieve market acceptance or obtain reimbursements from third-party payors. We cannot provide you with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TMAb platform may not be successful in identifying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be able or willing to assemble sufficient resources to acquire or discover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product candidates may not succeed in preclinical 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on further study be shown to have harmful side effects, such as cytokine release syndrome, or other characteristics that indicate it is unlikely to be effective or otherwise does not meet applicable regulatory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market for a product candidate may change during our development program so that the continued development of that product candidate is no longer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not be capable of being produced in commercial quantities at an acceptable cost,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not be accepted as safe and effective by patients, the medical community or third-party payors, if applicable.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have a greater likelihood of success.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For example, in June 2021 we announced the discontinuation of our SNS-301 program and terminated the Phase 1/2 clinic trial studying SNS-301 due to a lack of efficacy. SNS-301 had been our lead product candidate and only clinical stage program. Furthermore, in November 2022 we announced the suspension of our ImmunoPhage platform entirely, including SNS-401-NG, which we were developing for the treatment of patients with Merkel cell carcinoma. As a result, we are now focused exclusively on developing our TMAb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Other than SNS-101,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It is impossible to predict accurately when or if any of our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testing and clinical trials that our product candidates are both safe and effective for use in each target indication. Clinical testing is expensive, difficult to design and implement, can take many years to complete and is uncertain as to outcome. A failure of one or more clinical trials can occur at any stage of testing.</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may experience numerous unforeseen events prior to, during, or as a result of, clinical trials that could delay or prevent our ability to receive marketing approval or commercialize any of our product candidates,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other comparable regulatory authority may disagree as to the number, design or implementation of our clinical trials, or may not interpret the results from clinical trials as we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regulators or institutional review boards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reach agreement on acceptable terms with prospective clinical trial sites, the terms of which can be subject to extensive negotiation and may vary significantly among different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trials of our product candidates may produce negative or inconclusive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decide, or regulators may require us, to conduct additional preclinical studies or clinical trials or abandon our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clinical trials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other comparable regulatory authorities may fail to approve our manufacturing processes or facilities;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product candidates may have undesirable side effects or other unexpected characteristics, particularly given their novel, first-in-human application, causing us or our investigators, regulators or institutional review boards to suspend or terminate the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approval policies or regulations of the FDA or other comparable regulatory authorities may significantly change in a manner rendering our clinical data insufficient for approval.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To the extent that the results of the trials are not satisfactory for the FDA or regulatory authorities in other countries or jurisdiction to approve our BLA or other comparable application, the commercialization of our product candidates may be significantly delayed, or we may be required to expend significant additional resources, which may not be available to us, to conduct additional trials in support of potential approval of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Clinical trials are difficult to design and implement, can be lengthy and expensive, involve uncertain outcomes and may not ultimately be successful.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oncology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Success in preclinical studies or clinical trials may not be predictive of results in future clinical trials.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 xml:space="preserve">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For example, although we have generated preclinical data suggesting that the conditionally active properties of SNS-101 have the potential to lower the risk of side effects such as cytokine release syndrome, enhance the anti-tumor effects of PD-1 blockade, and produce anti-tumor activity as a monotherapy, those data were generated either from animal studies or </w:t>
      </w:r>
      <w:r>
        <w:rPr>
          <w:rFonts w:ascii="Times New Roman" w:hAnsi="Times New Roman"/>
          <w:b w:val="false"/>
          <w:i/>
          <w:color w:val="000000"/>
          <w:sz w:val="20"/>
        </w:rPr>
        <w:t>ex vivo</w:t>
      </w:r>
      <w:r>
        <w:rPr>
          <w:rFonts w:ascii="Times New Roman" w:hAnsi="Times New Roman"/>
          <w:color w:val="000000"/>
          <w:sz w:val="20"/>
        </w:rPr>
        <w:t xml:space="preserve"> </w:t>
      </w:r>
      <w:r>
        <w:rPr>
          <w:rFonts w:ascii="Times New Roman" w:hAnsi="Times New Roman"/>
          <w:b w:val="false"/>
          <w:color w:val="000000"/>
          <w:sz w:val="20"/>
        </w:rPr>
        <w:t>studies with human samples and there can be no assurances that similar results will be achieved in clinical trials of SNS-101 with human subjects. Any failure to establish sufficient efficacy and safety could cause us to abandon clinical development of our product candidates, including SNS-101.</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Additionally, our clinical trial of SNS-101 utilizes an open-label study design. An “open-label” clinical trial is one where both the patient and investigator know whether the patient is receiving the investigational product candidate or either an existing approved therapy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We depend on timely enrollment of patients in our clinical trials for our product candidates. 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patients with the disease or condition being studied;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perceived risks and benefits of the product candidate in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and nature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competing clinical trials for similar therapies or other new therapeutics;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 that patients enrolled in clinical trials will drop out of the clinical trials before completion of their treatment;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factors we may not be able to control, such as pandemics, that may limit patients, principal investigators or staff or clinical site available.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The market opportunities for certain of our product candidates may be limited to those patients who are ineligible for or have failed prior treatments and, therefore, may be small, and our projections regarding the size of the addressable market may be incorrect.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immuno-oncology approach is based on novel ideas and technologies that are unproven and may not result in marketable products, which makes it difficult for us to predict the time and cost of product development and potential for regulatory approval. Cancer therapies are sometimes characterized as first line, second line or third line, and the FDA often approves new therapies initially only for third line use. When cancers are detected they are treated with first line of therapy with the intention of curing the cancer. This treatment generally consists of chemotherapy, radiation, antibody drugs, tumor targeted small molecules, or a combination of these. If the patient’s cancer relapses, then the patient is given a second line or third line therapy, which can consist of more chemotherapy, radiation, antibody drugs, tumor targeted small molecules, or a combination of these. Generally, the higher the line of therapy, the lower the chance of a cure. With third or higher line, the goal of the therapy is to control the growth of the tumor and extend the life of the patient, as a cure is unlikely to happen. Patients are generally referred to clinical trials in these situations.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There is no guarantee that any of our product candidates, even if approved, would be approved for an early line of therapy. In addition, we may have to conduct additional large randomized clinical trials prior to gaining approval for the earlier line of therapy.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revenues without obtaining regulatory approval for additional indications or as part of earlier lines of therapy.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clinical trials will include cancer patients who are very sick and whose health is deteriorating. It is possible that some of these patients may experience similar side effects and that additional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including SNS-101.</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Patient deaths and severe side effects caused by our product candidates, or by products or product candidates of other companies that are thought to have similarities with our therapeutic candidates, could result in the delay, suspension, clinical hold or termination of our clinical trials,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withdraw or limit their approval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require the addition of labeling statements, such as a “boxed”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decide to remove such products from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reputation may suffer.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Any of the foregoing could prevent us from achieving or maintaining market acceptance of the particular product candidate, if approved, and could significantly harm our business, results of operations, and prospects.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experience delays in obtaining approval or if we fail to obtain approval of any product candidates we may develop, the commercial prospects for those product candidates may be harmed, and our ability to generate revenues may be materially impaired.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0"/>
        </w:rPr>
        <w:t>Risks Related to Manufacturing and our Dependence on Third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currently rely, and expect to continue to rely, on third parties to conduct, supervise, and monitor our preclinical studies, as well as our clinical trials. If those third parties do not perform satisfactorily, including failing to meet deadlines for the completion of such clinical trials or failing to comply with regulatory requirements, we may be unable to obtain regulatory approval for our product candidates.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currently rely on third-party contract research organizations, or CROs, academic institutions, study sites, clinical investigators and others to conduct, supervise, and monitor our preclinical studies and clinical trials, including our ongoing clinical trial of SNS-101.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SNS-101 and other current and future product candidates, or we may not obtain marketing approval for, or commercialize, SNS-101 or our other current and future product candidates in a timely manner or at all.</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GLP regulations, as appropriate. Moreover, the FDA and comparable foreign regulatory authorities require us to comply with GCPs for conducting, recording,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b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collaborate with academic institutions for the development of our product candidates, including, for instance, our collaboration with the University of Washington pursuant to which we are conducting preclinical studies for our SNS-101 program. We may enter into additional collaborations for our other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expect that certain of our current and future product candidates, including SNS-101, will be evaluated in combination with third-party drugs, and we will have limited or no control over the supply, regulatory status, or regulatory approval of such drugs.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expect that certain of our current and future product candidates, including SNS-101, will be evaluated in combination with checkpoint inhibitors, or CPIs. Our ability to develop and ultimately commercialize current and future product candidates used in combination with CPIs or other compounds will depend on our ability to access such drugs on commercially reasonable terms for clinical trials and their availability for use with the commercialized product, if approved. In January 2023, we entered into a supply agreement with Regeneron to evaluate SNS-101 in combination with cemiplimab in our Phase 1/2 clinical trial. However, we cannot be certain that such agreement or any future commercial relationships will provide us with a steady supply of such drugs on commercially reasonable terms or at all.</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Any failure to enter into successful commercial relationships, or inability to source or purchase CPIs or other potential combination agents in the market, may delay our development timelines, increase our costs and jeopardize our ability to develop</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SNS-101 and other current and future product candidates as potential combination therapies, which may materially harm our business, financial condition, results of operations, stock price and prospects. Moreover, the development of product candidates for use in combination with another product or product candidate may present challenges that are not encountered when developing single-agent product candidates. For example, the FDA may require us to use more complex clinical trial designs in order to evaluate the contribution of each product and product candidate to any observed effects. Additionally, following product approval, the FDA may require that products used in conjunction with each other be cross labeled for combined use. To the extent that we do not have rights to the other product, this may require us to work with a third party under terms unfavorable to us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 the event that Regeneron or any potential future collaborator or supplier cannot continue to supply their products on commercially reasonable terms, we would need to identify alternatives for accessing such CPIs. Additionally, should the supply from Regeneron or any future collaborator or supplier be interrupted, delayed or otherwise be unavailable to us or our collaborators, our clinical collaborations may be delayed. In the event we are unable to source an alternative supply, or are unable to do so on commercially reasonable terms, our business, financial condition, results of operations, stock price and prospects may be materially harmed.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currently rely on CMOs for the production of SNS-101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currently have no plans to build our own clinical or commercial scale manufacturing capabilities for our TMAb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TMAb product candidates. These CMOs will provide drug substance intermediate and drug product that will be subsequently labeled, packaged and distributed to our CROs. We may also enter into agreements with additional companies for the supply of substances for use in the development of our TMAb product candidates or any future product candidates or for the manufacture of such product candidates.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or our third-party suppliers or manufacturers may encounter shortages in the raw materials or active pharmaceutical ingredient, or API, necessary to produce SNS-101 or any other current and future product candidates we may develop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facilities used by third-party manufacturers to manufacture SNS-101 or any other current or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of third-party manufacturers to comply with regulatory requirements and maintain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manufacture our product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manufacture our product according to our schedule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production difficulties caused by unforeseen events that may delay the availability of one or more of the necessary raw materials or delay the manufacture of any current or future product candidates for use in clinical trials or for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or nonrenewal of the agreement by the third party at a time that is costly or inconvenient for us.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CMO cannot perform as agreed, we may be required to replace such manufacturer and we may be unable to replace them on a timely basis or at all.</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Because we rely on a limited number of suppliers for the raw materials used in our drug candidates, any delay, shortage or interruption in the supply of such raw materials or contamination in our manufacturing process could lead to delays in the manufacture and supply of our drug candidates.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rely on third-parties to supply certain raw materials necessary to produce our drug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that we use to manufacture our drug candidates.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drug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drug candidates, the commercial launch of our drug candidates could be delayed, or there could be a supply shortage, each of which could impair our ability to generate revenues from their sale.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 addition, a material shortage, contamination, recall or restriction on the use of substances in the manufacture of our drug candidates, or the failure of any of our key suppliers to deliver necessary components required for the manufacture of our drug candidates, could adversely impact or disrupt the commercial manufacture or the production of clinical material, which could materially and adversely affect our development timelines and our business, financial condition, results of operations, and future prospects.</w:t>
      </w:r>
    </w:p>
    <w:p>
      <w:pPr>
        <w:pStyle w:val="TextBody"/>
        <w:bidi w:val="0"/>
        <w:spacing w:before="120" w:after="120"/>
        <w:jc w:val="left"/>
        <w:rPr>
          <w:rFonts w:ascii="Times New Roman" w:hAnsi="Times New Roman"/>
          <w:sz w:val="20"/>
        </w:rPr>
      </w:pPr>
      <w:r>
        <w:rPr>
          <w:rFonts w:ascii="Times New Roman" w:hAnsi="Times New Roman"/>
          <w:b/>
          <w:i/>
          <w:color w:val="000000"/>
          <w:sz w:val="20"/>
        </w:rPr>
        <w:t>We have entered, and may in the future enter into, partnership agreements with third parties for the development and commercialization of our product candidates. Our prospects with respect to those product candidates will depend in significant part on the success of those collaborations.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As such, we have entered into and may seek to enter into additional collaborations or partnerships with third parties for the development and potential commercialization of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face significant competition in seeking appropriate collaborators. Should we seek to collaborate with a third party with respect to a prospective development program, we may not be able to locate a suitable partner or to enter into an agreement on commercially reasonable terms or at all. Even if we succeed in securing partners for the development and commercialization of our product candidates, we have limited control over the time and resources that our partners may dedicate to the development and commercialization of our product candidates. In order to optimize the launch and market penetration of certain of our future product candidates, we may enter into distribution and marketing agreements with pharmaceutical industry leaders. For these product candidates, we would not market our products alone once they have obtained marketing authorization. These partnerships pose a number of risks,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partners may not have sufficient resources or decide not to devote the necessary resources due to internal constraints such as budget limitations, lack of human resources or a change in strategic focus;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partners may believe our intellectual property is not valid or is unenforceable or the product candidate infringes on the intellectual property rights of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partners may dispute their responsibility to conduct development and commercialization activities pursuant to the applicable collaboration, including the payment of related costs or the division of any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partners may decide to pursue a competitive product developed outside of the collaboration arrangement;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partners may not be able to obtain, or believe they cannot obtain, the necessary regulatory approvals;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partners may delay the development or commercialization of our product candidates in favor of developing or commercializing another party’s product candidate.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Thus, partnership agreements may not lead to development, regulatory approval or successful commercialization of product candidates in the most efficient manner or at all. Some partnership agreements are terminable without cause on short notice. Once a partnership agreement is signed, it may not lead to regulatory approval and commercialization of a product candidate. We also face competition in seeking out partners. If we are unable to secure new collaborations that achieve the collaborator’s objectives and meet our expectations, we may be unable to advance our product candidates and may not generate meaningful revenues.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before="120" w:after="120"/>
        <w:jc w:val="left"/>
        <w:rPr>
          <w:rFonts w:ascii="Times New Roman" w:hAnsi="Times New Roman"/>
          <w:sz w:val="20"/>
        </w:rPr>
      </w:pPr>
      <w:r>
        <w:rPr>
          <w:rFonts w:ascii="Times New Roman" w:hAnsi="Times New Roman"/>
          <w:b/>
          <w:i/>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foreign regulatory authorities may disagree with the design or implementation of our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be able to enroll a sufficient number of patients in our clinical studies;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unable to demonstrate to the satisfaction of the FDA or comparable foreign regulatory authorities that a product candidate is safe and effective for its proposed indication or a related companion diagnostic is suitable to identify appropriate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approval policies or regulations of the FDA or comparable foreign regulatory authorities may significantly change such that our clinical data are insufficient for approval.</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guarantee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revision to the labeling, including limitations on approved uses or the addition of additional warnings, contraindications or other safety information,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imposition of a REMS, which may include distribution or use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requirements to conduct additional post-market clinical trials to assess the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fines, warning letters or other regulatory enforcement 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by the FDA to approve pending applications or supplements to approved applications filed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seizure or detention, or refusal to permit the import or export of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injunctions or the imposition of civil or criminal penalties.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connection with the clinical development of our product candidates for certain indications, we may develop or engage third parties to develop or obtain access to in vitro companion diagnostic tests to identify patient subsets within a disease category who may derive benefit from our product candidates.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EMA and other regulatory authorities as medical devices and require separate regulatory approval prior to commercialization.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civil and criminal false claims, including the federal False Claims Act, or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HIPAA, as amended by the Health Information Technology for Economic and Clinical Health Act of 2009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unclear how any such challenges and the healthcare reform measures of the Biden administration will impact the ACA and our business.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until 2031 unless additional Congressional action is taken. Under current legislation, the actual reduction in Medicare payments will vary from 1% in 2022 to up to 4% in the final fiscal year of this sequester.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former Trump administration used several means to propose or implement drug pricing reform including through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expect that additional state and federal healthcare reform measures will be adopted in the future, particularly in light of the new U.S. presidential administration,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demand for our current or future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coverage and reimbursement approval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availability of capital.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Any reduction in reimbursement from Medicare or other government programs may result in a similar reduction in payments from private payors, which may adversely affect our future profitability.</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120" w:after="120"/>
        <w:jc w:val="left"/>
        <w:rPr>
          <w:rFonts w:ascii="Times New Roman" w:hAnsi="Times New Roman"/>
          <w:sz w:val="20"/>
        </w:rPr>
      </w:pPr>
      <w:r>
        <w:rPr>
          <w:rFonts w:ascii="Times New Roman" w:hAnsi="Times New Roman"/>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currently plan to work to build our global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 development of sales, marketing and distribution capabilities will require substantial resources, will be time-consuming and could delay any product launch.</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do not establish sales, marketing and distribution capabilities successfully, either on our own or in collaboration with third parties, we will not be successful in commercializing our product candidates in the United States or overseas.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We operate in a rapidly changing industry and face significant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to the current standard of care treatments for patients with cancers, numerous commercial and academic preclinical studies and clinical trials are being undertaken by a large number of parties to assess novel technologies and product candidates in the field of immuno-oncology. Results from these studies and trials have fueled increasing levels of interest in the field of immuno-oncology.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Large pharmaceutical companies that have commercialized or are developing immunotherapies to treat cancer include AstraZeneca, Bristol Myers Squibb, Gilead Sciences, Merck, Novartis, Pfizer, and Roche/Genentech. In addition, we may compete with other immuno-oncology companies in our industry, such as Hummingbird Bioscience, Kineta, PharmAbcine Pierre Fabre and Curis, each of which are developing antibodies targeting VISTA, the target of our lead product candidate SNS-101.</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 product or a specific indication before we are able to enter the market.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Even if any of our product candidates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physicians, hospitals, cancer treatment centers,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labeling or product insert requirements of the FDA or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limitations or warnings contained in the labeling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market introduction of our product candidates as well as competitive products;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treatment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amount of upfront costs or training required for physicians to administer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availability of coverage, adequate reimbursement from, and our ability to negotiate pricing with,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relative convenience and ease of administration, including as compared to alternative treatments and competitive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effectiveness of our sales and marketing efforts and distribution support</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efforts to educate physicians, patients, third-party payors and others in the medical community on the benefits of our product candidates, if approved,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trials to demonstrate that these therapies are safe and effective, may limit market acceptance our product candidates. If our product candidates are approved but fail to achieve market acceptance among physicians, patients, hospitals, cancer treatment centers or others in the medical community, we will not be able to generate significant revenue.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Coverage and adequate reimbursement may not be available for our current or any future product candidates, which could make it difficult for us to sell profitably, if approved.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companion diagnostic provider is unable to obtain reimbursement or is inadequately reimbursed, that may limit the availability of such companion diagnostic, which could negatively impact prescriptions for our product candidates, if approved.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cannot be sure that coverage and reimbursement in the United States or elsewhere will be available for any product that we may develop, and any reimbursement that may become available may be decreased or eliminated in the future.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reduced resources of our management to pursue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decreased demand for any product candidates or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significant costs to defend the resulting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substantial monetary awards paid to clinical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commercialize any products that we may develop.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currently do not have product liability in place as the cost of coverage exceeds the covered amount during clinical trials. Once we are ready for a product launch, we intend to bind a policy with product liability insurance coverage in the aggregate and a per incident limit at an amount adequate to cover estimated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If we are unable to obtain and maintain patent protection for our technologies and product candidates, including SNS-101,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success depends, in large part, on our ability to obtain and maintain patent protection in the United States, Canada, China, the European Union and other countries with respect to our product candidates. We seek to protect our proprietary position by filing patent applications related to our technology and product candidates in the major pharmaceutical markets, including the United States, Canada, China, major countries in Europe and Japan. If we do not adequately protect our intellectual property, competitors may be able to use our technologies and erode or negate any competitive advantage that we may have, which could harm our business and ability to achieve profitability.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To protect our proprietary positions, we typically file patent applications in the United States and other countries related to our novel technologies and product candidates that are important to our business. The patent application and prosecution process is expensive and time-consuming. We may not be able to file and prosecute all necessary or desirable patent applications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the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may affect the scope, strength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or USPTO, the laws and regulations governing patents could change in unpredictable ways that could weaken our ability to obtain patents or to enforce any patents that we might obtain in the future.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may not be aware of all third-party intellectual property rights potentially relating to our current and future our product candidates. Publications of discoveries in the scientific literature often lag behind the actual discoveries, and patent applications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 xml:space="preserve">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owned or licensed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significantly harm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commercial success depends, in part, on our ability to develop, manufacture, market and sell our product candidates and use our TMAb technology without infringing the intellectual property and other proprietary rights of third parties. Numerous third-party U.S. and non-U.S. issued patents exist in the area of biotechnology, including in the area of monoclonal antibodies and including patents held by our competitors. If any third-party patents cover our product candidates or technologies, we may not be free to manufacture or commercialize our product candidates as planned.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 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are infringed by our technologies.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intellectual property, which could be expensive, time-consuming and unsuccessful.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may be subject to claims by third parties asserting that we or our employees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Many of our employees were previously employed at universities or other biotechnology or pharmaceutical companies. Although we try to ensure that our employees do not use the proprietary information or know-how of third parties in their work for us, we may be subject to claims that these employees or we have inadvertently or otherwise used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or ownership of our owned patent rights and other intellectual property.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Any trademarks we may obtain may be infringed or successfully challenged, resulting in harm to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Furthermore, some courts inside and outside the United States are less willing or unwilling to protect trade secrets.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 In addition, to the extent that we have responsibility for taking any action related to the prosecution or maintenance of patents or patent application in-licensed from a third party, any failure on our part to maintain the in-licensed rights could jeopardize our rights under the relevant license and may expose us to liability.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0"/>
        </w:rPr>
        <w:t>Risks Related to our Business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As of October 30, 2023, we had 26 full-time employees. As our development and commercialization plans and strategies develop, and as we continue operating as a public company, we expect to need additional managerial, operational, financial and other personnel, including personnel to support our product development and planned future commercialization efforts.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managing our internal development efforts effectively, including the preclinical, clinical and FDA review processes for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improving our operational, financial and management controls, reporting systems and procedures.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There are a small number of individuals with experience in immuno-oncology and the competition for these individuals is high. 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future success depends on our ability to retain key members of senior management and to attract, retain and motivate qualified personnel.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If we engage in future acquisitions or strategic collaborations,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assumption of additional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diversion of our management’s attention from our existing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generate revenue from acquired technology sufficient to meet our objectives in undertaking the acquisition or even to offset the associated acquisition and maintenance costs.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0"/>
        </w:rPr>
        <w:t>Risks Related to our Securities and our Status as a Public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An active trading market for our common stock may not continue to develop or be sustained.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Prior to our initial public offering, there was no public market for our common stock, and we cannot assure you that an active trading market for our shares will continue to develop or be sustained. As a result, it may be difficult for you to sell shares at an attractive price or at all.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The trading price of our common stock may be volatile, and you could lose all or part of your investment.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performance of particular companies. As a result of this volatility, investors may not be able to sell their common stock at or above the price paid for the common stock. In addition to the factors discussed elsewhere in this “Risk Factors” section, these factors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commencement, enrollment or results of our ongoing,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positive or negative results from, or delays in, testing and clinical trials by us, collaborators or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loss of any of our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actions taken by regulatory agencies with respect to our clinical trials or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or developments in laws or regulations applicable to our product candidates and preclinical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structure and scope of health 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to our relationships with collaborators,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concerns regarding the safety of our product candidates or TMAb platform in general;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announcements concerning our competitors or the pharmaceutical industry in general;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fluctuations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financial estimates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potential acquisitions, financing, collaborations or other corporate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results of our efforts to discover, develop, acquire or in-license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trading volume of our common stock on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sales of our common stock by us, members of our senior management and directors or our stockholders or the anticipation that such sales may occur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general economic, political, and market conditions and overall fluctuations in the financial markets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stock market price and volume fluctuations of comparable companies and, in particular, those that operate in the biopharmaceutical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investors’ general perception of us and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events and factors, many of which are beyond our control.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meet all applicable Nasdaq listing requirements and Nasdaq determines to delist our common shares, the delisting could adversely affect the market liquidity of our common shares and the market price of our common shares could decrease.</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October 17, 2023, we received a letter from the staff of Nasdaq, notifying us that, for the previous 30 consecutive business days, the bid price for our common shares had closed below the minimum $1.00 per share requirement for continued listing on The Nasdaq Global Market under Nasdaq Listing Rule 5450(a)(1). Under Nasdaq Listing Rule 5810(c)(3)(A), we have a period of 180 calendar days, or until April 15, 2024, to regain compliance with the rule referred to in this paragraph. To regain compliance, during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this 180-day compliance period, our minimum bid price of listed securities must close at $1.00 per share or more for a minimum of 10 consecutive business days. If we do not regain compliance with the Nasdaq Listing Rules prior to the expiration of the 180-day compliance period, we may be eligible for additional time to regain compliance pursuant to Nasdaq Listing Rule 5810(c)(3)(A)(ii) by transferring to the Nasdaq Capital Market.</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There can be no assurance that we will maintain compliance with the requirements for listing our common shares on the Nasdaq Global Market, or if transferred, The Nasdaq Capital Market.</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and operations could be negatively affected by any securities litigation or shareholder activism, which could cause us to incur significant expense, hinder execution of business and growth strategies and impact our share price.</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common stock or other securities or other reasons may in the future cause us to become the target of securities litigation or shareholder activism.</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Securities litigation and shareholder activism, including proxy contests, could result in substantial costs and divert management's and the Board’s attention and resources from our business. The potential of a proxy contest or other shareholder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shareholder activism.</w:t>
      </w:r>
    </w:p>
    <w:p>
      <w:pPr>
        <w:pStyle w:val="TextBody"/>
        <w:bidi w:val="0"/>
        <w:jc w:val="left"/>
        <w:rPr>
          <w:rFonts w:ascii="Times New Roman" w:hAnsi="Times New Roman"/>
          <w:sz w:val="20"/>
        </w:rPr>
      </w:pPr>
      <w:r>
        <w:rPr>
          <w:rFonts w:ascii="Times New Roman" w:hAnsi="Times New Roman"/>
          <w:b/>
          <w:i/>
          <w:color w:val="000000"/>
          <w:sz w:val="20"/>
        </w:rPr>
        <w:t>A significant portion of our total outstanding shares are restricted from immediate resale, but may be sold into the market in the near future. This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Sales of a substantial number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we have filed registration statements registering the issuance of approximately 9.5 million shares of common stock subject to options or other equity awards issued or reserved for future issuance under our equity incentive plans. Shares registered under these registration statements will be available for sale in the public market subject to vesting arrangements and exercise of options and, in the case of our affiliates, the restrictions of Rule 144 under the Securities Act.</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Additionally,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will make our shares of common stock less attractive to investors.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shareholder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pStyle w:val="TextBody"/>
        <w:bidi w:val="0"/>
        <w:jc w:val="left"/>
        <w:rPr>
          <w:rFonts w:ascii="Times New Roman" w:hAnsi="Times New Roman"/>
          <w:sz w:val="20"/>
        </w:rPr>
      </w:pPr>
      <w:r>
        <w:rPr>
          <w:rFonts w:ascii="Times New Roman" w:hAnsi="Times New Roman"/>
          <w:b/>
          <w:i/>
          <w:color w:val="000000"/>
          <w:sz w:val="20"/>
        </w:rPr>
        <w:t>We do not anticipate paying any cash dividends on our common stock in the foreseeable future.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As of December 31, 2022, we had NOL carryforwards for federal and state income tax purposes of approximately $117.2 million and $39.9 million, respectively, a portion of which expire beginning in 2023. Net operating loss carryforwards generated after December 31, 2017 for federal tax reporting purposes of $76.8 million have an indefinite life. The remaining federal net operating losses are subject to a 20-year carryforward period.</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have not determined whether our NOLs are limited under Section 382 of the Code. We may have experienced an ownership change in the past, and may experience ownership changes in the future as a result of subsequent shifts in our stock ownership, some of which are outside our control.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and expect to continue incurring significantly increased costs as a result of operating as a company whose common stock is publicly traded, and our management will be required to devote substantial time to new compliance initiatives.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As a newly public company, we have incurred significant legal, accounting and other expenses that we did not incur previously.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Pursuant to Section 404, we are required to furnish a report by our senior management on our internal control over financial reporting. However, while we remain an emerging growth company or a smaller reporting company, we will not be required to include an attestation report on internal control over financial reporting issued by our independent registered public accounting firm.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to the extent enforceable,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amended and restated certificate of incorporation provides that the Court of Chancery of the State of Delaware and, to the extent enforceable, the federal district courts of the United States of America, will be the exclusive forum for the following types of actions or proceedings under Delaware statutory or common law: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derivative claim or cause of action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claim or cause of action for breach of a fiduciary duty owed by any of our current or former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claim or cause of action against us or any of our current or former directors, officers or other employees, arising out of or pursuant to any provision of the DGCL, our certificate of incorporation or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claim or cause of action seeking to interpret, apply, enforce or determine the validity of our certificate of incorporation or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or proceeding as to which the DGCL confers jurisdiction to the Court of Chancery of the State of Delaware;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This provision would not apply to suits brought to enforce a duty or liability created by the Securities Act or the Securities Exchange Act of 1934, or the Exchange Act, or any claim for which the U.S. federal courts have exclusive jurisdiction. Our amended and restated certificate of incorporation will provide that the federal district courts of the United States of America will be the exclusive forum for resolving any complaint asserting a cause of action arising under the Securities Act.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other court of competent jurisdiction were to find either exclusive-forum provision in our amended and restated certificate of incorporation to be inapplicable or unenforceable, we may incur additional costs associated with resolving the dispute in other jurisdictions, which could seriously harm our business.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Insiders have substantial influence over us and could cause us to take actions that may not be, or refrain from taking actions that may be, in our best interest or in the best interest of our stockholders.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of October 30, 2023, we believe that our directors, executive officers and principal stockholders, together with their affiliates, owned, in the aggregate, more than 30% of our outstanding common stock. As a result, if these or certain of these stockholders were to choose to act together, they may be able to affect the outcome of matters submitted to our stockholders for approval, as well as our management and affairs,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composition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adoption of amendments to our certificate of incorporation and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approval of mergers or sales of substantially all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capital structure and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approval of contracts between us and these stockholders or their affiliates, which could involve conflicts of interest.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This concentration of ownership could harm the market price of our common stock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delaying, deferring or preventing a change in control of our company and making some transactions more difficult or impossible without the support of these stockholders, even if such transactions are beneficial to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impeding a merger, consolidation, takeover or other business combination involving our company;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requiring us to engage in transactions that may not be agreeable to or in the best interest of us or other stockholders.</w:t>
      </w:r>
    </w:p>
    <w:p>
      <w:pPr>
        <w:pStyle w:val="TextBody"/>
        <w:bidi w:val="0"/>
        <w:spacing w:before="120" w:after="12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 such as the COVID-19 pandemic.</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or experience additional restrictions by their institutions, city or state, our clinical trial operations could be adversely impacted.</w:t>
      </w:r>
    </w:p>
    <w:p>
      <w:pPr>
        <w:pStyle w:val="TextBody"/>
        <w:bidi w:val="0"/>
        <w:jc w:val="left"/>
        <w:rPr>
          <w:rFonts w:ascii="Times New Roman" w:hAnsi="Times New Roman"/>
          <w:sz w:val="20"/>
        </w:rPr>
      </w:pPr>
      <w:r>
        <w:rPr>
          <w:rFonts w:ascii="Times New Roman" w:hAnsi="Times New Roman"/>
          <w:b/>
          <w:i/>
          <w:color w:val="000000"/>
          <w:sz w:val="20"/>
        </w:rPr>
        <w:t>Our computer systems or data, or those of our collaborators or other contractors or consultants, maybe compromised, which could result in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Our computer systems and those of our current and any future collaborators and other contractors or consultants may be vulnerable to a variety of disruptive and evolving threats, including computer viruses, malicious or unintentional actions or inactions that cause vulnerabilities, malware, supply chain attacks, ransomware, unauthorized access, natural disasters, terrorism, war and telecommunication and electrical failures.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products/services) or the third-party information technology systems that support us and our services.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our reputation could be damaged, and the further development and commercialization of our product candidates could be delayed.</w:t>
      </w:r>
    </w:p>
    <w:p>
      <w:pPr>
        <w:pStyle w:val="TextBody"/>
        <w:bidi w:val="0"/>
        <w:jc w:val="left"/>
        <w:rPr>
          <w:rFonts w:ascii="Times New Roman" w:hAnsi="Times New Roman"/>
          <w:sz w:val="20"/>
        </w:rPr>
      </w:pPr>
      <w:r>
        <w:rPr>
          <w:rFonts w:ascii="Times New Roman" w:hAnsi="Times New Roman"/>
          <w:b/>
          <w:i/>
          <w:color w:val="000000"/>
          <w:sz w:val="20"/>
        </w:rPr>
        <w:t>We are or may become subject to a variety of privacy and data security laws, and our failure to comply with them could harm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We maintain sensitive information, including confidential business and personal information in connection with our preclinical studies and our employees,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The General Data Protection Regulation, the GDPR, applies in the European Economic Area, the EEA, into which we may expand our business. The GDPR governs the collection, use, disclosure, transfer or other processing of personal data of European data subjects.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states are constantly adopting new laws or amending existing laws, requiring attention to frequently changing regulatory requirements. For example, the California Consumer Privacy Act, or the CCPA,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As we expand our operations and trials (both preclinical or clinical), the CCPA may increase our compliance costs and potential liability. Some observers have noted that the CCPA could mark the beginning of a trend toward more stringent privacy legislation in the United States. Other states are beginning to pass similar laws.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addition, it is anticipated that the California Privacy Rights Act of 2020 (“CPRA”), effective January 1, 2023, will expand the CCPA. For example, the CPRA establishes a new California Privacy Protection Agency to implement and enforce the CPRA, which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could increase the risk of an enforcement action. Other states have enacted data privacy laws. For example, Virginia passed the Consumer Data Protection Act, and Colorado passed the Colorado Privacy Act, both of which differ from the CPRA and become effective in 2023.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we expand our operations and trials (both preclinical or clinical), the CCPA, CPRA, and other similar state laws may increase our compliance costs and potential liability. Some observers have noted that the CCPA, CPRA, and other similar state laws could mark the beginning of a trend toward more stringent privacy legislation in the United States.</w:t>
      </w:r>
    </w:p>
    <w:p>
      <w:pPr>
        <w:pStyle w:val="TextBody"/>
        <w:bidi w:val="0"/>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the price and trading volume of our common stock could decline.</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On July 31, 2023, we entered into a purchase agreement (the “Cambrian Purchase Agreement”) with Cambrian BioPharma, Inc. and its associates and controlled affiliates (“Cambrian”), pursuant to which we agreed to repurchase 1,587,302 shares of our common stock from Cambrian at a purchase price of $1.26 per share and for an aggregate purchase price of approximately $2 million. The transaction closed on August 15, 2023 and the 1,587,302 repurchased shares were retired and cancelled on or about the date of the closing.</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 summary of our share repurchases during the quarter ended September 30, 2023 is set forth below:</w:t>
      </w:r>
    </w:p>
    <w:tbl>
      <w:tblPr>
        <w:tblW w:w="5359" w:type="dxa"/>
        <w:jc w:val="left"/>
        <w:tblInd w:w="0" w:type="dxa"/>
        <w:tblLayout w:type="fixed"/>
        <w:tblCellMar>
          <w:top w:w="28" w:type="dxa"/>
          <w:left w:w="28" w:type="dxa"/>
          <w:bottom w:w="28" w:type="dxa"/>
          <w:right w:w="28" w:type="dxa"/>
        </w:tblCellMar>
      </w:tblPr>
      <w:tblGrid>
        <w:gridCol w:w="1981"/>
        <w:gridCol w:w="187"/>
        <w:gridCol w:w="1193"/>
        <w:gridCol w:w="146"/>
        <w:gridCol w:w="146"/>
        <w:gridCol w:w="470"/>
        <w:gridCol w:w="1045"/>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7/1/2023 to 7/31/2023</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8/1/2023 to 8/31/2023</w:t>
            </w:r>
          </w:p>
        </w:tc>
        <w:tc>
          <w:tcPr>
            <w:tcW w:w="18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9/1/2023 to 9/30/2023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sz w:val="20"/>
        </w:rPr>
      </w:pPr>
      <w:bookmarkStart w:id="19" w:name="item_6_exhibits_financial_statement_sche"/>
      <w:bookmarkEnd w:id="19"/>
      <w:r>
        <w:rPr>
          <w:rFonts w:ascii="Times New Roman" w:hAnsi="Times New Roman"/>
          <w:b/>
          <w:color w:val="000000"/>
          <w:sz w:val="20"/>
        </w:rPr>
        <w:t>Item 6.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2">
              <w:r>
                <w:rPr>
                  <w:rStyle w:val="InternetLink"/>
                  <w:rFonts w:ascii="Times New Roman" w:hAnsi="Times New Roman"/>
                  <w:b w:val="false"/>
                  <w:color w:val="0563C1"/>
                  <w:sz w:val="20"/>
                  <w:u w:val="single"/>
                </w:rPr>
                <w:t>Amended and Restated Certificate of Incorporation (incorporated by reference to Exhibit 3.1 to the Registrant’s Current Report on Form 8-K (File No. 001-39980), filed with the SEC on February 11,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3">
              <w:r>
                <w:rPr>
                  <w:rStyle w:val="InternetLink"/>
                  <w:rFonts w:ascii="Times New Roman" w:hAnsi="Times New Roman"/>
                  <w:b w:val="false"/>
                  <w:color w:val="0563C1"/>
                  <w:sz w:val="20"/>
                  <w:u w:val="single"/>
                </w:rPr>
                <w:t>Amended and Restated Bylaws (incorporated by reference to Exhibit 3.1 to the Registrant’s Current Report on Form 8-K (File No. 001-39980), filed with the SEC on December 9,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r:id="rId4">
              <w:r>
                <w:rPr>
                  <w:rStyle w:val="InternetLink"/>
                  <w:rFonts w:ascii="Times New Roman" w:hAnsi="Times New Roman"/>
                  <w:b w:val="false"/>
                  <w:color w:val="0563C1"/>
                  <w:sz w:val="20"/>
                  <w:u w:val="single"/>
                </w:rPr>
                <w:t>Certificate of Designations of the Series A Junior Participating Cumulative Preferred Stock of the Registrant, dated March 7, 2023 (incorporated by reference to Exhibit 3.1 to the Registrant’s Registration Statement on Form 8-A, filed with the Securities and Exchange Commission on March 7, 2023, File No. 005-92222)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31_1.htm">
              <w:r>
                <w:rPr>
                  <w:rStyle w:val="InternetLink"/>
                  <w:rFonts w:ascii="Times New Roman" w:hAnsi="Times New Roman"/>
                  <w:b w:val="false"/>
                  <w:color w:val="0563C1"/>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31_2.htm">
              <w:r>
                <w:rPr>
                  <w:rStyle w:val="InternetLink"/>
                  <w:rFonts w:ascii="Times New Roman" w:hAnsi="Times New Roman"/>
                  <w:b w:val="false"/>
                  <w:color w:val="0563C1"/>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snse-ex32_1.htm">
              <w:r>
                <w:rPr>
                  <w:rStyle w:val="InternetLink"/>
                  <w:rFonts w:ascii="Times New Roman" w:hAnsi="Times New Roman"/>
                  <w:b w:val="false"/>
                  <w:color w:val="0563C1"/>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b w:val="false"/>
                <w:color w:val="0563C1"/>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financial information from the Company’s Quarterly Report on Form 10-Q for the period ended September 30, 2023, formatted in Inline Extensible Business Reporting Language (XBRL): (i) the Condensed Consolidated Balance Sheets, (ii) the Condensed Consolidated Statements of Operations, (iii) the Condensed Consolidated Statements of Convertible Preferred Stock, Common Stock and Stockholders’ Equity (Deficit), (iv) the Condensed Consolidated Statements of Cash Flows, and (v) Notes to the Condensed Consolidated Financial Statements (filed 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379" w:type="dxa"/>
        <w:jc w:val="left"/>
        <w:tblInd w:w="0" w:type="dxa"/>
        <w:tblLayout w:type="fixed"/>
        <w:tblCellMar>
          <w:top w:w="28" w:type="dxa"/>
          <w:left w:w="28" w:type="dxa"/>
          <w:bottom w:w="28" w:type="dxa"/>
          <w:right w:w="28" w:type="dxa"/>
        </w:tblCellMar>
      </w:tblPr>
      <w:tblGrid>
        <w:gridCol w:w="556"/>
        <w:gridCol w:w="1606"/>
        <w:gridCol w:w="406"/>
        <w:gridCol w:w="381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217" w:type="dxa"/>
            <w:gridSpan w:val="2"/>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Sensei Biotherapeutics, Inc.</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1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John Celebi</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Celebi</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11" w:type="dxa"/>
            <w:tcBorders/>
            <w:shd w:fill="FFFFFF" w:val="clear"/>
            <w:vAlign w:val="center"/>
          </w:tcPr>
          <w:p>
            <w:pPr>
              <w:pStyle w:val="TableContents"/>
              <w:bidi w:val="0"/>
              <w:spacing w:before="0" w:after="283"/>
              <w:jc w:val="center"/>
              <w:rPr/>
            </w:pPr>
            <w:r>
              <w:rPr/>
              <w:t> </w:t>
            </w:r>
          </w:p>
        </w:tc>
      </w:tr>
      <w:tr>
        <w:trPr/>
        <w:tc>
          <w:tcPr>
            <w:tcW w:w="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Erin Colgan</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Erin Colgan</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55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snse-ex31_1.htm"/>
      <w:bookmarkStart w:id="22" w:name="kssnse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John Celebi,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for the quarter ended September 30, 2023 of Sensei Biotherapeutics, Inc. (the “registrant”);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27" w:type="dxa"/>
        <w:jc w:val="left"/>
        <w:tblInd w:w="0" w:type="dxa"/>
        <w:tblLayout w:type="fixed"/>
        <w:tblCellMar>
          <w:top w:w="28" w:type="dxa"/>
          <w:left w:w="28" w:type="dxa"/>
          <w:bottom w:w="28" w:type="dxa"/>
          <w:right w:w="28" w:type="dxa"/>
        </w:tblCellMar>
      </w:tblPr>
      <w:tblGrid>
        <w:gridCol w:w="2101"/>
        <w:gridCol w:w="109"/>
        <w:gridCol w:w="40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 John Celebi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John Celebi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nse-ex31_2.htm"/>
      <w:bookmarkStart w:id="24" w:name="kssnse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Erin Colgan,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for the quarter ended September 30, 2023 of Sensei Biotherapeutics, Inc. (the “registrant”);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032" w:type="dxa"/>
        <w:jc w:val="left"/>
        <w:tblInd w:w="0" w:type="dxa"/>
        <w:tblLayout w:type="fixed"/>
        <w:tblCellMar>
          <w:top w:w="28" w:type="dxa"/>
          <w:left w:w="28" w:type="dxa"/>
          <w:bottom w:w="28" w:type="dxa"/>
          <w:right w:w="28" w:type="dxa"/>
        </w:tblCellMar>
      </w:tblPr>
      <w:tblGrid>
        <w:gridCol w:w="2101"/>
        <w:gridCol w:w="109"/>
        <w:gridCol w:w="40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 Erin Colgan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Erin Colgan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nse-ex32_1.htm"/>
      <w:bookmarkStart w:id="26" w:name="kssnse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CERTIFICATIONS OF</w:t>
      </w:r>
    </w:p>
    <w:p>
      <w:pPr>
        <w:pStyle w:val="TextBody"/>
        <w:bidi w:val="0"/>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Pursuant to the requirement set forth in Rule 13a-14(b) of the Securities Exchange Act of 1934, as amended, (the “Exchange Act”) and Section 1350 of Chapter 63 of Title 18 of the United States Code (18 U.S.C. §1350), John Celebi, President and Chief Executive Officer of Sensei Biotherapeutics, Inc. (the “Company”), and Erin Colgan, Chief Financial Officer of the Company, each hereby certifies that, to the best of his or her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quarter ended September 30, 2023, to which this Certification is attached as Exhibit 32.1 (the “Quarterly Report”), fully complies with the requirements of Section 13(a) or Section 15(d) of the Exchange Act;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Quarterly Report fairly presents, in all material respects, the financial condition and results of operations of the Company.</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b w:val="false"/>
          <w:color w:val="000000"/>
          <w:sz w:val="20"/>
        </w:rPr>
        <w:t>, the undersigned have set their hands hereto as of the 7th day of November 2023.</w:t>
      </w:r>
    </w:p>
    <w:p>
      <w:pPr>
        <w:pStyle w:val="TextBody"/>
        <w:bidi w:val="0"/>
        <w:jc w:val="left"/>
        <w:rPr/>
      </w:pPr>
      <w:r>
        <w:rPr/>
        <w:t> </w:t>
      </w:r>
    </w:p>
    <w:p>
      <w:pPr>
        <w:pStyle w:val="TextBody"/>
        <w:bidi w:val="0"/>
        <w:jc w:val="left"/>
        <w:rPr/>
      </w:pPr>
      <w:r>
        <w:rPr/>
        <w:t> </w:t>
      </w:r>
    </w:p>
    <w:tbl>
      <w:tblPr>
        <w:tblW w:w="5706" w:type="dxa"/>
        <w:jc w:val="left"/>
        <w:tblInd w:w="0" w:type="dxa"/>
        <w:tblLayout w:type="fixed"/>
        <w:tblCellMar>
          <w:top w:w="28" w:type="dxa"/>
          <w:left w:w="28" w:type="dxa"/>
          <w:bottom w:w="28" w:type="dxa"/>
          <w:right w:w="28" w:type="dxa"/>
        </w:tblCellMar>
      </w:tblPr>
      <w:tblGrid>
        <w:gridCol w:w="3181"/>
        <w:gridCol w:w="109"/>
        <w:gridCol w:w="2416"/>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John Celebi</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Erin Colgan</w:t>
            </w:r>
          </w:p>
        </w:tc>
      </w:tr>
      <w:tr>
        <w:trPr/>
        <w:tc>
          <w:tcPr>
            <w:tcW w:w="31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John Celebi</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Erin Colgan</w:t>
            </w:r>
          </w:p>
        </w:tc>
      </w:tr>
      <w:tr>
        <w:trPr/>
        <w:tc>
          <w:tcPr>
            <w:tcW w:w="31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b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br/>
              <w:t>(Principal Financial Officer)</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02/000119312521037280/d95909dex31.htm" TargetMode="External"/><Relationship Id="rId3" Type="http://schemas.openxmlformats.org/officeDocument/2006/relationships/hyperlink" Target="https://www.sec.gov/Archives/edgar/data/1829802/000119312522301836/d514100dex31.htm" TargetMode="External"/><Relationship Id="rId4" Type="http://schemas.openxmlformats.org/officeDocument/2006/relationships/hyperlink" Target="https://www.sec.gov/Archives/edgar/data/1829802/000119312523063093/d470819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50603</Words>
  <Characters>283310</Characters>
  <CharactersWithSpaces>334311</CharactersWithSpaces>
  <Paragraphs>5026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