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13d-101)</w:t>
      </w:r>
    </w:p>
    <w:p>
      <w:pPr>
        <w:spacing w:after="0" w:line="205" w:lineRule="exact"/>
        <w:rPr>
          <w:sz w:val="24"/>
          <w:szCs w:val="24"/>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240.13d-1(a) AND AMENDMENTS THERETO FILED PURSUANT TO § 240.13d-2(a)</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w:t>
      </w:r>
      <w:r>
        <w:rPr>
          <w:rFonts w:ascii="Times New Roman" w:cs="Times New Roman" w:eastAsia="Times New Roman" w:hAnsi="Times New Roman"/>
          <w:sz w:val="29"/>
          <w:szCs w:val="29"/>
          <w:color w:val="auto"/>
          <w:vertAlign w:val="superscript"/>
        </w:rPr>
        <w:t>1</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Sensei Biotherapeutics,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Common Stock, $0.0001 par value per share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81728A108</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NEWTYN MANAGEMENT, LLC</w:t>
      </w:r>
    </w:p>
    <w:p>
      <w:pPr>
        <w:ind w:left="4800"/>
        <w:spacing w:after="0" w:line="205" w:lineRule="auto"/>
        <w:rPr>
          <w:sz w:val="20"/>
          <w:szCs w:val="20"/>
          <w:color w:val="auto"/>
        </w:rPr>
      </w:pPr>
      <w:r>
        <w:rPr>
          <w:rFonts w:ascii="Times New Roman" w:cs="Times New Roman" w:eastAsia="Times New Roman" w:hAnsi="Times New Roman"/>
          <w:sz w:val="18"/>
          <w:szCs w:val="18"/>
          <w:color w:val="auto"/>
        </w:rPr>
        <w:t>60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10165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(212) 446-2465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5, 2024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8" w:lineRule="exact"/>
        <w:rPr>
          <w:sz w:val="24"/>
          <w:szCs w:val="24"/>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80" w:type="dxa"/>
            <w:vAlign w:val="bottom"/>
            <w:tcBorders>
              <w:top w:val="single" w:sz="8" w:color="auto"/>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auto"/>
              <w:right w:val="single" w:sz="8" w:color="auto"/>
            </w:tcBorders>
          </w:tcPr>
          <w:p>
            <w:pPr>
              <w:spacing w:after="0"/>
              <w:rPr>
                <w:sz w:val="22"/>
                <w:szCs w:val="22"/>
                <w:color w:val="auto"/>
              </w:rPr>
            </w:pPr>
          </w:p>
        </w:tc>
        <w:tc>
          <w:tcPr>
            <w:tcW w:w="9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Newtyn Partners, LP</w:t>
            </w: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162"/>
        </w:trPr>
        <w:tc>
          <w:tcPr>
            <w:tcW w:w="480" w:type="dxa"/>
            <w:vAlign w:val="bottom"/>
            <w:tcBorders>
              <w:left w:val="single" w:sz="8" w:color="auto"/>
            </w:tcBorders>
          </w:tcPr>
          <w:p>
            <w:pPr>
              <w:jc w:val="center"/>
              <w:ind w:left="150"/>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right w:val="single" w:sz="8" w:color="auto"/>
            </w:tcBorders>
          </w:tcPr>
          <w:p>
            <w:pPr>
              <w:spacing w:after="0"/>
              <w:rPr>
                <w:sz w:val="14"/>
                <w:szCs w:val="14"/>
                <w:color w:val="auto"/>
              </w:rPr>
            </w:pPr>
          </w:p>
        </w:tc>
        <w:tc>
          <w:tcPr>
            <w:tcW w:w="916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68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360" w:type="dxa"/>
            <w:vAlign w:val="bottom"/>
            <w:tcBorders>
              <w:right w:val="single" w:sz="8" w:color="auto"/>
            </w:tcBorders>
          </w:tcPr>
          <w:p>
            <w:pPr>
              <w:ind w:left="6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52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SOURCE OF FUNDS</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r>
      <w:tr>
        <w:trPr>
          <w:trHeight w:val="42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554,493</w:t>
            </w:r>
          </w:p>
        </w:tc>
        <w:tc>
          <w:tcPr>
            <w:tcW w:w="1360" w:type="dxa"/>
            <w:vAlign w:val="bottom"/>
            <w:tcBorders>
              <w:bottom w:val="single" w:sz="8" w:color="auto"/>
              <w:right w:val="single" w:sz="8" w:color="auto"/>
            </w:tcBorders>
          </w:tcPr>
          <w:p>
            <w:pPr>
              <w:spacing w:after="0"/>
              <w:rPr>
                <w:sz w:val="20"/>
                <w:szCs w:val="20"/>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0"/>
                <w:szCs w:val="20"/>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554,493</w:t>
            </w: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554,493</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2.21%</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80" w:type="dxa"/>
            <w:vAlign w:val="bottom"/>
            <w:tcBorders>
              <w:top w:val="single" w:sz="8" w:color="auto"/>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auto"/>
              <w:right w:val="single" w:sz="8" w:color="auto"/>
            </w:tcBorders>
          </w:tcPr>
          <w:p>
            <w:pPr>
              <w:spacing w:after="0"/>
              <w:rPr>
                <w:sz w:val="22"/>
                <w:szCs w:val="22"/>
                <w:color w:val="auto"/>
              </w:rPr>
            </w:pPr>
          </w:p>
        </w:tc>
        <w:tc>
          <w:tcPr>
            <w:tcW w:w="9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Newtyn TE Partners, LP</w:t>
            </w:r>
          </w:p>
        </w:tc>
        <w:tc>
          <w:tcPr>
            <w:tcW w:w="1360" w:type="dxa"/>
            <w:vAlign w:val="bottom"/>
            <w:tcBorders>
              <w:bottom w:val="single" w:sz="8" w:color="auto"/>
              <w:right w:val="single" w:sz="8" w:color="auto"/>
            </w:tcBorders>
          </w:tcPr>
          <w:p>
            <w:pPr>
              <w:spacing w:after="0"/>
              <w:rPr>
                <w:sz w:val="24"/>
                <w:szCs w:val="24"/>
                <w:color w:val="auto"/>
              </w:rPr>
            </w:pPr>
          </w:p>
        </w:tc>
      </w:tr>
      <w:tr>
        <w:trPr>
          <w:trHeight w:val="162"/>
        </w:trPr>
        <w:tc>
          <w:tcPr>
            <w:tcW w:w="480" w:type="dxa"/>
            <w:vAlign w:val="bottom"/>
            <w:tcBorders>
              <w:left w:val="single" w:sz="8" w:color="auto"/>
            </w:tcBorders>
          </w:tcPr>
          <w:p>
            <w:pPr>
              <w:jc w:val="center"/>
              <w:ind w:left="150"/>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right w:val="single" w:sz="8" w:color="auto"/>
            </w:tcBorders>
          </w:tcPr>
          <w:p>
            <w:pPr>
              <w:spacing w:after="0"/>
              <w:rPr>
                <w:sz w:val="14"/>
                <w:szCs w:val="14"/>
                <w:color w:val="auto"/>
              </w:rPr>
            </w:pPr>
          </w:p>
        </w:tc>
        <w:tc>
          <w:tcPr>
            <w:tcW w:w="916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68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360" w:type="dxa"/>
            <w:vAlign w:val="bottom"/>
            <w:tcBorders>
              <w:right w:val="single" w:sz="8" w:color="auto"/>
            </w:tcBorders>
          </w:tcPr>
          <w:p>
            <w:pPr>
              <w:ind w:left="6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52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SOURCE OF FUNDS</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r>
      <w:tr>
        <w:trPr>
          <w:trHeight w:val="42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687,752</w:t>
            </w:r>
          </w:p>
        </w:tc>
        <w:tc>
          <w:tcPr>
            <w:tcW w:w="1360" w:type="dxa"/>
            <w:vAlign w:val="bottom"/>
            <w:tcBorders>
              <w:bottom w:val="single" w:sz="8" w:color="auto"/>
              <w:right w:val="single" w:sz="8" w:color="auto"/>
            </w:tcBorders>
          </w:tcPr>
          <w:p>
            <w:pPr>
              <w:spacing w:after="0"/>
              <w:rPr>
                <w:sz w:val="20"/>
                <w:szCs w:val="20"/>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0"/>
                <w:szCs w:val="20"/>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687,752</w:t>
            </w: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687,752</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2.74%</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80" w:type="dxa"/>
            <w:vAlign w:val="bottom"/>
            <w:tcBorders>
              <w:top w:val="single" w:sz="8" w:color="auto"/>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auto"/>
              <w:right w:val="single" w:sz="8" w:color="auto"/>
            </w:tcBorders>
          </w:tcPr>
          <w:p>
            <w:pPr>
              <w:spacing w:after="0"/>
              <w:rPr>
                <w:sz w:val="22"/>
                <w:szCs w:val="22"/>
                <w:color w:val="auto"/>
              </w:rPr>
            </w:pPr>
          </w:p>
        </w:tc>
        <w:tc>
          <w:tcPr>
            <w:tcW w:w="9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Newtyn Management, LLC</w:t>
            </w:r>
          </w:p>
        </w:tc>
        <w:tc>
          <w:tcPr>
            <w:tcW w:w="1360" w:type="dxa"/>
            <w:vAlign w:val="bottom"/>
            <w:tcBorders>
              <w:bottom w:val="single" w:sz="8" w:color="auto"/>
              <w:right w:val="single" w:sz="8" w:color="auto"/>
            </w:tcBorders>
          </w:tcPr>
          <w:p>
            <w:pPr>
              <w:spacing w:after="0"/>
              <w:rPr>
                <w:sz w:val="24"/>
                <w:szCs w:val="24"/>
                <w:color w:val="auto"/>
              </w:rPr>
            </w:pPr>
          </w:p>
        </w:tc>
      </w:tr>
      <w:tr>
        <w:trPr>
          <w:trHeight w:val="162"/>
        </w:trPr>
        <w:tc>
          <w:tcPr>
            <w:tcW w:w="480" w:type="dxa"/>
            <w:vAlign w:val="bottom"/>
            <w:tcBorders>
              <w:left w:val="single" w:sz="8" w:color="auto"/>
            </w:tcBorders>
          </w:tcPr>
          <w:p>
            <w:pPr>
              <w:jc w:val="center"/>
              <w:ind w:left="150"/>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right w:val="single" w:sz="8" w:color="auto"/>
            </w:tcBorders>
          </w:tcPr>
          <w:p>
            <w:pPr>
              <w:spacing w:after="0"/>
              <w:rPr>
                <w:sz w:val="14"/>
                <w:szCs w:val="14"/>
                <w:color w:val="auto"/>
              </w:rPr>
            </w:pPr>
          </w:p>
        </w:tc>
        <w:tc>
          <w:tcPr>
            <w:tcW w:w="916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68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360" w:type="dxa"/>
            <w:vAlign w:val="bottom"/>
            <w:tcBorders>
              <w:right w:val="single" w:sz="8" w:color="auto"/>
            </w:tcBorders>
          </w:tcPr>
          <w:p>
            <w:pPr>
              <w:ind w:left="6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52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SOURCE OF FUNDS</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r>
      <w:tr>
        <w:trPr>
          <w:trHeight w:val="42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1360" w:type="dxa"/>
            <w:vAlign w:val="bottom"/>
            <w:tcBorders>
              <w:bottom w:val="single" w:sz="8" w:color="auto"/>
              <w:right w:val="single" w:sz="8" w:color="auto"/>
            </w:tcBorders>
          </w:tcPr>
          <w:p>
            <w:pPr>
              <w:spacing w:after="0"/>
              <w:rPr>
                <w:sz w:val="20"/>
                <w:szCs w:val="20"/>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0"/>
                <w:szCs w:val="20"/>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4.95%</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80" w:type="dxa"/>
            <w:vAlign w:val="bottom"/>
            <w:tcBorders>
              <w:top w:val="single" w:sz="8" w:color="auto"/>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auto"/>
              <w:right w:val="single" w:sz="8" w:color="auto"/>
            </w:tcBorders>
          </w:tcPr>
          <w:p>
            <w:pPr>
              <w:spacing w:after="0"/>
              <w:rPr>
                <w:sz w:val="22"/>
                <w:szCs w:val="22"/>
                <w:color w:val="auto"/>
              </w:rPr>
            </w:pPr>
          </w:p>
        </w:tc>
        <w:tc>
          <w:tcPr>
            <w:tcW w:w="9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Newtyn Capital Partners, LP</w:t>
            </w:r>
          </w:p>
        </w:tc>
        <w:tc>
          <w:tcPr>
            <w:tcW w:w="1360" w:type="dxa"/>
            <w:vAlign w:val="bottom"/>
            <w:tcBorders>
              <w:bottom w:val="single" w:sz="8" w:color="auto"/>
              <w:right w:val="single" w:sz="8" w:color="auto"/>
            </w:tcBorders>
          </w:tcPr>
          <w:p>
            <w:pPr>
              <w:spacing w:after="0"/>
              <w:rPr>
                <w:sz w:val="24"/>
                <w:szCs w:val="24"/>
                <w:color w:val="auto"/>
              </w:rPr>
            </w:pPr>
          </w:p>
        </w:tc>
      </w:tr>
      <w:tr>
        <w:trPr>
          <w:trHeight w:val="162"/>
        </w:trPr>
        <w:tc>
          <w:tcPr>
            <w:tcW w:w="480" w:type="dxa"/>
            <w:vAlign w:val="bottom"/>
            <w:tcBorders>
              <w:left w:val="single" w:sz="8" w:color="auto"/>
            </w:tcBorders>
          </w:tcPr>
          <w:p>
            <w:pPr>
              <w:jc w:val="center"/>
              <w:ind w:left="150"/>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right w:val="single" w:sz="8" w:color="auto"/>
            </w:tcBorders>
          </w:tcPr>
          <w:p>
            <w:pPr>
              <w:spacing w:after="0"/>
              <w:rPr>
                <w:sz w:val="14"/>
                <w:szCs w:val="14"/>
                <w:color w:val="auto"/>
              </w:rPr>
            </w:pPr>
          </w:p>
        </w:tc>
        <w:tc>
          <w:tcPr>
            <w:tcW w:w="916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68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360" w:type="dxa"/>
            <w:vAlign w:val="bottom"/>
            <w:tcBorders>
              <w:right w:val="single" w:sz="8" w:color="auto"/>
            </w:tcBorders>
          </w:tcPr>
          <w:p>
            <w:pPr>
              <w:ind w:left="6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52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SOURCE OF FUNDS</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r>
      <w:tr>
        <w:trPr>
          <w:trHeight w:val="42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1360" w:type="dxa"/>
            <w:vAlign w:val="bottom"/>
            <w:tcBorders>
              <w:bottom w:val="single" w:sz="8" w:color="auto"/>
              <w:right w:val="single" w:sz="8" w:color="auto"/>
            </w:tcBorders>
          </w:tcPr>
          <w:p>
            <w:pPr>
              <w:spacing w:after="0"/>
              <w:rPr>
                <w:sz w:val="20"/>
                <w:szCs w:val="20"/>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0"/>
                <w:szCs w:val="20"/>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4.95%</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80" w:type="dxa"/>
            <w:vAlign w:val="bottom"/>
            <w:tcBorders>
              <w:top w:val="single" w:sz="8" w:color="auto"/>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auto"/>
              <w:right w:val="single" w:sz="8" w:color="auto"/>
            </w:tcBorders>
          </w:tcPr>
          <w:p>
            <w:pPr>
              <w:spacing w:after="0"/>
              <w:rPr>
                <w:sz w:val="22"/>
                <w:szCs w:val="22"/>
                <w:color w:val="auto"/>
              </w:rPr>
            </w:pPr>
          </w:p>
        </w:tc>
        <w:tc>
          <w:tcPr>
            <w:tcW w:w="9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Ledo Capital, LLC</w:t>
            </w: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162"/>
        </w:trPr>
        <w:tc>
          <w:tcPr>
            <w:tcW w:w="480" w:type="dxa"/>
            <w:vAlign w:val="bottom"/>
            <w:tcBorders>
              <w:left w:val="single" w:sz="8" w:color="auto"/>
            </w:tcBorders>
          </w:tcPr>
          <w:p>
            <w:pPr>
              <w:jc w:val="center"/>
              <w:ind w:left="150"/>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right w:val="single" w:sz="8" w:color="auto"/>
            </w:tcBorders>
          </w:tcPr>
          <w:p>
            <w:pPr>
              <w:spacing w:after="0"/>
              <w:rPr>
                <w:sz w:val="14"/>
                <w:szCs w:val="14"/>
                <w:color w:val="auto"/>
              </w:rPr>
            </w:pPr>
          </w:p>
        </w:tc>
        <w:tc>
          <w:tcPr>
            <w:tcW w:w="916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68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360" w:type="dxa"/>
            <w:vAlign w:val="bottom"/>
            <w:tcBorders>
              <w:right w:val="single" w:sz="8" w:color="auto"/>
            </w:tcBorders>
          </w:tcPr>
          <w:p>
            <w:pPr>
              <w:ind w:left="6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52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SOURCE OF FUNDS</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r>
      <w:tr>
        <w:trPr>
          <w:trHeight w:val="42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1360" w:type="dxa"/>
            <w:vAlign w:val="bottom"/>
            <w:tcBorders>
              <w:bottom w:val="single" w:sz="8" w:color="auto"/>
              <w:right w:val="single" w:sz="8" w:color="auto"/>
            </w:tcBorders>
          </w:tcPr>
          <w:p>
            <w:pPr>
              <w:spacing w:after="0"/>
              <w:rPr>
                <w:sz w:val="20"/>
                <w:szCs w:val="20"/>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0"/>
                <w:szCs w:val="20"/>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4.95%</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80" w:type="dxa"/>
            <w:vAlign w:val="bottom"/>
            <w:tcBorders>
              <w:top w:val="single" w:sz="8" w:color="auto"/>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auto"/>
              <w:right w:val="single" w:sz="8" w:color="auto"/>
            </w:tcBorders>
          </w:tcPr>
          <w:p>
            <w:pPr>
              <w:spacing w:after="0"/>
              <w:rPr>
                <w:sz w:val="22"/>
                <w:szCs w:val="22"/>
                <w:color w:val="auto"/>
              </w:rPr>
            </w:pPr>
          </w:p>
        </w:tc>
        <w:tc>
          <w:tcPr>
            <w:tcW w:w="91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Noah Levy</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162"/>
        </w:trPr>
        <w:tc>
          <w:tcPr>
            <w:tcW w:w="480" w:type="dxa"/>
            <w:vAlign w:val="bottom"/>
            <w:tcBorders>
              <w:left w:val="single" w:sz="8" w:color="auto"/>
            </w:tcBorders>
          </w:tcPr>
          <w:p>
            <w:pPr>
              <w:jc w:val="center"/>
              <w:ind w:left="150"/>
              <w:spacing w:after="0" w:line="162" w:lineRule="exact"/>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right w:val="single" w:sz="8" w:color="auto"/>
            </w:tcBorders>
          </w:tcPr>
          <w:p>
            <w:pPr>
              <w:spacing w:after="0"/>
              <w:rPr>
                <w:sz w:val="14"/>
                <w:szCs w:val="14"/>
                <w:color w:val="auto"/>
              </w:rPr>
            </w:pPr>
          </w:p>
        </w:tc>
        <w:tc>
          <w:tcPr>
            <w:tcW w:w="916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68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360" w:type="dxa"/>
            <w:vAlign w:val="bottom"/>
            <w:tcBorders>
              <w:right w:val="single" w:sz="8" w:color="auto"/>
            </w:tcBorders>
          </w:tcPr>
          <w:p>
            <w:pPr>
              <w:ind w:left="6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52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Borders>
              <w:right w:val="single" w:sz="8" w:color="auto"/>
            </w:tcBorders>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SOURCE OF FUNDS</w:t>
            </w:r>
          </w:p>
        </w:tc>
        <w:tc>
          <w:tcPr>
            <w:tcW w:w="75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USA</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r>
      <w:tr>
        <w:trPr>
          <w:trHeight w:val="42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8</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1360" w:type="dxa"/>
            <w:vAlign w:val="bottom"/>
            <w:tcBorders>
              <w:bottom w:val="single" w:sz="8" w:color="auto"/>
              <w:right w:val="single" w:sz="8" w:color="auto"/>
            </w:tcBorders>
          </w:tcPr>
          <w:p>
            <w:pPr>
              <w:spacing w:after="0"/>
              <w:rPr>
                <w:sz w:val="20"/>
                <w:szCs w:val="20"/>
                <w:color w:val="auto"/>
              </w:rPr>
            </w:pPr>
          </w:p>
        </w:tc>
      </w:tr>
      <w:tr>
        <w:trPr>
          <w:trHeight w:val="198"/>
        </w:trPr>
        <w:tc>
          <w:tcPr>
            <w:tcW w:w="480" w:type="dxa"/>
            <w:vAlign w:val="bottom"/>
            <w:tcBorders>
              <w:left w:val="single" w:sz="8" w:color="auto"/>
            </w:tcBorders>
          </w:tcPr>
          <w:p>
            <w:pPr>
              <w:spacing w:after="0"/>
              <w:rPr>
                <w:sz w:val="17"/>
                <w:szCs w:val="17"/>
                <w:color w:val="auto"/>
              </w:rPr>
            </w:pPr>
          </w:p>
        </w:tc>
        <w:tc>
          <w:tcPr>
            <w:tcW w:w="1200" w:type="dxa"/>
            <w:vAlign w:val="bottom"/>
            <w:tcBorders>
              <w:right w:val="single" w:sz="8" w:color="auto"/>
            </w:tcBorders>
            <w:gridSpan w:val="2"/>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7"/>
                <w:szCs w:val="17"/>
                <w:color w:val="auto"/>
              </w:rPr>
            </w:pPr>
          </w:p>
        </w:tc>
      </w:tr>
      <w:tr>
        <w:trPr>
          <w:trHeight w:val="216"/>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680" w:type="dxa"/>
            <w:vAlign w:val="bottom"/>
            <w:tcBorders>
              <w:bottom w:val="single" w:sz="8" w:color="auto"/>
              <w:right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Borders>
              <w:bottom w:val="single" w:sz="8" w:color="auto"/>
              <w:right w:val="single" w:sz="8" w:color="auto"/>
            </w:tcBorders>
          </w:tcPr>
          <w:p>
            <w:pPr>
              <w:spacing w:after="0"/>
              <w:rPr>
                <w:sz w:val="20"/>
                <w:szCs w:val="20"/>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1,242,245</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303"/>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4.95%</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34"/>
        </w:trPr>
        <w:tc>
          <w:tcPr>
            <w:tcW w:w="480" w:type="dxa"/>
            <w:vAlign w:val="bottom"/>
            <w:tcBorders>
              <w:left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Borders>
              <w:right w:val="single" w:sz="8" w:color="auto"/>
            </w:tcBorders>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r>
      <w:tr>
        <w:trPr>
          <w:trHeight w:val="421"/>
        </w:trPr>
        <w:tc>
          <w:tcPr>
            <w:tcW w:w="4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the Schedule 13D filed by the undersigned (the “Schedule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u w:val="single" w:color="auto"/>
          <w:color w:val="auto"/>
        </w:rPr>
        <w:t>Security and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statement relates to the Common Stock, $0.0001 par value per share (the “Shares”), of Sensei Biotherapeutics, Inc., a Delaware corporation (the “Issuer”). The address of the principal executive offices of the Issuer is 1405 Research Blvd, Suite 125, Rockville, Maryland 20850.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u w:val="single" w:color="auto"/>
          <w:color w:val="auto"/>
        </w:rPr>
        <w:t>Identity and Background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filed by:</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Newtyn Partners, LP, a Delaware limited partnership (“NP”), with respect to the Shares directly and beneficially owned by it;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Newtyn TE Partners, LP, a Delaware limited partnership (“NTE”), with respect to the Shares directly and beneficially owned by it;</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Newtyn Management, LLC, a New York limited liability company (“NM”), as the investment manager of each of NP and NTE;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Newtyn Capital Partners, LP, a Delaware limited partnership (“NCP”), as the general partner of each of NP and NTE;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Ledo Capital, LLC, a New York limited liability company (“Ledo”), as the general partner of NCP; and</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Noah Levy, as the managing member of each of NM and Ledo.</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65" w:lineRule="exact"/>
        <w:rPr>
          <w:sz w:val="20"/>
          <w:szCs w:val="20"/>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each of the Reporting Persons is 60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10165.</w:t>
      </w:r>
    </w:p>
    <w:p>
      <w:pPr>
        <w:spacing w:after="0" w:line="13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each of NP and NTE is investing in securities. The principal business of NM is serving as the investment manager of each of NP and NTE. The principal business of NCP is serving as the general partner of each of NP and NTE. The principal business of Ledo is serving as the general partner of NCP. The principal occupation of Mr. Levy is serving as the managing member of each of NM and Ledo.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has, during the last five (5)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has, during the last five (5)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Levy is a citizen of the United States of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Shares purchased by each of NP and NTE were purchased with working capital (which may, at any given time, include margin loans made by brokerage firms in the ordinary course of business). The aggregate purchase price of the 554,493 Shares beneficially owned by NP is approximately $807,535, including brokerage commissions. The aggregate purchase price of the 687,752 Shares beneficially owned by NTE is approximately $1,031,194, including brokerage commissions.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u w:val="single" w:color="auto"/>
          <w:color w:val="auto"/>
        </w:rPr>
        <w:t>Purpose of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Reporting Persons purchased the Shares based on their belief that the Shares, when purchased, constituted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On October 25, 2023, the Reporting Persons delivered a letter (the “Offer Letter”) to the Board of Directors (the “Board”) of the Issuer conveying a proposal to acquire 100% of the Issuer’s outstanding Shares at a price equal to $1.00 per share in cash, representing a premium of approximately 67% over the closing price as of the close of business on October 25, 2023 (the “Proposal”). The Reporting Persons submitted the Proposal to the Board in order to facilitate constructive discussions, with the goal of entering into a mutually agreeable transaction that is in the best interests of all stockholders. A copy of the Offer Letter is attached hereto as Exhibit 99.1 and is incorporated herein by reference. On November 6, 2023, the Board rejected the Proposal.</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Reporting Persons do not have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Depending on various factors including, without limitation, the Issuer’s financial position, results and strategic direction, actions taken by the Issuer’s management and the Board, other investment opportunities available to the Reporting Persons,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and information exchanges with the Issuer’s management and Board, engaging in discussions with shareholders of the Issuer or other third parties about the Issuer and the Reporting Persons’ investment, making recommendations concerning changes to the Issuer’s operations, governance or capitalization, potential business combinations or dispositions involving the Issuer or certain of its businesses, or suggestions for improving the Issuer’s financial and/or operational performance, acquiring additional Shares, disposing of some or all of Shares, or changing their intention with respect to any and all matters referred to in Item 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u w:val="single" w:color="auto"/>
          <w:color w:val="auto"/>
        </w:rPr>
        <w:t>Interest in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aggregate percentage of Shares reported owned by each person named herein is based upon 25,070,980 Shares outstanding as of February 23, 2024, which is the total number of Shares outstanding as reported in the Issuer’s Annual Report on Form 10-K filed with the Securities and Exchange Commission on February 29,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w:t>
      </w:r>
    </w:p>
    <w:p>
      <w:pPr>
        <w:spacing w:after="0" w:line="225" w:lineRule="exact"/>
        <w:rPr>
          <w:sz w:val="20"/>
          <w:szCs w:val="20"/>
          <w:color w:val="auto"/>
        </w:rPr>
      </w:pPr>
    </w:p>
    <w:p>
      <w:pPr>
        <w:ind w:left="660" w:right="6440" w:hanging="652"/>
        <w:spacing w:after="0" w:line="50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NP directly owned 554,493 Shares. Percentage: Approximately 2.21%</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554,493</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554,493</w:t>
      </w:r>
    </w:p>
    <w:p>
      <w:pPr>
        <w:spacing w:after="0" w:line="20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NTE</w:t>
      </w:r>
    </w:p>
    <w:p>
      <w:pPr>
        <w:spacing w:after="0" w:line="225" w:lineRule="exact"/>
        <w:rPr>
          <w:sz w:val="20"/>
          <w:szCs w:val="20"/>
          <w:color w:val="auto"/>
        </w:rPr>
      </w:pPr>
    </w:p>
    <w:p>
      <w:pPr>
        <w:ind w:left="660" w:right="6320" w:hanging="652"/>
        <w:spacing w:after="0" w:line="50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NTE directly owned 687,752 Shares. Percentage: Approximately 2.74%</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687,752</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687,752</w:t>
      </w:r>
    </w:p>
    <w:p>
      <w:pPr>
        <w:spacing w:after="0" w:line="20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w:t>
      </w:r>
    </w:p>
    <w:p>
      <w:pPr>
        <w:spacing w:after="0" w:line="225" w:lineRule="exact"/>
        <w:rPr>
          <w:sz w:val="20"/>
          <w:szCs w:val="20"/>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as the investment manager of each of NP and NTE, may be deemed to beneficially own the 1,242,245 Shares owned in the aggregate by NP and NTE.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4.95%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1,242,245</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1,242,245</w:t>
      </w:r>
    </w:p>
    <w:p>
      <w:pPr>
        <w:spacing w:after="0" w:line="20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NCP</w:t>
      </w:r>
    </w:p>
    <w:p>
      <w:pPr>
        <w:spacing w:after="0" w:line="225" w:lineRule="exact"/>
        <w:rPr>
          <w:sz w:val="20"/>
          <w:szCs w:val="20"/>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NCP, as the general partner of each of NP and NTE, may be deemed to beneficially own the 1,242,245 Shares owned in the aggregate by NP and NTE.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4.95%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1,242,245</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1,242,245</w:t>
      </w:r>
    </w:p>
    <w:p>
      <w:pPr>
        <w:spacing w:after="0" w:line="20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Ledo</w:t>
      </w:r>
    </w:p>
    <w:p>
      <w:pPr>
        <w:spacing w:after="0" w:line="2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Ledo, as the general partner to NCP, may be deemed to beneficially own the 1,242,245 Shares owned in the aggregate by NP and NTE.</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Percentage: Approximately 4.95%</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1,242,245</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1,242,245</w:t>
      </w:r>
    </w:p>
    <w:p>
      <w:pPr>
        <w:spacing w:after="0" w:line="20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Levy</w:t>
      </w:r>
    </w:p>
    <w:p>
      <w:pPr>
        <w:spacing w:after="0" w:line="225" w:lineRule="exact"/>
        <w:rPr>
          <w:sz w:val="20"/>
          <w:szCs w:val="20"/>
          <w:color w:val="auto"/>
        </w:rPr>
      </w:pPr>
    </w:p>
    <w:p>
      <w:pPr>
        <w:ind w:left="660" w:right="2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Levy, as managing member of each of NM and Ledo, may be deemed to beneficially own the 1,242,245 Shares owned in the aggregate by NP and NTE.</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4.95%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1,242,245</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1,242,245</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76" w:lineRule="exact"/>
        <w:rPr>
          <w:sz w:val="20"/>
          <w:szCs w:val="20"/>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Shares during the past 60 days by certain of the Reporting Persons are set forth on Schedule A attached hereto and are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proceeds from the sale of, the Shares.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5, 2024, each of the Reporting Persons ceased to be the beneficial owner of more than 5% of the Issuer’s outstanding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On November 3, 2023, the Reporting Persons entered into a Joint Filing Agreement in which the Reporting Persons agreed to the joint filing on behalf of each of them of statements on Schedule 13D with respect to the securities of the Issuer. The Joint Filing Agreement is attached hereto as Exhibit 99.1 and is incorporated herein by reference.</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7.  </w:t>
      </w:r>
      <w:r>
        <w:rPr>
          <w:rFonts w:ascii="Times New Roman" w:cs="Times New Roman" w:eastAsia="Times New Roman" w:hAnsi="Times New Roman"/>
          <w:sz w:val="18"/>
          <w:szCs w:val="18"/>
          <w:u w:val="single" w:color="auto"/>
          <w:color w:val="auto"/>
        </w:rPr>
        <w:t>Material to be Filed as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17">
        <w:r>
          <w:rPr>
            <w:rFonts w:ascii="Times New Roman" w:cs="Times New Roman" w:eastAsia="Times New Roman" w:hAnsi="Times New Roman"/>
            <w:sz w:val="18"/>
            <w:szCs w:val="18"/>
            <w:u w:val="single" w:color="auto"/>
            <w:color w:val="0000EE"/>
          </w:rPr>
          <w:t xml:space="preserve">Offer Letter, dated October 25, 2023 </w:t>
        </w:r>
        <w:r>
          <w:rPr>
            <w:rFonts w:ascii="Times New Roman" w:cs="Times New Roman" w:eastAsia="Times New Roman" w:hAnsi="Times New Roman"/>
            <w:sz w:val="18"/>
            <w:szCs w:val="18"/>
            <w:u w:val="single" w:color="auto"/>
            <w:color w:val="0000EE"/>
            <w:highlight w:val="white"/>
          </w:rPr>
          <w:t>(incorporated by reference to Exhibit 99.1 to Schedule 13D filed by Newtyn Partners, LP, Newtyn TE</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Partners, LP, Newtyn Management, LLC, Newtyn Capital Partners, LP, Ledo Capital, LLC and Noah Levy on November 3, 2023).</w:t>
        </w:r>
      </w:hyperlink>
    </w:p>
    <w:p>
      <w:pPr>
        <w:spacing w:after="0" w:line="162" w:lineRule="exact"/>
        <w:rPr>
          <w:sz w:val="20"/>
          <w:szCs w:val="20"/>
          <w:color w:val="auto"/>
        </w:rPr>
      </w:pPr>
    </w:p>
    <w:p>
      <w:pPr>
        <w:jc w:val="both"/>
        <w:ind w:left="660" w:hanging="647"/>
        <w:spacing w:after="0" w:line="282"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18">
        <w:r>
          <w:rPr>
            <w:rFonts w:ascii="Times New Roman" w:cs="Times New Roman" w:eastAsia="Times New Roman" w:hAnsi="Times New Roman"/>
            <w:sz w:val="18"/>
            <w:szCs w:val="18"/>
            <w:u w:val="single" w:color="auto"/>
            <w:color w:val="0000EE"/>
          </w:rPr>
          <w:t xml:space="preserve">Joint Filing Agreement, dated November 3, 2023 </w:t>
        </w:r>
        <w:r>
          <w:rPr>
            <w:rFonts w:ascii="Times New Roman" w:cs="Times New Roman" w:eastAsia="Times New Roman" w:hAnsi="Times New Roman"/>
            <w:sz w:val="18"/>
            <w:szCs w:val="18"/>
            <w:u w:val="single" w:color="auto"/>
            <w:color w:val="0000EE"/>
            <w:highlight w:val="white"/>
          </w:rPr>
          <w:t>(incorporated by reference to Exhibit 99.2 to Schedule 13D filed by Newtyn Partners, LP,</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 xml:space="preserve">Newtyn TE Partners, LP, Newtyn Management, LLC, Newtyn Capital Partners, LP, Ledo Capital, LLC and Noah Levy </w:t>
        </w:r>
        <w:r>
          <w:rPr>
            <w:rFonts w:ascii="Times New Roman" w:cs="Times New Roman" w:eastAsia="Times New Roman" w:hAnsi="Times New Roman"/>
            <w:sz w:val="18"/>
            <w:szCs w:val="18"/>
            <w:u w:val="single" w:color="auto"/>
            <w:color w:val="0000EE"/>
            <w:highlight w:val="white"/>
          </w:rPr>
          <w:t>on November 3, 2023).</w:t>
        </w:r>
      </w:hyperlink>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Newtyn Partners,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Newtyn Management, LLC Investment Manager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Eugene Dozortsev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Eugene Dozortsev</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Newtyn TE Partners,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Newtyn Management, LLC Investment Manager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Eugene Dozortsev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Eugene Dozortsev</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Newtyn Management,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Eugene Dozortsev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Eugene Dozortsev</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Newtyn Capital Partners,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Ledo Capital, LLC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Eugene Dozortsev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Eugene Dozortsev</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Ledo Capital,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Eugene Dozortsev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Eugene Dozortsev</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Noah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Noah Levy</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CUSIP No. 81728A108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transactions by the Reporting Persons in Shares of Common Stock during the period commencing sixty (60) days prior to March 6,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Nature of the</w:t>
            </w:r>
          </w:p>
        </w:tc>
        <w:tc>
          <w:tcPr>
            <w:tcW w:w="35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Price Per</w:t>
            </w:r>
          </w:p>
        </w:tc>
        <w:tc>
          <w:tcPr>
            <w:tcW w:w="1140" w:type="dxa"/>
            <w:vAlign w:val="bottom"/>
          </w:tcPr>
          <w:p>
            <w:pPr>
              <w:spacing w:after="0"/>
              <w:rPr>
                <w:sz w:val="18"/>
                <w:szCs w:val="18"/>
                <w:color w:val="auto"/>
              </w:rPr>
            </w:pPr>
          </w:p>
        </w:tc>
        <w:tc>
          <w:tcPr>
            <w:tcW w:w="22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Date of</w:t>
            </w:r>
          </w:p>
        </w:tc>
      </w:tr>
      <w:tr>
        <w:trPr>
          <w:trHeight w:val="241"/>
        </w:trPr>
        <w:tc>
          <w:tcPr>
            <w:tcW w:w="33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Transaction</w:t>
            </w:r>
          </w:p>
        </w:tc>
        <w:tc>
          <w:tcPr>
            <w:tcW w:w="35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Purchased/(Sold)</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Share($)</w:t>
            </w:r>
          </w:p>
        </w:tc>
        <w:tc>
          <w:tcPr>
            <w:tcW w:w="1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Purchase / Sale</w:t>
            </w:r>
          </w:p>
        </w:tc>
      </w:tr>
      <w:tr>
        <w:trPr>
          <w:trHeight w:val="223"/>
        </w:trPr>
        <w:tc>
          <w:tcPr>
            <w:tcW w:w="33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NEWTYN PARTNERS, LP</w:t>
            </w: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(574)</w:t>
            </w: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0.8170</w:t>
            </w:r>
          </w:p>
        </w:tc>
        <w:tc>
          <w:tcPr>
            <w:tcW w:w="2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2/2/2024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(2,728)</w:t>
            </w:r>
          </w:p>
        </w:tc>
        <w:tc>
          <w:tcPr>
            <w:tcW w:w="96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0.8149</w:t>
            </w:r>
          </w:p>
        </w:tc>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2/5/2024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(18,136)</w:t>
            </w: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0.8342</w:t>
            </w:r>
          </w:p>
        </w:tc>
        <w:tc>
          <w:tcPr>
            <w:tcW w:w="2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2/6/2024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(31,389)</w:t>
            </w:r>
          </w:p>
        </w:tc>
        <w:tc>
          <w:tcPr>
            <w:tcW w:w="96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0.8244</w:t>
            </w:r>
          </w:p>
        </w:tc>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2/9/2024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0.8425</w:t>
            </w:r>
          </w:p>
        </w:tc>
        <w:tc>
          <w:tcPr>
            <w:tcW w:w="2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2/12/2024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(9,193)</w:t>
            </w:r>
          </w:p>
        </w:tc>
        <w:tc>
          <w:tcPr>
            <w:tcW w:w="96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0.7942</w:t>
            </w:r>
          </w:p>
        </w:tc>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2/13/2024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(10,010)</w:t>
            </w: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0.7725</w:t>
            </w:r>
          </w:p>
        </w:tc>
        <w:tc>
          <w:tcPr>
            <w:tcW w:w="2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2/16/2024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(13,250)</w:t>
            </w:r>
          </w:p>
        </w:tc>
        <w:tc>
          <w:tcPr>
            <w:tcW w:w="96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0.7735</w:t>
            </w:r>
          </w:p>
        </w:tc>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2/21/2024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(1,338)</w:t>
            </w: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0.7641</w:t>
            </w:r>
          </w:p>
        </w:tc>
        <w:tc>
          <w:tcPr>
            <w:tcW w:w="2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2/23/2024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0.7850</w:t>
            </w:r>
          </w:p>
        </w:tc>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2/26/2024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(22,892)</w:t>
            </w: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0.7824</w:t>
            </w:r>
          </w:p>
        </w:tc>
        <w:tc>
          <w:tcPr>
            <w:tcW w:w="2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2/27/2024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(31,373)</w:t>
            </w:r>
          </w:p>
        </w:tc>
        <w:tc>
          <w:tcPr>
            <w:tcW w:w="96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0.8398</w:t>
            </w:r>
          </w:p>
        </w:tc>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2/28/2024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(31,508)</w:t>
            </w: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0.8496</w:t>
            </w:r>
          </w:p>
        </w:tc>
        <w:tc>
          <w:tcPr>
            <w:tcW w:w="2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2/29/2024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(9,000)</w:t>
            </w:r>
          </w:p>
        </w:tc>
        <w:tc>
          <w:tcPr>
            <w:tcW w:w="96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0.8356</w:t>
            </w:r>
          </w:p>
        </w:tc>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3/1/2024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(53,441)</w:t>
            </w: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0.8746</w:t>
            </w:r>
          </w:p>
        </w:tc>
        <w:tc>
          <w:tcPr>
            <w:tcW w:w="2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3/4/2024</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(22,423)</w:t>
            </w:r>
          </w:p>
        </w:tc>
        <w:tc>
          <w:tcPr>
            <w:tcW w:w="9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0.8952</w:t>
            </w:r>
          </w:p>
        </w:tc>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3/5/2024</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transactions by the Reporting Persons in Shares of Common Stock during the period commencing March 6, 2024 through the filing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Nature of the</w:t>
            </w:r>
          </w:p>
        </w:tc>
        <w:tc>
          <w:tcPr>
            <w:tcW w:w="34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Securities</w:t>
            </w:r>
          </w:p>
        </w:tc>
        <w:tc>
          <w:tcPr>
            <w:tcW w:w="19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Price Per</w:t>
            </w:r>
          </w:p>
        </w:tc>
        <w:tc>
          <w:tcPr>
            <w:tcW w:w="2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Date of</w:t>
            </w:r>
          </w:p>
        </w:tc>
      </w:tr>
      <w:tr>
        <w:trPr>
          <w:trHeight w:val="241"/>
        </w:trPr>
        <w:tc>
          <w:tcPr>
            <w:tcW w:w="35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8"/>
              </w:rPr>
              <w:t>Transaction</w:t>
            </w:r>
          </w:p>
        </w:tc>
        <w:tc>
          <w:tcPr>
            <w:tcW w:w="34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Purchased/(Sold)</w:t>
            </w:r>
          </w:p>
        </w:tc>
        <w:tc>
          <w:tcPr>
            <w:tcW w:w="19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Share($)</w:t>
            </w:r>
          </w:p>
        </w:tc>
        <w:tc>
          <w:tcPr>
            <w:tcW w:w="23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Purchase / Sale</w:t>
            </w:r>
          </w:p>
        </w:tc>
      </w:tr>
      <w:tr>
        <w:trPr>
          <w:trHeight w:val="241"/>
        </w:trPr>
        <w:tc>
          <w:tcPr>
            <w:tcW w:w="3500" w:type="dxa"/>
            <w:vAlign w:val="bottom"/>
          </w:tcPr>
          <w:p>
            <w:pPr>
              <w:spacing w:after="0"/>
              <w:rPr>
                <w:sz w:val="20"/>
                <w:szCs w:val="20"/>
                <w:color w:val="auto"/>
              </w:rPr>
            </w:pPr>
          </w:p>
        </w:tc>
        <w:tc>
          <w:tcPr>
            <w:tcW w:w="3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NEWTYN PARTNERS, LP</w:t>
            </w:r>
          </w:p>
        </w:tc>
        <w:tc>
          <w:tcPr>
            <w:tcW w:w="19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1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(9,979)</w:t>
            </w:r>
          </w:p>
        </w:tc>
        <w:tc>
          <w:tcPr>
            <w:tcW w:w="19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0.9336</w:t>
            </w:r>
          </w:p>
        </w:tc>
        <w:tc>
          <w:tcPr>
            <w:tcW w:w="23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3/6/2024</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(13,041)</w:t>
            </w:r>
          </w:p>
        </w:tc>
        <w:tc>
          <w:tcPr>
            <w:tcW w:w="19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0.9437</w:t>
            </w:r>
          </w:p>
        </w:tc>
        <w:tc>
          <w:tcPr>
            <w:tcW w:w="2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3/7/2024</w:t>
            </w:r>
          </w:p>
        </w:tc>
      </w:tr>
      <w:tr>
        <w:trPr>
          <w:trHeight w:val="421"/>
        </w:trPr>
        <w:tc>
          <w:tcPr>
            <w:tcW w:w="3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1"/>
    </w:lvl>
    <w:lvl w:ilvl="1">
      <w:lvlJc w:val="left"/>
      <w:lvlText w:val="(%2)"/>
      <w:numFmt w:val="lowerLetter"/>
      <w:start w:val="1"/>
    </w:lvl>
  </w:abstractNum>
  <w:abstractNum w:abstractNumId="1">
    <w:nsid w:val="12200854"/>
    <w:multiLevelType w:val="hybridMultilevel"/>
    <w:lvl w:ilvl="0">
      <w:lvlJc w:val="left"/>
      <w:lvlText w:val="(%1)"/>
      <w:numFmt w:val="lowerRoman"/>
      <w:start w:val="1"/>
    </w:lvl>
    <w:lvl w:ilvl="1">
      <w:lvlJc w:val="left"/>
      <w:lvlText w:val="%2"/>
      <w:numFmt w:val="lowerLetter"/>
      <w:start w:val="1"/>
    </w:lvl>
  </w:abstractNum>
  <w:abstractNum w:abstractNumId="2">
    <w:nsid w:val="4DB127F8"/>
    <w:multiLevelType w:val="hybridMultilevel"/>
    <w:lvl w:ilvl="0">
      <w:lvlJc w:val="left"/>
      <w:lvlText w:val="(%1)"/>
      <w:numFmt w:val="lowerLetter"/>
      <w:start w:val="2"/>
    </w:lvl>
  </w:abstractNum>
  <w:abstractNum w:abstractNumId="3">
    <w:nsid w:val="216231B"/>
    <w:multiLevelType w:val="hybridMultilevel"/>
    <w:lvl w:ilvl="0">
      <w:lvlJc w:val="left"/>
      <w:lvlText w:val="%1."/>
      <w:numFmt w:val="upperLetter"/>
      <w:start w:val="1"/>
    </w:lvl>
  </w:abstractNum>
  <w:abstractNum w:abstractNumId="4">
    <w:nsid w:val="1F16E9E8"/>
    <w:multiLevelType w:val="hybridMultilevel"/>
    <w:lvl w:ilvl="0">
      <w:lvlJc w:val="left"/>
      <w:lvlText w:val="(%1)"/>
      <w:numFmt w:val="lowerLetter"/>
      <w:start w:val="1"/>
    </w:lvl>
    <w:lvl w:ilvl="1">
      <w:lvlJc w:val="left"/>
      <w:lvlText w:val="%2."/>
      <w:numFmt w:val="decimal"/>
      <w:start w:val="2"/>
    </w:lvl>
  </w:abstractNum>
  <w:abstractNum w:abstractNumId="5">
    <w:nsid w:val="1190CDE7"/>
    <w:multiLevelType w:val="hybridMultilevel"/>
    <w:lvl w:ilvl="0">
      <w:lvlJc w:val="left"/>
      <w:lvlText w:val="%1."/>
      <w:numFmt w:val="upperLetter"/>
      <w:start w:val="2"/>
    </w:lvl>
  </w:abstractNum>
  <w:abstractNum w:abstractNumId="6">
    <w:nsid w:val="66EF438D"/>
    <w:multiLevelType w:val="hybridMultilevel"/>
    <w:lvl w:ilvl="0">
      <w:lvlJc w:val="left"/>
      <w:lvlText w:val="(%1)"/>
      <w:numFmt w:val="lowerLetter"/>
      <w:start w:val="1"/>
    </w:lvl>
    <w:lvl w:ilvl="1">
      <w:lvlJc w:val="left"/>
      <w:lvlText w:val="%2."/>
      <w:numFmt w:val="decimal"/>
      <w:start w:val="2"/>
    </w:lvl>
  </w:abstractNum>
  <w:abstractNum w:abstractNumId="7">
    <w:nsid w:val="140E0F76"/>
    <w:multiLevelType w:val="hybridMultilevel"/>
    <w:lvl w:ilvl="0">
      <w:lvlJc w:val="left"/>
      <w:lvlText w:val="%1."/>
      <w:numFmt w:val="upperLetter"/>
      <w:start w:val="3"/>
    </w:lvl>
  </w:abstractNum>
  <w:abstractNum w:abstractNumId="8">
    <w:nsid w:val="3352255A"/>
    <w:multiLevelType w:val="hybridMultilevel"/>
    <w:lvl w:ilvl="0">
      <w:lvlJc w:val="left"/>
      <w:lvlText w:val="(%1)"/>
      <w:numFmt w:val="lowerLetter"/>
      <w:start w:val="1"/>
    </w:lvl>
    <w:lvl w:ilvl="1">
      <w:lvlJc w:val="left"/>
      <w:lvlText w:val="%2."/>
      <w:numFmt w:val="decimal"/>
      <w:start w:val="2"/>
    </w:lvl>
  </w:abstractNum>
  <w:abstractNum w:abstractNumId="9">
    <w:nsid w:val="109CF92E"/>
    <w:multiLevelType w:val="hybridMultilevel"/>
    <w:lvl w:ilvl="0">
      <w:lvlJc w:val="left"/>
      <w:lvlText w:val="%1."/>
      <w:numFmt w:val="upperLetter"/>
      <w:start w:val="4"/>
    </w:lvl>
  </w:abstractNum>
  <w:abstractNum w:abstractNumId="10">
    <w:nsid w:val="DED7263"/>
    <w:multiLevelType w:val="hybridMultilevel"/>
    <w:lvl w:ilvl="0">
      <w:lvlJc w:val="left"/>
      <w:lvlText w:val="(%1)"/>
      <w:numFmt w:val="lowerLetter"/>
      <w:start w:val="1"/>
    </w:lvl>
    <w:lvl w:ilvl="1">
      <w:lvlJc w:val="left"/>
      <w:lvlText w:val="%2."/>
      <w:numFmt w:val="decimal"/>
      <w:start w:val="2"/>
    </w:lvl>
  </w:abstractNum>
  <w:abstractNum w:abstractNumId="11">
    <w:nsid w:val="7FDCC233"/>
    <w:multiLevelType w:val="hybridMultilevel"/>
    <w:lvl w:ilvl="0">
      <w:lvlJc w:val="left"/>
      <w:lvlText w:val="%1."/>
      <w:numFmt w:val="upperLetter"/>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2"/>
    </w:lvl>
    <w:lvl w:ilvl="1">
      <w:lvlJc w:val="left"/>
      <w:lvlText w:val="%2."/>
      <w:numFmt w:val="decimal"/>
      <w:start w:val="2"/>
    </w:lvl>
  </w:abstractNum>
  <w:abstractNum w:abstractNumId="14">
    <w:nsid w:val="6B68079A"/>
    <w:multiLevelType w:val="hybridMultilevel"/>
    <w:lvl w:ilvl="0">
      <w:lvlJc w:val="left"/>
      <w:lvlText w:val="%1."/>
      <w:numFmt w:val="upperLetter"/>
      <w:start w:val="6"/>
    </w:lvl>
  </w:abstractNum>
  <w:abstractNum w:abstractNumId="15">
    <w:nsid w:val="4E6AFB66"/>
    <w:multiLevelType w:val="hybridMultilevel"/>
    <w:lvl w:ilvl="0">
      <w:lvlJc w:val="left"/>
      <w:lvlText w:val="(%1)"/>
      <w:numFmt w:val="lowerLetter"/>
      <w:start w:val="1"/>
    </w:lvl>
    <w:lvl w:ilvl="1">
      <w:lvlJc w:val="left"/>
      <w:lvlText w:val="%2."/>
      <w:numFmt w:val="decimal"/>
      <w:start w:val="2"/>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17" Type="http://schemas.openxmlformats.org/officeDocument/2006/relationships/hyperlink" Target="https://www.sec.gov/Archives/edgar/data/1569241/000092189523002454/ex991to13d10820snse_11032023.pdf" TargetMode="External"/><Relationship Id="rId18" Type="http://schemas.openxmlformats.org/officeDocument/2006/relationships/hyperlink" Target="https://www.sec.gov/Archives/edgar/data/1569241/000092189523002454/ex992to13d10820snse_1103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2024-03-07T17:03:16Z</dcterms:created>
  <dcterms:modified xsi:type="dcterms:W3CDTF">2024-03-07T17:03:16Z</dcterms:modified>
</cp:coreProperties>
</file>