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3316ds3a.htm"/>
        <w:bookmarkStart w:id="1" w:name="ksd133316ds3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June 10,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333-295362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AMENDMENT NO. 2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6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Sensei Biotherapeutics,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83-1863385</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1405 Research Boulevard </w:t>
      </w:r>
    </w:p>
    <w:p>
      <w:pPr>
        <w:pStyle w:val="TextBody"/>
        <w:bidi w:val="0"/>
        <w:spacing w:before="0" w:after="0"/>
        <w:jc w:val="center"/>
        <w:rPr>
          <w:rFonts w:ascii="Times New Roman" w:hAnsi="Times New Roman"/>
          <w:b/>
          <w:sz w:val="16"/>
        </w:rPr>
      </w:pPr>
      <w:r>
        <w:rPr>
          <w:rFonts w:ascii="Times New Roman" w:hAnsi="Times New Roman"/>
          <w:b/>
          <w:sz w:val="16"/>
        </w:rPr>
        <w:t xml:space="preserve">Suite 125 </w:t>
      </w:r>
    </w:p>
    <w:p>
      <w:pPr>
        <w:pStyle w:val="TextBody"/>
        <w:bidi w:val="0"/>
        <w:spacing w:before="0" w:after="0"/>
        <w:jc w:val="center"/>
        <w:rPr>
          <w:rFonts w:ascii="Times New Roman" w:hAnsi="Times New Roman"/>
          <w:b/>
          <w:sz w:val="16"/>
        </w:rPr>
      </w:pPr>
      <w:r>
        <w:rPr>
          <w:rFonts w:ascii="Times New Roman" w:hAnsi="Times New Roman"/>
          <w:b/>
          <w:sz w:val="16"/>
        </w:rPr>
        <w:t xml:space="preserve">Rockville, MD 20850 </w:t>
      </w:r>
    </w:p>
    <w:p>
      <w:pPr>
        <w:pStyle w:val="TextBody"/>
        <w:bidi w:val="0"/>
        <w:spacing w:before="0" w:after="0"/>
        <w:jc w:val="center"/>
        <w:rPr>
          <w:rFonts w:ascii="Times New Roman" w:hAnsi="Times New Roman"/>
          <w:b/>
          <w:sz w:val="16"/>
        </w:rPr>
      </w:pPr>
      <w:r>
        <w:rPr>
          <w:rFonts w:ascii="Times New Roman" w:hAnsi="Times New Roman"/>
          <w:b/>
          <w:sz w:val="16"/>
        </w:rPr>
        <w:t xml:space="preserve">(240) 243-8000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Christopher W. Gerry </w:t>
      </w:r>
    </w:p>
    <w:p>
      <w:pPr>
        <w:pStyle w:val="TextBody"/>
        <w:bidi w:val="0"/>
        <w:spacing w:before="0" w:after="0"/>
        <w:jc w:val="center"/>
        <w:rPr>
          <w:rFonts w:ascii="Times New Roman" w:hAnsi="Times New Roman"/>
          <w:b/>
          <w:sz w:val="16"/>
        </w:rPr>
      </w:pPr>
      <w:r>
        <w:rPr>
          <w:rFonts w:ascii="Times New Roman" w:hAnsi="Times New Roman"/>
          <w:b/>
          <w:sz w:val="16"/>
        </w:rPr>
        <w:t xml:space="preserve">President and General Counsel </w:t>
      </w:r>
    </w:p>
    <w:p>
      <w:pPr>
        <w:pStyle w:val="TextBody"/>
        <w:bidi w:val="0"/>
        <w:spacing w:before="0" w:after="0"/>
        <w:jc w:val="center"/>
        <w:rPr>
          <w:rFonts w:ascii="Times New Roman" w:hAnsi="Times New Roman"/>
          <w:b/>
          <w:sz w:val="16"/>
        </w:rPr>
      </w:pPr>
      <w:r>
        <w:rPr>
          <w:rFonts w:ascii="Times New Roman" w:hAnsi="Times New Roman"/>
          <w:b/>
          <w:sz w:val="16"/>
        </w:rPr>
        <w:t xml:space="preserve">Sensei Biotherapeutics,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1405 Research Boulevard </w:t>
      </w:r>
    </w:p>
    <w:p>
      <w:pPr>
        <w:pStyle w:val="TextBody"/>
        <w:bidi w:val="0"/>
        <w:spacing w:before="0" w:after="0"/>
        <w:jc w:val="center"/>
        <w:rPr>
          <w:rFonts w:ascii="Times New Roman" w:hAnsi="Times New Roman"/>
          <w:b/>
          <w:sz w:val="16"/>
        </w:rPr>
      </w:pPr>
      <w:r>
        <w:rPr>
          <w:rFonts w:ascii="Times New Roman" w:hAnsi="Times New Roman"/>
          <w:b/>
          <w:sz w:val="16"/>
        </w:rPr>
        <w:t xml:space="preserve">Suite 125 </w:t>
      </w:r>
    </w:p>
    <w:p>
      <w:pPr>
        <w:pStyle w:val="TextBody"/>
        <w:bidi w:val="0"/>
        <w:spacing w:before="0" w:after="0"/>
        <w:jc w:val="center"/>
        <w:rPr>
          <w:rFonts w:ascii="Times New Roman" w:hAnsi="Times New Roman"/>
          <w:b/>
          <w:sz w:val="16"/>
        </w:rPr>
      </w:pPr>
      <w:r>
        <w:rPr>
          <w:rFonts w:ascii="Times New Roman" w:hAnsi="Times New Roman"/>
          <w:b/>
          <w:sz w:val="16"/>
        </w:rPr>
        <w:t xml:space="preserve">Rockville, MD 20850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60" w:after="0"/>
        <w:jc w:val="center"/>
        <w:rPr>
          <w:rFonts w:ascii="Times New Roman" w:hAnsi="Times New Roman"/>
          <w:b/>
          <w:sz w:val="16"/>
        </w:rPr>
      </w:pPr>
      <w:r>
        <w:rPr>
          <w:rFonts w:ascii="Times New Roman" w:hAnsi="Times New Roman"/>
          <w:b/>
          <w:sz w:val="16"/>
        </w:rPr>
        <w:t xml:space="preserve">Ariel Rom </w:t>
      </w:r>
    </w:p>
    <w:p>
      <w:pPr>
        <w:pStyle w:val="TextBody"/>
        <w:bidi w:val="0"/>
        <w:spacing w:before="0" w:after="0"/>
        <w:jc w:val="center"/>
        <w:rPr>
          <w:rFonts w:ascii="Times New Roman" w:hAnsi="Times New Roman"/>
          <w:b/>
          <w:sz w:val="16"/>
        </w:rPr>
      </w:pPr>
      <w:r>
        <w:rPr>
          <w:rFonts w:ascii="Times New Roman" w:hAnsi="Times New Roman"/>
          <w:b/>
          <w:sz w:val="16"/>
        </w:rPr>
        <w:t xml:space="preserve">Mark Ballantyne </w:t>
      </w:r>
    </w:p>
    <w:p>
      <w:pPr>
        <w:pStyle w:val="TextBody"/>
        <w:bidi w:val="0"/>
        <w:spacing w:before="0" w:after="0"/>
        <w:jc w:val="center"/>
        <w:rPr>
          <w:rFonts w:ascii="Times New Roman" w:hAnsi="Times New Roman"/>
          <w:b/>
          <w:sz w:val="16"/>
        </w:rPr>
      </w:pPr>
      <w:r>
        <w:rPr>
          <w:rFonts w:ascii="Times New Roman" w:hAnsi="Times New Roman"/>
          <w:b/>
          <w:sz w:val="16"/>
        </w:rPr>
        <w:t xml:space="preserve">Divakar Gupta </w:t>
      </w:r>
    </w:p>
    <w:p>
      <w:pPr>
        <w:pStyle w:val="TextBody"/>
        <w:bidi w:val="0"/>
        <w:spacing w:before="0" w:after="0"/>
        <w:jc w:val="center"/>
        <w:rPr>
          <w:rFonts w:ascii="Times New Roman" w:hAnsi="Times New Roman"/>
          <w:b/>
          <w:sz w:val="16"/>
        </w:rPr>
      </w:pPr>
      <w:r>
        <w:rPr>
          <w:rFonts w:ascii="Times New Roman" w:hAnsi="Times New Roman"/>
          <w:b/>
          <w:sz w:val="16"/>
        </w:rPr>
        <w:t xml:space="preserve">Madison A. Jones </w:t>
      </w:r>
    </w:p>
    <w:p>
      <w:pPr>
        <w:pStyle w:val="TextBody"/>
        <w:bidi w:val="0"/>
        <w:spacing w:before="0" w:after="0"/>
        <w:jc w:val="center"/>
        <w:rPr>
          <w:rFonts w:ascii="Times New Roman" w:hAnsi="Times New Roman"/>
          <w:b/>
          <w:sz w:val="16"/>
        </w:rPr>
      </w:pPr>
      <w:r>
        <w:rPr>
          <w:rFonts w:ascii="Times New Roman" w:hAnsi="Times New Roman"/>
          <w:b/>
          <w:sz w:val="16"/>
        </w:rPr>
        <w:t xml:space="preserve">Rama Padmanabhan </w:t>
      </w:r>
    </w:p>
    <w:p>
      <w:pPr>
        <w:pStyle w:val="TextBody"/>
        <w:bidi w:val="0"/>
        <w:spacing w:before="0" w:after="0"/>
        <w:jc w:val="center"/>
        <w:rPr>
          <w:rFonts w:ascii="Times New Roman" w:hAnsi="Times New Roman"/>
          <w:b/>
          <w:sz w:val="16"/>
        </w:rPr>
      </w:pPr>
      <w:r>
        <w:rPr>
          <w:rFonts w:ascii="Times New Roman" w:hAnsi="Times New Roman"/>
          <w:b/>
          <w:sz w:val="16"/>
        </w:rPr>
        <w:t xml:space="preserve">Cooley LLP </w:t>
      </w:r>
    </w:p>
    <w:p>
      <w:pPr>
        <w:pStyle w:val="TextBody"/>
        <w:bidi w:val="0"/>
        <w:spacing w:before="0" w:after="0"/>
        <w:jc w:val="center"/>
        <w:rPr>
          <w:rFonts w:ascii="Times New Roman" w:hAnsi="Times New Roman"/>
          <w:b/>
          <w:sz w:val="16"/>
        </w:rPr>
      </w:pPr>
      <w:r>
        <w:rPr>
          <w:rFonts w:ascii="Times New Roman" w:hAnsi="Times New Roman"/>
          <w:b/>
          <w:sz w:val="16"/>
        </w:rPr>
        <w:t xml:space="preserve">1299 Pennsylvania Avenue, NW, Suite 700 </w:t>
      </w:r>
    </w:p>
    <w:p>
      <w:pPr>
        <w:pStyle w:val="TextBody"/>
        <w:bidi w:val="0"/>
        <w:spacing w:before="0" w:after="0"/>
        <w:jc w:val="center"/>
        <w:rPr>
          <w:rFonts w:ascii="Times New Roman" w:hAnsi="Times New Roman"/>
          <w:b/>
          <w:sz w:val="16"/>
        </w:rPr>
      </w:pPr>
      <w:r>
        <w:rPr>
          <w:rFonts w:ascii="Times New Roman" w:hAnsi="Times New Roman"/>
          <w:b/>
          <w:sz w:val="16"/>
        </w:rPr>
        <w:t xml:space="preserve">Washington, DC 20004 </w:t>
      </w:r>
    </w:p>
    <w:p>
      <w:pPr>
        <w:pStyle w:val="TextBody"/>
        <w:bidi w:val="0"/>
        <w:spacing w:before="0" w:after="0"/>
        <w:jc w:val="center"/>
        <w:rPr>
          <w:rFonts w:ascii="Times New Roman" w:hAnsi="Times New Roman"/>
          <w:b/>
          <w:sz w:val="16"/>
        </w:rPr>
      </w:pPr>
      <w:r>
        <w:rPr>
          <w:rFonts w:ascii="Times New Roman" w:hAnsi="Times New Roman"/>
          <w:b/>
          <w:sz w:val="16"/>
        </w:rPr>
        <w:t xml:space="preserve">(202) 842-7800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earliest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JUNE 10,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105785" cy="1094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05785" cy="109410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0"/>
        </w:rPr>
      </w:pPr>
      <w:r>
        <w:rPr>
          <w:rFonts w:ascii="Times New Roman" w:hAnsi="Times New Roman"/>
          <w:b/>
          <w:sz w:val="40"/>
        </w:rPr>
        <w:t xml:space="preserve">Sensei Biotherapeutics,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24,868,028 Shares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Offered by the Selling Stockholders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prospectus relates to the proposed resale or other disposition by the selling stockholders identified herein (the “Selling Stockholders”), of up to (i) 10,425,531 shares (“Merger Conversion Shares”) of our common stock, par value $0.0001 per share (“Common Stock”), issuable upon the conversion of 10,425.531 shares (“Merger Preferred Shares”) of our Series B Non-Voting Convertible Preferred Stock, par value $0.0001 per share (“Series B Preferred Stock”), (ii) 14,440,395 shares of Common Stock (the “Private Placement Conversion Shares”) issuable upon the conversion of 14,440.395 shares of our Series B Preferred Stock (the “Private Placement Preferred Shares”) and (iii) 2,102 shares of Common Stock (the “Warrant Conversion Shares”) issuable upon exercise of a warrant (the “Warrant”) to purchase 2.1020 shares of Series B Preferred Stock (the “Warrant Preferred Shares”), which will be exercisable for shares of Common Stock upon conversion of the Series B Preferred Stock. Subject to receiving approval by our stockholders of the issuance of shares of Common Stock upon conversion of Series B Preferred Stock and the change of control of our company in accordance with the Nasdaq Stock Market LLC (“Nasdaq”) listing rules (the “Conversion Proposal”) and of a certificate of amendment to our amended and restated certificate of incorporation to increase the number of authorized shares of Common Stock from 12,500,000 to 300,000,000 (the “Authorized Share Proposal” and, together with the Conversion Proposal, the “Required Company Stockholder Matters”) (which approval was received on June 10, 2026) and certain beneficial ownership limitations set by each preferred stockholder, each share of Series B Preferred Stock will automatically convert into 1,000 shares of Common Stock on June 15, 2026. Upon the approval of the Authorized Share Proposal, we filed a certificate of amendment with the Secretary of State of the State of Delaware to our amended and restated certificate of incorporation to increase the authorized shares of Common Stock to 300,000,000 on June 10, 2026. The shares of Common Stock registered by this prospectus are referred to herein as the “Resale Shares.”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Merger Preferred Shares were issued to former stockholders of Faeth Holdings Therapeutics, Inc., a Delaware corporation (“Faeth HoldCo”), and the Warrant held by a former equityholder of Faeth Therapeutics, LLC, a Delaware limited liability company and wholly owned subsidiary of Faeth HoldCo (“Faeth Subsidiary” and, together with Faeth HoldCo, “Faeth” or “Faeth Therapeutics”) was assumed by us and converted into a warrant to purchase our Series B Preferred Stock, in connection with our acquisition (the “Acquisition”) of Faeth Therapeutics, which closed on February 17, 2026. The Private Placement Preferred Shares were issued and sold to accredited investors in a private placement (the “2026 Private Placement” and, together with the Acquisition and the other transactions and actions contemplated by the Merger Agreement, the “Acquisition Transactions”), which closed on February 20, 2026. We are not offering or selling any Resale Shares under this prospectus and will not receive any of the proceeds from the sale or other disposition of Resale Shares by the Selling Stockholders.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You should carefully read this prospectus and any applicable prospectus supplement, as well as any documents incorporated by reference herein or therein, before you invest in any of the securities being offered.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Our Common Stock is traded on the Nasdaq Capital Market under the symbol “SNSE.” On June 9, 2026, the last reported sales price for our Common Stock was $11.96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18"/>
        </w:rPr>
        <w:t>An investment in our securities involves a high degree of risk. You should carefully consider the information under the heading “</w:t>
      </w:r>
      <w:hyperlink w:anchor="toc133316_4">
        <w:r>
          <w:rPr>
            <w:rStyle w:val="InternetLink"/>
            <w:rFonts w:ascii="Times New Roman" w:hAnsi="Times New Roman"/>
            <w:b/>
            <w:sz w:val="18"/>
          </w:rPr>
          <w:t>Risk Factors</w:t>
        </w:r>
      </w:hyperlink>
      <w:r>
        <w:rPr>
          <w:rFonts w:ascii="Times New Roman" w:hAnsi="Times New Roman"/>
          <w:b/>
          <w:sz w:val="18"/>
        </w:rPr>
        <w:t xml:space="preserve">” beginning on page 9 of this prospectus and any applicable prospectus supplement, and under similar headings in the other documents that are incorporated by reference into this prospectus.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6"/>
        <w:gridCol w:w="418"/>
        <w:gridCol w:w="130"/>
        <w:gridCol w:w="579"/>
        <w:gridCol w:w="62"/>
      </w:tblGrid>
      <w:tr>
        <w:trPr/>
        <w:tc>
          <w:tcPr>
            <w:tcW w:w="901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1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709"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1">
              <w:r>
                <w:rPr>
                  <w:rStyle w:val="InternetLink"/>
                  <w:rFonts w:ascii="Times New Roman" w:hAnsi="Times New Roman"/>
                  <w:sz w:val="20"/>
                </w:rPr>
                <w:t>ABOUT THIS PROSPECTUS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2">
              <w:r>
                <w:rPr>
                  <w:rStyle w:val="InternetLink"/>
                  <w:rFonts w:ascii="Times New Roman" w:hAnsi="Times New Roman"/>
                  <w:sz w:val="20"/>
                </w:rPr>
                <w:t>CAUTIONARY STATEMENT CONCERNING FORWARD-LOOKING STATEMENTS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3">
              <w:r>
                <w:rPr>
                  <w:rStyle w:val="InternetLink"/>
                  <w:rFonts w:ascii="Times New Roman" w:hAnsi="Times New Roman"/>
                  <w:sz w:val="20"/>
                </w:rPr>
                <w:t>PROSPECTUS SUMMARY</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4">
              <w:r>
                <w:rPr>
                  <w:rStyle w:val="InternetLink"/>
                  <w:rFonts w:ascii="Times New Roman" w:hAnsi="Times New Roman"/>
                  <w:sz w:val="20"/>
                </w:rPr>
                <w:t>RISK FACTORS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5">
              <w:r>
                <w:rPr>
                  <w:rStyle w:val="InternetLink"/>
                  <w:rFonts w:ascii="Times New Roman" w:hAnsi="Times New Roman"/>
                  <w:sz w:val="20"/>
                </w:rPr>
                <w:t>USE OF PROCEEDS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6">
              <w:r>
                <w:rPr>
                  <w:rStyle w:val="InternetLink"/>
                  <w:rFonts w:ascii="Times New Roman" w:hAnsi="Times New Roman"/>
                  <w:sz w:val="20"/>
                </w:rPr>
                <w:t>SELLING STOCKHOLDERS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7">
              <w:r>
                <w:rPr>
                  <w:rStyle w:val="InternetLink"/>
                  <w:rFonts w:ascii="Times New Roman" w:hAnsi="Times New Roman"/>
                  <w:sz w:val="20"/>
                </w:rPr>
                <w:t>PLAN OF DISTRIBUTION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8">
              <w:r>
                <w:rPr>
                  <w:rStyle w:val="InternetLink"/>
                  <w:rFonts w:ascii="Times New Roman" w:hAnsi="Times New Roman"/>
                  <w:sz w:val="20"/>
                </w:rPr>
                <w:t>LEGAL MATTERS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9">
              <w:r>
                <w:rPr>
                  <w:rStyle w:val="InternetLink"/>
                  <w:rFonts w:ascii="Times New Roman" w:hAnsi="Times New Roman"/>
                  <w:sz w:val="20"/>
                </w:rPr>
                <w:t>EXPERTS</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10">
              <w:r>
                <w:rPr>
                  <w:rStyle w:val="InternetLink"/>
                  <w:rFonts w:ascii="Times New Roman" w:hAnsi="Times New Roman"/>
                  <w:sz w:val="20"/>
                </w:rPr>
                <w:t>WHERE YOU CAN FIND MORE INFORMATION</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016" w:type="dxa"/>
            <w:tcBorders/>
            <w:vAlign w:val="bottom"/>
          </w:tcPr>
          <w:p>
            <w:pPr>
              <w:pStyle w:val="TableContents"/>
              <w:bidi w:val="0"/>
              <w:spacing w:before="0" w:after="0"/>
              <w:jc w:val="left"/>
              <w:rPr/>
            </w:pPr>
            <w:hyperlink w:anchor="toc133316_11">
              <w:r>
                <w:rPr>
                  <w:rStyle w:val="InternetLink"/>
                  <w:rFonts w:ascii="Times New Roman" w:hAnsi="Times New Roman"/>
                  <w:sz w:val="20"/>
                </w:rPr>
                <w:t>INCORPORATION OF INFORMATION BY REFERENCE</w:t>
              </w:r>
            </w:hyperlink>
          </w:p>
        </w:tc>
        <w:tc>
          <w:tcPr>
            <w:tcW w:w="41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3331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the Selling Stockholders may offer. Each time the Selling Stockholders sell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this prospectus before making an investment in shares of our Common Stock. See “Where You Can Find More Information”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information that you should consider when making your investment decision. Neither we nor the Selling Stockholders have authorized anyone to give any information or to make any representation other than those contained or incorporated by reference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the context otherwise requires, the terms (i) “we,” “us,” “our,” “Sensei,” the “Company” and other similar terms refer to the business and operations of Sensei Biotherapeutics, Inc. and its consolidated subsidiaries for periods prior to the Acquisition and to Sensei Biotherapeutics, Inc. and its consolidated subsidiaries, including Faeth Therapeutics for periods after the Acquisition; (ii) “Faeth HoldCo” refers to Faeth Holdings Therapeutics, Inc., (iii) “Faeth Subsidiary” refers to Faeth Therapeutics, LLC, a wholly owned subsidiary of Faeth HoldCo, (iv) “Faeth” or “Faeth Therapeutics” refer collectively to Faeth HoldCo and Faeth Subsidiary and (v) “Acquisition” refers to the acquisition by the Company of Faeth Therapeutics pursuant to that Agreement and Plan of Merger, dated February 17, 2026, by and among the Company, Sapphire First Merger Sub, Inc., a Delaware corporation and a wholly owned subsidiary of the Company, Sapphire Second Merger Sub, LLC, a Delaware limited liability company and wholly owned subsidiary of the Company, Faeth HoldCo and Faeth Subsidiary.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33316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contained in this prospectus, are forward-looking statements, including, without limitation, statements regarding: the expected timing for the Company name and ticker change, our ability to achieve the expected benefits or opportunities with respect to the Acquisition, our future results of operations and financial position, business strategy, our expectations that our cash and cash equivalents, together with the proceeds from the 2026 Private Placement, will enable us to fund our operating expenses and capital expenditure requirements through topline data readouts from both our ongoing Phase 2 trial of PIKTOR in advanced endometrial cancer (Study FTH-PIK-201) and our Phase 1b trial of PIKTOR in HR+/HER2- advanced breast cancer (Study FTH-PIK-101), our preclinical and clinical development activities, the potential therapeutic benefits and economic value of our product candidates, and the timing and results of preclinical studies and clinical trials. Forward-looking statements generally relate to future events or our future financial or operating performance. The words “aim,” “anticipate,” “assume,” “can,” “continue,” “could,” “designed to,” “estimate,” “evaluate,” “expect,” “explore,” “intend,” “intended to,” “likely,” “may,” “might,” “objective,” “ongoing,” “plan,” “potential,” “predict,” “project,” “pursue,” “seek,” “should,” “to be,” “will,” and “would,” or the negative of such terms or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those discussed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You are cautioned not to place undue reliance on these forward-looking statements, which speak only as of the date of this prospectus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33316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herein,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that target tumor metabolism and signaling. The Acquisition brought into our pipeline Faeth’s lead asset, PIKTOR, a proprietary investigational all-oral combination of serabelisib and sapanisertib that inhibits multiple nodes of the PI3K/AKT/mTOR pathway, as demonstrated in preclinical studies and a Phase 1b clinical trial of PIKTOR, which was a Phase 1b open-label, uncontrolled study with a limited number of evaluable patients.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Acquisition, our lead program is PIKTOR, an investigational multi-node inhibitor of the PI3K/AKT/mTOR pathway in development for endometrial and breast cancer. The PI3K/AKT/mTOR pathway is dysregulated in up to 50% of all solid tumors, making it one of the most prevalent therapeutic targets in oncology. Despite this, currently approved therapies — all of which target only a single pathway node — have produced limited clinical benefits, often accompanied by toxicities that have constrained their utilization. Our core scientific thesis is that simultaneously suppressing multiple nodes of a pathway can produce deeper, more durable tumor suppression than targeting any single-node alone, which we believe may also enable lower drug dosing, potentially contributing to an improved tolerability profile.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PIKTOR is currently being evaluated in an ongoing Phase 2 trial in second-line advanced endometrial cancer (Study FTH-PIK-201), with topline data anticipated by year-end 2026. The primary endpoint for this Phase 2 trial is objective response rate (ORR), and the secondary endpoints are progression free survival (PFS), PFS at six months, overall survival, clinical benefit rate (CBR), duration of response (DOR) and safety and tolerability by assessment of adverse events (AEs) and serious adverse events (SAEs). In May 2026, we announced that we had dosed the first patient in our Phase 1b trial in HR+/HER2- advanced breast cancer (Study FTH-PIK-101). The primary endpoint for this Phase 1b trial is safety and tolerability by assessment of AEs and SAEs, and the secondary endpoints are ORR, PFS, PFS at six months, overall survival, CBR and DOR.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Faeth was co-founded in 2019 by Anand Parikh and Oliver Maddocks, PhD, together with scientific founders Lewis Cantley, PhD, the discoverer of the PI3K pathway, Siddhartha Mukherjee, MD, DPhil, Karen Vousden, PhD, Scott Lowe, PhD, and Greg Hannon, PhD. We are led by an experienced management team with expertise spanning cancer biology, translational research, clinical drug development, regulatory affairs and corporate strategy gained through prior roles within both biotechnology and large pharmaceutical companies as well as academia.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5960" cy="985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960" cy="985520"/>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PIKTOR and the Faeth pipeline programs described above, our pipeline includes programs that preceded the Acquisition. We are completing a Phase 1/2 trial of solnerstotug (formerly SNS-101), our conditionally active monoclonal antibody targeting the immune checkpoint VISTA. As of March 23, 2026, seven patients remain on study in the expansion portion of the trial. We intend to evaluate the results of this trial in 2026 to determine next steps. We also have three preclinical-stage conditionally active antibody programs: SNS-102 (targeting VSIG4), SNS-103 (targeting CD39), and SNS-201, a bispecific antibody designed to conditionally activate CD28 through monovalent CD28 engagement and bivalent pH-selective VISTA binding, which we are evaluating for potential development.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17, 2026 (the “Closing”), we completed the acquisition of Faeth Therapeutics in accordance with the terms of the Agreement and Plan of Merger (the “Merger Agreement”), dated February 17, 2026, by and among the Company, Sapphire First Merger Sub, Inc., a Delaware corporation and a wholly owned subsidiary of the Company (“First Merger Sub”), Sapphire Second Merger Sub, LLC, a Delaware limited liability company and wholly owned subsidiary of the Company (“Second Merger Sub”), Faeth HoldCo and Faeth Subsidiary, pursuant to which, First Merger Sub merged with and into Faeth HoldCo, pursuant to which Faeth HoldCo was the surviving corporation and became a wholly owned subsidiary of the Company (the “First Merger”). Immediately following the First Merger, Faeth HoldCo merged with and into Second Merger Sub, pursuant to which Second Merger Sub was the surviving entity.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Acquisition was structured as a stock-for-stock transaction pursuant to which all of Faeth Therapeutics’ outstanding equity interests were exchanged based on a fixed exchange ratio for aggregate consideration of 10,497.098 shares of Series B Preferred Stock, each share of which is convertible into 1,000 shares of Common Stock (representing 10,497,098 shares on an as-converted-to-common basis and without giving effect to any beneficial ownership limitations), subject to receipt of approval of the Required Company Stockholder Matters in accordance with Nasdaq listing rules and the beneficial ownership limitations set by each holder, which may be waived by each holder at any time following the approval by Nasdaq of a Nasdaq initial listing application filed in accordance with Nasdaq listing rule 5110(a) (the “Nasdaq Listing Application”) and approval of the Required Company Stockholder Matters. In addition,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and all outstanding options to purchase Faeth Subsidiary common stock were assumed by us and converted into options to purchase an aggregate of 252,210 shares of Common Stock. The Series B Preferred Stock was a newly designated series of preferred stock and was intended to have economic rights equivalent to our Common Stock, but with no voting rights. The rights of the Series B Preferred Stock are set forth in the Certificate of Designation of Series B Non-Voting Convertible Preferred Stock (the “Certificate of Designation”) that we filed with the Secretary of State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With respect to the Acquisition, we determined that we were the acquiror for accounting purposes under ASC 805-10-25-4 and ASC 805-10-55-11. The primary factors considered were (a) the relative voting rights in the combined entity not resulting in a change of control, (b) the pre-Acquisition members of our board of directors maintained control of our board of directors, and (c) the pre-Acquisition members of senior management remained the same at the closing of the Acquisition Transactions, other than the newly appointed Chief Operating Officer. Next, we considered whether the Acquisition should be defined as a business under ASC 805. ASC 805-10-55-5A through 55-5C describe a screen test to determine whether an acquired set of assets and activities is not a business. We determined that substantially all (greater than 90%) of the fair value of the assets acquired were concentrated in a single asset, PIKTOR, an investigational, proprietary, all-oral combination of serabelisib and sapanisertib that is designed to inhibit multiple nodes of the PI3K/AKT/mTOR pathway through PI3K-alpha and dual mTORC1/2 targeting. Accordingly, we treated the Acquisition as an asset acquisition for accounting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Acquisition, we entered into a Securities Purchase Agreement (the “Purchase Agreement”) with the purchasers named therein (the “Investors”), pursuant to which, on February 20, 2026 (the “PIPE Closing”), we issued and sold an aggregate of 14,440.395 shares of Series B Preferred Stock, each share of which is convertible into 1,000 shares of Common Stock (representing 14,440,395 shares on an as-converted-to-common basis and without giving effect to any beneficial ownership limitations), subject to receipt of approval of the Required Company Stockholder Matters in accordance with Nasdaq listing rules and the beneficial ownership limitations set by each holder, which may be waived by each holder at any time following the approval by Nasdaq of the Nasdaq Listing Application and approval of the Required Company Stockholder Matters, at a price of $13,850 per share of Series B Preferred Stock (or approximately $13.85 per share on an as-converted-to-common basis) for aggregate gross proceeds of approximately $200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17, 2026, we entered into a Registration Rights Agreement (the “RRA”) with the Investors. Pursuant to the RRA, we are obligated to prepare and file a resale registration statement with the SEC within 75 calendar days following the closing of the 2026 Private Placement.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Acquisition, the 2026 Private Placement and the other transactions and actions contemplated by the Merger Agreement (the “Acquisition Transactions”) were approved by our board of directors and the board of directors and stockholders of Faeth Therapeutics. The closings of the Acquisition Transactions were not subject to the approval of Sensei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received approval of the Required Company Stockholder Matters at our 2026 annual meeting of stockholders (“Annual Meeting”) held on June 10, 2026 and expect our Nasdaq Listing Application to be effective June 16, 2026. Except as otherwise required by law (e.g. voting on a change to the authorized shares of Series B Preferred Stock or the rights of such shares as required by the General Corporation Law of the State of Delaware (“DGCL”)) and the Certificate of Designation, the Series B Preferred Stock does not have voting rights. For more information on the Series B Preferred Stock, please refer to the Certificate of Designation, which is incorporated by reference herein and attached as Exhibit 3.1 of our Current Report on Form 8-K, filed with the SEC on February 18,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filed the Nasdaq Listing Application with Nasdaq. We expect to change our name to “Faeth Therapeutics, Inc.” on June 15, 2026 and our Common Stock is expected to trade on The Nasdaq Capital Market under the symbol “FTH” on June 16, 2026. The effectiveness of our Nasdaq Listing Application is contingent upon final review by Nasdaq of any amendments to this Registration Statement on Form S-3 and the effectiveness thereof.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of the Merger Agreement, Sensei and Faeth Subsidiary entered into stockholder support agreements (the “Support Agreements”) with certain of Sensei’s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(solely in their capacities as stockholders), representing 1.5% of the outstanding shares of Common Stock as of April 13, 2026. The Support Agreements provided that, among other things, each of the parties thereto agreed to vote or cause to be voted all of the shares of Common Stock owned by such stockholder in favor of the Required Company Stockholder Matters, the approval of the Company’s 2026 Equity Incentive Plan and the Company’s 2026 Employee Stock Purchase Plan at the Annual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and in connection with the execution of the Merger Agreement, certain officers, directors and certain stockholders of Faeth HoldCo as of immediately prior to the Merger, and certain of the directors and officers of Sensei as of immediately prior to the Acquisition entered into lock-up agreements (the “Lock-up Agreements”) with Sensei and Faeth Subsidiary, pursuant to which each such stockholder will be subject to a 180-day lockup on the sale or transfer of shares of Common Stock and Series B Preferred Stock held by each such stockholder, subject to certain limited exceptions as set forth in the Lock-Up Agreements.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the Acquisition Transactions, you should refer to our Current Report on Form 8-K filed with the SEC on February 18, 2026, which is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as Panacea Pharmaceuticals, Inc., or Panacea, under the laws of the state of Maryland in 1999. In December 2017, we reincorporated in Delaware and changed our name to Sensei Biotherapeutics, Inc. Our principal executive offices are located at 1405 Research Blvd, Rockville, MD 20850. Our telephone number is (240) 243-8000.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stockholder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 (4) 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an aggregate of 24,868,028 shares of Common Stock, which consist of (i) 10,425,531 Merger Conversion Shares, (ii) 14,440,395 Private Placement Conversion Shares and (iii) 2,102 Warrant Conversion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6327"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Resale Shares. If the Warrant is exercised for cash, we will, however, receive the net proceeds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See “Risk Factors” on page 8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Capital Market symbol: </w:t>
            </w:r>
          </w:p>
        </w:tc>
        <w:tc>
          <w:tcPr>
            <w:tcW w:w="6326" w:type="dxa"/>
            <w:tcBorders/>
          </w:tcPr>
          <w:p>
            <w:pPr>
              <w:pStyle w:val="TableContents"/>
              <w:bidi w:val="0"/>
              <w:spacing w:before="0" w:after="283"/>
              <w:jc w:val="left"/>
              <w:rPr/>
            </w:pPr>
            <w:r>
              <w:rPr/>
              <w:t>“</w:t>
            </w:r>
            <w:r>
              <w:rPr/>
              <w:t xml:space="preserve">SNSE”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331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titled “Cautionary Statement Concerning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331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are not selling any securities under this prospectus and we will not receive any proceeds from the sale of the Resale Shares covered hereby. The net proceeds from the sale of the Resale Shares offered by this prospectus will be received by the Selling Stockholders. If the Warrant is exercised for cash, we will, however, receive the net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33316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resale or other disposition from time to time by the Selling Stockholders identified in the table below of up to an aggregate of 24,868,028 shares of Common Stock, which consist of (i) 10,425,531 Merger Conversion Shares, (ii) 14,440,395 Private Placement Conversion Shares and (iii) 2,102 Warrant Conversion Shares. The Selling Stockholders may from time to time offer and sell any or all of the Resale Shares set forth below pursuant to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2026, we entered into the Purchase Agreement, pursuant to which we sold an aggregate of 14,440.395 shares of Series B Preferred Stock, which are convertible into 14,440,395 shares of Common Stock pursuant to the Certificate of Designation, at an aggregate purchase price of approximately $200 million. Also on February 17, 2026, we completed our acquisition of Faeth Therapeutics in accordance with the Merger Agreement, pursuant to which we issued an aggregate of 10,497.098 shares of Series B Preferred Stock, which are convertible into 10,497,098 shares of Common Stock pursuant to the Certificate of Designation, and the outstanding warrant to purchase shares of Faeth Subsidiary capital stock was converted into a warrant to purchase an aggregate of 2.1020 shares of Series B Preferred Stock, which will be exercisable for 2,102 shares of Common Stock upon conversion of the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received approval of the Required Company Stockholder Matters at our Annual Meeting on June 10, 2026. Accordingly, each share of Series B Preferred Stock will automatically convert into 1,000 shares of Common Stock on June 15, 2026, subject to the beneficial ownership limitations set by each holder. Upon the approval of the Required Company Stockholder Matters, we filed a certificate of amendment with the Secretary of State of the State of Delaware to our amended and restated certificate of incorporation to increase the authorized shares of Common Stock to 300,000,000 on June 10, 2026.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material position, office or other material relationship with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Stockholders, the number of shares of our Common Stock owned by the Selling Stockholders as of March 31, 2026, the number of shares of our Common Stock that may be offered under this prospectus and the number of shares of our Common Stock that will be owned after this offering by the Selling Stockholders assuming all of the shares registered for resale hereby are sold.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except for the Lock-Up Agreements.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information set forth below is based upon information obtained from the Selling Stockholders and upon information in our possession regarding the issuance of the Series B Preferred Stock and the assumption of the Warrant in connection with the Acquisition Transactions. The percentages of Common Stock owned after the offering by each Selling Stockholder below are based on 1,340,333 shares of Common Stock outstanding as of March 31, 2026, and, for each Selling Stockholder, assumes the conversion of only the Series B Preferred Stock owned by such Selling Stockholder but not the Series B Preferred Stock owned by any other Selling Stockholder and, assumes the exercise of the Warrant only for the Selling Stockholder who holds the Warrant.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5"/>
        <w:gridCol w:w="176"/>
        <w:gridCol w:w="68"/>
        <w:gridCol w:w="1191"/>
        <w:gridCol w:w="60"/>
        <w:gridCol w:w="176"/>
        <w:gridCol w:w="70"/>
        <w:gridCol w:w="1215"/>
        <w:gridCol w:w="60"/>
        <w:gridCol w:w="176"/>
        <w:gridCol w:w="67"/>
        <w:gridCol w:w="846"/>
        <w:gridCol w:w="60"/>
        <w:gridCol w:w="176"/>
        <w:gridCol w:w="179"/>
        <w:gridCol w:w="1018"/>
        <w:gridCol w:w="282"/>
      </w:tblGrid>
      <w:tr>
        <w:trPr/>
        <w:tc>
          <w:tcPr>
            <w:tcW w:w="438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Selling Stockholders(1)</w:t>
            </w:r>
          </w:p>
        </w:tc>
        <w:tc>
          <w:tcPr>
            <w:tcW w:w="176"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282"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Suvretta Capital Management, LLC, investment manager for entities affiliated with Averill(3)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2,020,103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1,985,554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34,549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1.0</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Avoro Life Sciences Fund LLC(4)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1,444,039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1,444,039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1,444,039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1,444,039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Atlas Private Holdings (Cayman) Ltd.(6)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902,525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902,525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Cormorant Global Healthcare GP, LLC, General Partner to Cormorant Global Healthcare Master Fund, LP(7)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Fairmount Healthcare Fund II L.P.(8)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Logos Opportunities Fund V LP(9)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RA Capital Healthcare Fund GP, LLC, General Partner of RA Capital Healthcare Fund, L.P.(10)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Columbia Management Investment Advisers, LLC, Investment Manager to Seligman Healthcare Spectrum (Master) Fund(11)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722,020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Vivo Opportunity Fund(12)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722,020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Management(13)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B Group Capital LLC(14)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610,169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610,169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managed by Caligan Partners(15)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487,012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126,002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7.4</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Ikarian Capital, LLC as investment advisor to entities affiliated with Boothbay(16)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85,858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84,583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1,275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 LLC(19)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Franklin Advisers, Inc.(20)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494,502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361,010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133,492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7.8</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Octagon Investments Master Fund LP(21)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SILV Fund, Ltd.(22)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361,010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361,010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Trails Edge Biotechnology Master Fund, LP(23)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486,010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361,010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125,000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7.3</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Woodline Master Fund LP(24)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361,010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361,010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Ikarian Capital, LLC, Investment Manager to Ikarian Healthcare Master Fund, LP(25)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209,301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204,225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5,076</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Boxer Capital Master Fund, LP(26)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180,505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180,505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Marshall Wace LLP(27)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218,034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180,505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37,529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2.5</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Affinity Healthcare Fund, LP(28)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144,404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144,404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Alyeska Master Fund, LP(29)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144,404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144,404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Special Situations Fund(30)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73,044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72,201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843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Squadron Master Fund LP(31)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72,201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72,201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Able Partners NYC, LLC(32)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9,176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9,176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420"/>
        <w:gridCol w:w="176"/>
        <w:gridCol w:w="68"/>
        <w:gridCol w:w="1155"/>
        <w:gridCol w:w="60"/>
        <w:gridCol w:w="176"/>
        <w:gridCol w:w="70"/>
        <w:gridCol w:w="1215"/>
        <w:gridCol w:w="60"/>
        <w:gridCol w:w="176"/>
        <w:gridCol w:w="73"/>
        <w:gridCol w:w="841"/>
        <w:gridCol w:w="60"/>
        <w:gridCol w:w="176"/>
        <w:gridCol w:w="179"/>
        <w:gridCol w:w="1018"/>
        <w:gridCol w:w="282"/>
      </w:tblGrid>
      <w:tr>
        <w:trPr/>
        <w:tc>
          <w:tcPr>
            <w:tcW w:w="442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4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Selling Stockholders(1)</w:t>
            </w:r>
          </w:p>
        </w:tc>
        <w:tc>
          <w:tcPr>
            <w:tcW w:w="176"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282" w:type="dxa"/>
            <w:tcBorders/>
            <w:vAlign w:val="bottom"/>
          </w:tcPr>
          <w:p>
            <w:pPr>
              <w:pStyle w:val="TableContents"/>
              <w:bidi w:val="0"/>
              <w:spacing w:before="0" w:after="283"/>
              <w:jc w:val="left"/>
              <w:rPr/>
            </w:pPr>
            <w:r>
              <w:rPr/>
              <w:t> </w:t>
            </w:r>
          </w:p>
        </w:tc>
      </w:tr>
      <w:tr>
        <w:trPr/>
        <w:tc>
          <w:tcPr>
            <w:tcW w:w="44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AgFunder(33)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4,148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4,148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Alpha Capital Corp.(34)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62,264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62,264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Anand Parikh(35)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804,361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761,428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42,933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2.0</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Angelle Advisors LLC(36)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18,679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18,679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Anne C. Harrison(37)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12,453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12,453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Apple Island Investment Fund I(38)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18,352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18,352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 Investments LLC(39)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13,698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13,698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Benjamin D. Hopkins(40)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Burnett F. King(41)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4,980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4,980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Cantley GRAT Remainder Trust f/b/o Alexandra Cantley u/d/t 7/1/16(42)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26,577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26,577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Cantley GRAT Remainder Trust f/b/o Mariko Cantley u/d/t 7/1/16(42)</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26,577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26,577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Cantos Ventures(43)</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145,552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145,552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Consolidated Investments International Series B(44)</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143,135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143,135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Daniel J. Conway(45)</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2,972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2,972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Debbie Chirnomas(46)</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156,669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156,669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Domen Kampjut(47)</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2,610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1,594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FA-0611 Fund I, a series of Umami Capital, LP(48)</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27,262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27,262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Faeth Investments, LLC(49)</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124,527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124,527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Felix Gurevich 2023 Family Trust(50)</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39,849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39,849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Fund I, a series of Avicella Capital Fund, LP(51)</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249,053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249,053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Future Ventures(52)</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1,016,455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1,016,455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Georgina F. Steele(53)</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 Hannon(54)</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79,731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79,731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Greg Mork(55)</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13,516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13,516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iSelect Funds(56)</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45,557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45,557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Javier Piggee(57)</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3,320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3,320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Jayson Dallas(58)</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44,763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44,763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H. Jonathan G. Lindström(59)</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3,421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3,321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Karen H. Vousden(60)</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79,731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79,731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Katelyn Patterson(61)</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623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623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KdT Ventures Fund II, LP(62)</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114,885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114,885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Khosla Ventures(63)</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2,632,232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2,632,232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Lewis Cantley(64)</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26,578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26,578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Marcus Goncalves(65)</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Margao II, LP(66)</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18,679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18,679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Marina Sheyfer 2023 Family Trust(67)</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59,773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59,773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Mars Health Fund I, LLC(68)</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223,818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223,818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Oliver D.K. Maddocks(69)</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458,927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458,927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Petros A. Tyrakis(70)</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6,135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1,862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4,273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Robert Gould(71)</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27,783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27,783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O’Connor(72)</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4420" w:type="dxa"/>
            <w:tcBorders/>
          </w:tcPr>
          <w:p>
            <w:pPr>
              <w:pStyle w:val="TableContents"/>
              <w:bidi w:val="0"/>
              <w:spacing w:before="0" w:after="0"/>
              <w:jc w:val="left"/>
              <w:rPr>
                <w:rFonts w:ascii="Times New Roman" w:hAnsi="Times New Roman"/>
                <w:sz w:val="20"/>
              </w:rPr>
            </w:pPr>
            <w:r>
              <w:rPr>
                <w:rFonts w:ascii="Times New Roman" w:hAnsi="Times New Roman"/>
                <w:sz w:val="20"/>
              </w:rPr>
              <w:t>Ryan W. Whitney(73)</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14,237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14,237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44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S2G Builders Food &amp; Agriculture Fund III, LP(74)</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2,919,672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2,919,672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77"/>
        <w:gridCol w:w="252"/>
        <w:gridCol w:w="83"/>
        <w:gridCol w:w="1134"/>
        <w:gridCol w:w="60"/>
        <w:gridCol w:w="252"/>
        <w:gridCol w:w="85"/>
        <w:gridCol w:w="1159"/>
        <w:gridCol w:w="60"/>
        <w:gridCol w:w="252"/>
        <w:gridCol w:w="85"/>
        <w:gridCol w:w="850"/>
        <w:gridCol w:w="64"/>
        <w:gridCol w:w="260"/>
        <w:gridCol w:w="337"/>
        <w:gridCol w:w="830"/>
        <w:gridCol w:w="65"/>
      </w:tblGrid>
      <w:tr>
        <w:trPr/>
        <w:tc>
          <w:tcPr>
            <w:tcW w:w="4377"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Selling Stockholders(1)</w:t>
            </w:r>
          </w:p>
        </w:tc>
        <w:tc>
          <w:tcPr>
            <w:tcW w:w="252"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65" w:type="dxa"/>
            <w:tcBorders/>
            <w:vAlign w:val="bottom"/>
          </w:tcPr>
          <w:p>
            <w:pPr>
              <w:pStyle w:val="TableContents"/>
              <w:bidi w:val="0"/>
              <w:spacing w:before="0" w:after="283"/>
              <w:jc w:val="left"/>
              <w:rPr/>
            </w:pPr>
            <w:r>
              <w:rPr/>
              <w:t> </w:t>
            </w:r>
          </w:p>
        </w:tc>
      </w:tr>
      <w:tr>
        <w:trPr/>
        <w:tc>
          <w:tcPr>
            <w:tcW w:w="43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5"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S3 Partners Group, LLLP(75)</w:t>
            </w:r>
          </w:p>
        </w:tc>
        <w:tc>
          <w:tcPr>
            <w:tcW w:w="25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18,352</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18,352</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— </w:t>
            </w:r>
          </w:p>
        </w:tc>
        <w:tc>
          <w:tcPr>
            <w:tcW w:w="6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Scott W. Lowe(76)</w:t>
            </w:r>
          </w:p>
        </w:tc>
        <w:tc>
          <w:tcPr>
            <w:tcW w:w="25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Siddhartha Mukherjee(77)</w:t>
            </w:r>
          </w:p>
        </w:tc>
        <w:tc>
          <w:tcPr>
            <w:tcW w:w="25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119,597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119,597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Simon R.V. Knott(78)</w:t>
            </w:r>
          </w:p>
        </w:tc>
        <w:tc>
          <w:tcPr>
            <w:tcW w:w="25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79,731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M. Hahn(79)</w:t>
            </w:r>
          </w:p>
        </w:tc>
        <w:tc>
          <w:tcPr>
            <w:tcW w:w="25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44,763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44,763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Todd A. Young(80)</w:t>
            </w:r>
          </w:p>
        </w:tc>
        <w:tc>
          <w:tcPr>
            <w:tcW w:w="25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7,915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7,915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Unshackled Ventures(81)</w:t>
            </w:r>
          </w:p>
        </w:tc>
        <w:tc>
          <w:tcPr>
            <w:tcW w:w="25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35,856</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35,856</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377" w:type="dxa"/>
            <w:tcBorders/>
          </w:tcPr>
          <w:p>
            <w:pPr>
              <w:pStyle w:val="TableContents"/>
              <w:bidi w:val="0"/>
              <w:spacing w:before="0" w:after="0"/>
              <w:jc w:val="left"/>
              <w:rPr>
                <w:rFonts w:ascii="Times New Roman" w:hAnsi="Times New Roman"/>
                <w:sz w:val="20"/>
              </w:rPr>
            </w:pPr>
            <w:r>
              <w:rPr>
                <w:rFonts w:ascii="Times New Roman" w:hAnsi="Times New Roman"/>
                <w:sz w:val="20"/>
              </w:rPr>
              <w:t>Western Alliance Bancorp(82)</w:t>
            </w:r>
          </w:p>
        </w:tc>
        <w:tc>
          <w:tcPr>
            <w:tcW w:w="25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2,102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2,102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our knowledge, unless otherwise indicated, all persons named in the table above have sole voting and investment power with respect to their shares of Common Stock. Unless an address is provided below, the address for the holder is 75 State Street, Suite 100, Boston, MA 02109.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pPr>
            <w:r>
              <w:rPr/>
              <w:t>“</w:t>
            </w:r>
            <w:r>
              <w:rPr>
                <w:rFonts w:ascii="Times New Roman" w:hAnsi="Times New Roman"/>
                <w:sz w:val="20"/>
              </w:rPr>
              <w:t xml:space="preserve">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into shares of Common Stock (i) prior to the approval of the Required Company Stockholder Matters and the Nasdaq Listing Application or (ii) if, as a result of such conversion, such holder, together with its affiliates, would beneficially own more than a specified percentage (established by the holder between 4.99% and 19.99%) (the “Beneficial Ownership Limitation”) of the total number of shares of Common Stock issued and outstanding immediately after giving effect to such conversion, which Beneficial Ownership Limitation may be waived by each holder at any time following the approval by Nasdaq of the Nasdaq Listing Application and approval of the Required Company Stockholder Matters.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1,693,082 shares of Common Stock issuable upon conversion of shares of Series B Preferred Stock held by Averill Master Fund, Ltd. (“Averill Master”), (ii) 292,472 shares of Common Stock issuable upon conversion of shares of Series B Preferred Stock held by Averill Madison Master Fund, Ltd. (“Averill Madison”), (iii) 29,570 shares of Common Stock held by Averill Master and (iv) 4,979 shares of Common Stock held by Averill Madison. The shares reported under “Common Stock That May Be Offered Pursuant to the Prospectus” consist of the 1,693,082 shares of Common Stock issuable upon conversion of shares of Series B Preferred Stock issued to Averill Master in the 2026 Private Placement and the 292,472 shares of Common Stock issuable upon conversion of shares of Series B Preferred Stock issued to Averill Madison in the 2026 Private Placement. The shares reported under “Common Stock Beneficially Owned After Offering” consist of (i) 29,570 shares of Common Stock held by Averill Master (ii) 4,979 shares of Common Stock held by Averill Madison. Suvretta Capital Management, LLC (“Suvretta”) is the investment manager of Averill Master and Averill Madison. Aaron Cowen is a control person of Suvretta and as such may be deemed to beneficially own these shares. Mr. Cowen disclaims beneficial ownership of all shares of Common Stock beneficially held by Averill Master and Averill Madison, other than, to the extent of any pecuniary interest therein. The address of the principal business office of Suvretta, Mr. Cowen, Averill Master and Averill Madison is 540 Madison Avenue, 7th Floor, New York, NY 10022. The shares of Common Stock issuable upon conversion of the shares of Series B Preferred Stock held by Averill Master and Averill Madison are subject to a Beneficial Ownership Limitation of 9.99%.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1,444,039 shares of Common Stock issuable upon conversion of shares of Series B Preferred Stock held by Avoro Life Sciences Fund LLC (“Avoro”), all of which were issued in the 2026 Private Placement. Avoro Capital Advisors LLC (“Avoro Capital”) is the investment advisor for Avoro. Behzad Aghazadeh serves as the portfolio manager and controlling person of Avoro Capital and may be deemed to have investment discretion and voting power over the shares held by Avoro. Dr. Aghazadeh disclaims beneficial ownership of these shares, except to the extent of his pecuniary interest in such shares, if any. The address of Avoro is 110 Greene Street, Suite 800, New York, NY 10012. The shares of Common Stock issuable upon conversion of the shares of Series B Preferred Stock held by Avoro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1,364,936 shares of Common Stock issuable upon conversion of shares of Series B Preferred Stock held by Baker Brothers Life Sciences, L.P. (“BBLS”) and (ii) 79,103 shares of Common Stock issuable upon conversion of shares of Series B Preferred Stock held by 667, L.P. (“667, L.P.” and together with BBLS, the “Baker Funds”), all of which were issued in the 2026 Private Placement. Baker Bros Advisors LP is the management company and investment advisor to the Baker Funds and has sole voting and investment power with respect to the shares held by the Baker Funds. Baker Bros. Advisors (GP) LLC is the sole general partner of Baker Bros. Advisors LP. Julian C. Baker and Felix J. Baker are managing members of Baker Bros. Advisors (GP) LLC. Baker Bros. Advisors (GP) LLC, Felix J. Baker, Julian C. Baker and Baker Bros. Advisors L.P. may be deemed to be beneficial owners of the securities directly held by the Baker Funds. Julian C. Baker, Felix J. Baker, Baker Bros. Advisors L.P. and Baker Bros. Advisors (GP) LLC disclaim beneficial ownership of all shares held by the Baker Funds, except to the extent of their indirect pecuniary interest therein. The business address of Baker Bros. Advisors LP, Baker Bros. Advisors (GP) LLC, Julian C. Baker and Felix J. Baker is 860 Washington Street, 3rd Floor, New York, NY 10014. The shares of Common Stock issuable upon conversion of the shares of Series B Preferred Stock held by the Baker Funds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902,525 shares of Common Stock issuable upon conversion of shares of Series B Preferred Stock held by Atlas Private Holdings (Cayman) Ltd., all of which were issued in the 2026 Private Placement. Dmitry Balyasny, via intermediate entities, manages Balyasny Asset Management L.P. and has voting and investment control over the securities held by Atlas Private Holdings (Cayman) Ltd. The address for Atlas Private Holdings (Cayman) Ltd. and Balyasny Asset Management L.P. is 444 West Lake Street, 50th Floor, Chicago, IL 60606. The shares of Common Stock issuable upon conversion of the shares of Series B Preferred Stock held by Atlas Private Holdings (Cayman) Ltd.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722,020 shares of Common Stock issuable upon conversion of shares of Series B Preferred Stock held by Cormorant Global Healthcare Master Fund, LP (“Cormorant”), all of which were issued in the 2026 Private Placement. Cormorant Global Healthcare GP, LLC serves as the general partner of Cormorant. Bihua Chen serves as the managing member of Cormorant Global Healthcare GP, LLC. Each of Cormorant Global Healthcare GP, LLC and Ms. Chen disclaim beneficial ownership of such shares except to the extent of any pecuniary interest therein. Ms. Chen, as the managing member of Cormorant Global Healthcare GP, LLC, has sole voting and investment control over the shares of Common Stock held by Cormorant Global Healthcare Master Fund, LP. The address for Cormorant Global Healthcare Master Fund, LP is 200 Clarendon Street, 52nd Floor, Boston, MA 02116. The shares of Common Stock issuable upon conversion of the shares of Series B Preferred Stock held by Cormorant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722,020 shares of Common Stock issuable upon conversion of shares of Series B Preferred Stock held by Fairmount Healthcare Fund II LP (“Fairmount”), all of which were issued in the 2026 Private Placement. Fairmount Funds Management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(“Fairmount Funds Management”) serves as investment manager for Fairmount and may be deemed a beneficial owner of any securities of the Company held by Fairmount. Fairmount has delegated to Fairmount Funds Management the sole power to vote and the sole power to dispose of all securities held in Fairmount’s portfolio. Because Fairmount has divested itself of voting and investment power over the securities it holds and may not revoke that delegation on less than 61 days’ notice, Fairmount disclaims beneficial ownership of the securities they hold. As managers of Fairmount Funds Management, Peter Harwin and Tomas Kiselak may be deemed beneficial owners of any securities of the Company beneficially owned by Fairmount Funds Management. Fairmount Funds Management, Mr. Harwin and Mr. Kiselak disclaim beneficial ownership of securities held by Fairmount, except to the extent of their pecuniary interest therein. The address for the beneficial owners is 200 Barr Harbor Drive, Suite 400, West Conshohocken, PA 19428. The shares of Common Stock issuable upon conversion of the shares of Series B Preferred Stock held by Fairmount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722,020 shares of Common Stock issuable upon conversion of shares of Series B Preferred Stock held by Logos Opportunities Fund V LP (“LOF V”), all of which were issued in the 2026 Private Placement. Logos Opportunities V GP LLC (“GP V”) is the general partner of Logos Opportunities Fund V LP and may be deemed to have beneficial ownership of these shares. Arsani William and Graham Walmsley are the members of GP V. Dr. William and Dr. Walmsley disclaim beneficial ownership of these securities except to the extent of each’s pecuniary interest therein. The address for Logos entities is One Letterman Drive, Building C, Suite C3-350, San Francisco, California 94129. The shares of Common Stock issuable upon conversion of the shares of Series B Preferred Stock held by Logos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722,020 shares of Common Stock issuable upon conversion of shares of Series B Preferred Stock held by RA Capital Healthcare Fund, L.P. (“RA Capital Fund”), all of which were issued in the 2026 Private Placement. RA Capital Management, L.P. serves as an investment manager for RA Capital Fund. The general partner of RA Capital Management, L.P. is RA Capital Management GP, LLC, of which Peter Kolchinsky and Rajeev Shah are the managing members. Each such person or entity, as the case may be, has shared voting and/or investment power over the securities held by the Fund and may be deemed the beneficial owner of such shares, and each such person or entity, as the case may be, disclaims beneficial ownership of such securities except to the extent of their respective pecuniary interest therein and other than for purposes of determining their obligations under Section 13(d) of the Exchange Act. The principal business address of the persons and entities listed above is 200 Berkeley Street, 18th Floor, Boston, MA 02116. The shares of Common Stock issuable upon conversion of the shares of Series B Preferred Stock held by RA Capital Fund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722,020 shares of Common Stock issuable upon conversion of shares of Series B Preferred Stock held by Seligman Healthcare Spectrum (Master) Fund (“Seligman”), all of which were issued in the 2026 Private Placement. Columbia Management Investment Advisers, LLC serves as an investment manager for Seligman. The principal business address of the persons and entities listed above is c/o Columbia Management Investment Advisors LLC 290 Congress Street, Boston, MA 02210. The shares of Common Stock issuable upon conversion of the shares of Series B Preferred Stock held by Seligman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66,240 shares of Common Stock issuable upon conversion of shares of Series B Preferred Stock held by Vivo Opportunity Cayman Fund, L.P. (“Vivo Cayman Fund”) and (ii) 655,780 shares of Common Stock issuable upon conversion of shares of Series B Preferred Stock held by Vivo Opportunity Fund Holdings, L.P. (“Vivo Opportunity Fund” and together with Vivo Cayman Fund, the “Vivo Funds”), all of which were issued in the 2026 Private Placement. Vivo Opportunity, LLC is the general partner of Vivo Opportunity Fund. Vivo Opportunity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Cayman, LLC is the general partner of Vivo Cayman Fund. The voting members of each of Vivo Opportunity, LLC and Vivo Opportunity Cayman, LLC are Kevin Dai, Gaurav Aggarwal, Frank Kung and Shan Fu, none of whom has individual voting or investment power with respect to the shares held by Vivo Opportunity Fund Holdings, L.P. or Vivo Opportunity Cayman Fund, L.P. The address of the individuals and entities referenced in this footnote is 192 Lytton Avenue, Palo Alto, California 94301. The shares of Common Stock issuable upon conversion of the shares of Series B Preferred Stock held by the Vivo Funds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314,079 shares of Common Stock issuable upon conversion of shares of Series B Preferred Stock held by ADAR1 Partners, LP (“ADAR1”) and (ii) 46,931 shares of Common Stock issuable upon conversion of shares of Series B Preferred Stock held by Spearhead Insurance Solutions IDF, LLC—Series ADAR1 (“Spearhead”, and together with ADAR1, the “ADAR1 Funds”), all of which were issued in the 2026 Private Placement. The investment manager of ADAR1 and the sub-adviser of Spearhead is ADAR1 Capital Management, LLC. The general partner of ADAR1 is ADAR1 Capital Management GP, LLC. The manager of ADAR1 Capital Management, LLC and ADAR1 Capital Management GP, LLC is Daniel Schneeberger. This individual may be deemed to have shared voting and investment power of the shares held by the ADAR1 Funds. This individual disclaims beneficial ownership of such securities, except to the extent of his pecuniary interest therein. The address for ADAR1 and Daniel Schneeberger is 3503 Wild Cherry Drive, Building 9, Austin, TX 78738. The address for Spearhead is 3828 Kennett Pike, Suite 202, Greenville, DE 19807. The shares of Common Stock issuable upon conversion of the shares of Series B Preferred Stock held by the ADAR1 Funds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361,010 shares of Common Stock issuable upon conversion of shares of Series B Preferred Stock held by B Group Capital LLC issued to B Group Capital LLC in the 2026 Private Placement and (ii) 249,159 shares of Common Stock issuable upon conversion of the shares of Series B Preferred Stock held by B Group Capital LLC issued to B Group Capital LLC in the Acquisition. Branden B. Muhl as the manager of B Group Capital LLC has the power to vote and dispose of the securities held by B Group Capital LLC. The principal business address of these persons and entities is 2900 McKinnon St. Suite 1101, Dallas, TX 75201. The shares of Common Stock issuable upon conversion of the shares of Series B Preferred Stock held by B Group Capital LLC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281,120 shares of Common Stock issuable upon conversion of shares of Series B Preferred Stock held by Caligan Partners Master Fund LP (“Caligan Fund”), (ii) 79,890 shares of Common Stock issuable upon conversion of shares of Series B Preferred Stock held by certain accounts managed by Caligan (the “Managed Accounts”) (iii) 98,343 shares of Common Stock held by Caligan Fund and (iv) 27,659 shares of Common Stock held by the Managed Accounts. The shares reported under “Common Stock That May Be Offered Pursuant to the Prospectus” consist of the 281,120 shares of Common Stock issuable upon conversion of shares of Series B Preferred Stock issued to Caligan Fund and 79,890 shares of Common Stock issuable upon conversion of shares of Series B Preferred Stock issued to the Managed Accounts in the 2026 Private Placement. The shares reported under “Common Stock Beneficially Owned After Offering” consist of 98,343 shares of Common Stock held by Caligan Fund and 27,659 shares of Common Stock held by the Managed Accounts. Caligan Partners LP (“Caligan”) serves indirectly as the investment manager to the Caligan Fund and the Managed Accounts. David Johnson is the Managing Partner of Caligan and Managing Member of Caligan Partners GP LLC, the general partner of Caligan, and may be deemed to have voting and investment power over the securities beneficially owned by Caligan and Caligan Fund. The address of the foregoing entities and person is 780 Third Avenue, 30th Floor, New York, New York 10017. The shares of Common Stock issuable upon conversion of the shares of Series B Preferred Stock held by Caligan Fund and the Managed Accounts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20,999 shares of Common Stock issuable upon conversion of shares of Series B Preferred Stock held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Boothbay Diversified Alpha Master Fund LP (“BBDAMF”), (ii) 63,584 shares of Common Stock issuable upon conversion of shares of Series B Preferred Stock held by Boothbay Absolute Return Strategies, LP (“BBARS”), (iii) 192 shares of Common Stock held by BBDAMF, (iv) 1,083 shares of Common Stock held by BBARS, and does not include the shares of Common Stock reported in Footnote (25). The shares reported under “Common Stock That May Be Offered Pursuant to the Prospectus” consist of the 20,999 shares of Common Stock issuable upon conversion of shares of Series B Preferred Stock issued to BBDAMF and the 63,584 shares of Common Stock issuable upon conversion of shares of Series B Preferred Stock issued to BBARS in the 2026 Private Placement. The shares reported under “Common Stock Beneficially Owned After Offering” consist of 192 shares of Common Stock held by BBDAMF and 1,083 shares of Common Stock held by BBARS. BBARS and BBDAMF are managed by Boothbay Fund Management, LLC (“Boothbay”). Boothbay, in its capacity as the investment manager of BBARS and BBDAMF, has delegated to Ikarian Capital, LLC (“Ikarian”), the power to vote and the power to direct the disposition of the shares held by BBDAMF and BBARS. Ari Glass is the Managing Member of Boothbay. Because Boothbay has divested itself of voting and investment power over the securities it beneficially owns and may not revoke that delegation on less than 61 days’ notice, each of BBARS, BBDAMF, Boothbay and Mr. Glass disclaim beneficial ownership of these securities, except to the extent of any pecuniary interest therein. Neil Shahrestani is the Chief Executive Officer of Ikarian. The business address of each of the foregoing entities and persons is c/o Ikarian Capital, LLC, 100 Crescent Court, Suite 1620, Dallas, TX 75201. The shares of Common Stock issuable upon conversion of the shares of Series B Preferred Stock held by BBDAMF and BBARS are subject to a Beneficial Ownership Limitations of 4.99%.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23,357 shares of Common Stock issuable upon conversion of shares of Series B Preferred Stock held by EcoR1 Capital Fund, L.P. (“EcoR1 Capital Fund”) and (ii) 337,653 shares of Common Stock issuable upon conversion of shares of Series B Preferred Stock held by EcoR1 Capital Fund Qualified, L.P. (“EcoR1 Qualified Fund”, together with the EcoR1 Capital Fund, the “EcoR1 Funds”), all of which were issued in the 2026 Private Placement. EcoR1 Capital, LLC (“EcoR1”) is the general partner of the EcoR1 Funds. Oleg Nodelman is the control person of EcoR1 and may be deemed to share dispositive and voting power over the shares held by the EcoR1 Funds. Mr. Nodelman and EcoR1 both disclaim beneficial ownership of all shares except to the extent of their pecuniary interest therein. The address of the above persons is 357 Tehama Street #3, San Francisco, CA 94103. The shares of Common Stock issuable upon conversion of the shares of Series B Preferred Stock held by the EcoR1 Funds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131,940 shares of Common Stock issuable upon conversion of shares of Series B Preferred Stock held by Franklin Strategic Series—Franklin Biotechnology Discovery Fund (“Franklin Strategic”), (ii) 229,070 shares of Common Stock issuable upon conversion of shares of Series B Preferred Stock held by Franklin Templeton Investment Funds—Franklin Biotechnology Discovery Fund (“Franklin Templeton”), (iii) 48,771 shares of Common Stock held by Franklin Strategic and (iv) 84,721 shares of Common Stock held by Franklin Templeton. The shares reported under “Common Stock That May Be Offered Pursuant to the Prospectus” consist of the 131,940 shares of Common Stock issuable upon conversion of shares of Series B Preferred Stock issued to Franklin Strategic in the 2026 Private Placement and the 229,070 shares of Common Stock issuable upon conversion of shares of Series B Preferred Stock issued to Franklin Templeton in the 2026 Private Placement. The shares reported under “Common Stock Beneficially Owned After Offering” consist of 48,771 shares of Common Stock held by Franklin Strategic and 84,721 shares of Common Stock held by Franklin Templeton. Franklin Advisers, Inc., an SEC registered broker-dealer, is the investment adviser to both Franklin Strategic and Franklin Templeton. Evan McCulloch is the portfolio manager for both Franklin Strategic and Franklin Templeton. Mr. McCulloch may be deemed to have voting and investment power over the securities held by Franklin Strategic and Franklin Templeton. The address of Franklin Strategic is c/o Franklin Advisers, Inc., One Franklin Parkway, San Mateo, CA 94403. The address of Franklin Templeton is 8A Rue Albert Borschette, 1246 Kirchberg, Luxembourg. The shares of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issuable upon conversion of the shares of Series B Preferred Stock held by Franklin Strategic and Franklin Templeton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361,010 shares of Common Stock issuable upon conversion of shares of Series B Preferred Stock held by Octagon Investments Master Fund LP (“Octagon”), all of which were issued in the 2026 Private Placement. Octagon Capital Advisors LP is the Investment Manager of Octagon Investments Master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Each of Dr. Jia and Octagon Capital Advisors LP disclaims beneficial ownership of the shares held by Octagon Investments Master Fund LP, except to the extent of his or its pecuniary interest therein, if any. The address for each of Dr. Jia, Octagon Capital Advisors LP and Octagon Investments Master Fund LP is 654 Madison Avenue, 21st Floor, New York, NY 10065. The shares of Common Stock issuable upon conversion of the shares of Series B Preferred Stock held by Octagon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361,010 shares of Common Stock issuable upon conversion of shares of Series B Preferred Stock held by SILV Fund, Ltd. (“SILV Fund”), all of which were issued in the 2026 Private Placement. Sirenia Capital Management LP (“Sirenia”) has investment and voting power with respect to the securities held by certain investment funds it manages, including SILV Fund. Sirenia Capital Management GP LLC (“Sirenia GP”) is the general partner of Sirenia. Alex Silverstein is the managing member of Sirenia GP. Each of SILV Fund, Sirenia GP and Mr. Silverstein disclaim beneficial ownership over such securities. The business address for the individual and entities referenced in this footnote is c/o Sirenia Capital Management LP, 1674 Meridian Avenue, Suite 320, Miami Beach, FL 33139. The shares of Common Stock issuable upon conversion of the shares of Series B Preferred Stock held by SILV Fund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361,010 shares of Common Stock issuable upon conversion of shares of Series B Preferred Stock held by Trails Edge Biotechnology Master Fund, LP (“Trails Edge Biotechnology”) and (ii) 125,000 shares of Common Stock held by Trails Edge Biotechnology. The shares reported under “Common Stock That May Be Offered Pursuant to the Prospectus” consist of the 361,010 shares of Common Stock issuable upon conversion of shares of Series B Preferred Stock issued to Trails Edge Biotechnology in the 2026 Private Placement. The shares reported under “Common Stock Beneficially Owned After Offering” consist of 125,000 shares of Common Stock held by Trails Edge Biotechnology. Trails Edge Capital Partners, LP (“Trails Edge Capital”) is the investment manager to Trails Edge Biotechnology and may be deemed to beneficially own these securities. Mr. Yehudai, as the Chief Investment Officer of Trails Edge Capital, exercises voting and investment discretion with respect to these securities and as such may be deemed to beneficially own such securities. The address of these funds and persons is 3445 Peachtree Road NE, Atlanta, GA 30326. The shares of Common Stock issuable upon conversion of the shares of Series B Preferred Stock held by Trails Edge Biotechnology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361,010 shares of Common Stock issuable upon conversion of shares of Series B Preferred Stock held by Woodline Master Fund LP (“Woodline”). The shares reported under “Common Stock That May Be Offered Pursuant to the Prospectus” consist of the 361,010 shares of Common Stock issuable upon conversion of shares of Series B Preferred Stock issued to Woodline in the 2026 Private Placement. Woodline Partners LP serves as the investment manager of Woodline and may be deemed to be the beneficial owner of the shares. Woodline Partners LP disclaims any beneficial ownership of these shares. The address of Woodline is 4 Embarcadero Center, Suite 3450, San Francisco, CA 94111. The shares of Common Stock issuable upon conversion of the shares of Series B Preferred Stock held by Woodline are subject to a Beneficial Ownership Limitation of 9.99%.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204,225 shares of Common Stock issuable upon conversion of shares of Series B Preferred Stock held by Ikarian Healthcare Master Fund, LP (“Ikarian”), (ii) 5,076 shares of Common Stock held by Ikarian, and does not include the shares reported in Footnote (16). The shares reported under “Common Stock That May Be Offered Pursuant to the Prospectus” consist of the 204,225 shares of Common Stock issuable upon conversion of shares of Series B Preferred Stock issued to Ikarian in the 2026 Private Placement. Neil Shahrestani may be deemed to be the beneficial owner of the shares held by Ikarian and disclaims such beneficial ownership of the shares held by Ikarian, except to the extent of his pecuniary interest therein if any. The address for Ikarian is 100 Crescent Ct., Suite 1620, Dallas, TX 75201. The shares of Common Stock issuable upon conversion of the shares of Series B Preferred Stock held by Ikarian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180,505 shares of Common Stock issuable upon conversion of shares of Series B Preferred Stock held by Boxer Capital Master Fund, LP (“Boxer Fund”), all of which were issued in the 2026 Private Placement. Aaron Davis has voting and dispositive power over the securities held by Boxer Fund. The address of Boxer Fund is 12860 El Camino Real, Ste 300 San Diego, CA 92130. The shares of Common Stock issuable upon conversion of the shares of Series B Preferred Stock held by Boxer Fund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150,421 shares of Common Stock issuable upon conversion of shares of Series B Preferred Stock held by Marshall Wace Investment Strategies—Eureka Fund (“Eureka Fund”), (ii) 30,084 shares of Common Stock issuable upon conversion of shares of Series B Preferred Stock held by MW XO Health Innovations Fund II (“MW XO”) and (iii) 37,529 shares of Common Stock held by Eureka Fund. The shares reported under “Common Stock That May Be Offered Pursuant to the Prospectus” consist of the 150,421 shares of Common Stock issuable upon conversion of shares of Series B Preferred Stock issued to Eureka Fund in the 2026 Private Placement and the 30,084 shares of Common Stock issuable upon conversion of shares of Series B Preferred Stock issued to MW XO in the 2026 Private Placement. The shares reported under “Common Stock Beneficially Owned After Offering” consist of 37,529 shares of Common Stock held by the Eureka Fund. Marshall Wace LLP is the investment manager to the Eureka Fund. Marshall Wace North America L.P. is the investment manager to MW XO. The address of the foregoing entities is George House, 131 Sloane Street, London, SW1X 9AT. The shares of Common Stock issuable upon conversion of the shares of Series B Preferred Stock held by Eureka Fund and MW XO are subject to a Beneficial Ownership Limitation of 4.99%.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144,404 shares of Common Stock issuable upon conversion of shares of Series B Preferred Stock held by Affinity Healthcare Fund L.P., all of which were issued in the 2026 Private Placement. Affinity Asset Advisors, LLC is the investment manager of Affinity Healthcare Fund L.P., and Michael Cho may be deemed to indirectly beneficially own the securities directly held by Affinity Healthcare Fund L.P. The address of Affinity Healthcare Fund L.P., Affinity Asset Advisors, LLC and Mr. Cho is 450 Park Avenue, Suite 1403, New York, NY 10022. The shares of Common Stock issuable upon conversion of the shares of Series B Preferred Stock held by Affinity Healthcare Fund L.P.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144,404 shares of Common Stock issuable upon conversion of shares of Series B Preferred Stock held by Alyeska Master Fund, L.P. (“Alyeska Master Fund”), all of which were issued in the 2026 Private Placement. Alyeska Investment Group, L.P., the investment manager of Alyeska Master Fund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Alyeska Investment Group, L.P. is located at 77 W. Wacker, Suite 700, Chicago IL 60601. The shares of Common Stock issuable upon conversion of the shares of Series B Preferred Stock held by the Alyeska Master Fund, L.P.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18,050 shares of Common Stock issuable upon conversion of shares of Series B Preferred Stock held by Special Situations Life Sciences Fund, L.P. (“SS Life Sciences”), (ii) 41,929 shares of Common Stock issuable upon conversion of shares of Series B Preferred Stock held by Special Situations Fund III QP, L.P. (“SS QP”), (iii) 12,222 shares of Common Stock issuable upon conversion of shares of Series B Preferred Stock held by Special Situations Cayman Fund, L.P. (“SS Cayman” and, together with SS Life Sciences and SS QP, the “Special Situations Funds”), (iv) 211 shares of Common Stock held by SS Life Sciences, (v) 487 shares of Common Stock held by SS QP and (vi) 145 shares of Common Stock held by SS Cayman. The shares reported under “Common Stock That May Be Offered Pursuant to the Prospectus” consist of the 18,050 shares of Common Stock issuable upon conversion of shares of Series B Preferred Stock issued to SS Life Sciences in the 2026 Private Placement, the 41,929 shares of Common Stock issuable upon conversion of shares of Series B Preferred Stock issued to SS QP in the 2026 Private Placement and the 12,222 shares of Common Stock issuable upon conversion of shares of Series B Preferred Stock issued to SS Cayman in the 2026 Private Placement. The shares reported under “Common Stock Beneficially Owned After Offering” consist of 211 shares of Common Stock held by SS Life Sciences, 487 shares of Common Stock held by SS QP and 145 shares of Common Stock held by SS Cayman. A WM Investment Company, Inc. (“A WM”) is the investment adviser to each of the Special Situations Funds. David Greenhouse and Adam Stettner are the principal owners of A WM. Through their control of A 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Special Situations Funds and Messrs. Greenhouse and Stettner is 527 Madison Avenue, Suite 2600, New York, NY 10022. The shares of Common Stock issuable upon conversion of the shares of Series B Preferred Stock held by the Special Situations Funds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72,201 shares of Common Stock issuable upon conversion of shares of Series B Preferred Stock held by Squadron Master Fund LP, all of which were issued in the 2026 Private Placement. Squadron Capital Management LLC serves as investment adviser to Squadron Master Fund LP and may be deemed to be the beneficial owner of all securities held by the fund. Matthew Sesterhenn and William F. Blank III, as Partners of Squadron Capital Management LLC, with the power to exercise investment and voting discretion, may be deemed to be the beneficial owner of all securities held by the funds. Squadron Capital Management LLC and Messrs. Sesterhenn and Blank disclaim beneficial ownership over any of the securities. The address of Squadron Capital Management LLC is 999 Oakmont Plaza Drive, Suite 600, Westmont, IL 60559. The shares of Common Stock issuable upon conversion of the shares of Series B Preferred Stock held by Squadron Master Fund LP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9,176 shares of Common Stock issuable upon conversion of shares of Series B Preferred Stock held by Able Partners NYC, LLC (“Able Partners”), all of which were issued in the Acquisition. Lisa Blau may be deemed to be beneficial owner of securities held by Able Partners. The address for Able Partners is 30 Hudson Yards, FL 72, New York, NY 10001. The shares of Common Stock issuable upon conversion of the shares of Series B Preferred Stock held by Able Partners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1,861 shares of Common Stock issuable upon conversion of shares of Series B Preferred Stock held by AgFunder Fund IV, L.P. (“AgFunder IV”) and (ii) 2,287 shares of Common Stock issuable upon conversion of shares of Series B Preferred Stock held by AgFunder Co-Investment Fund III, A Series of AgFunder Master Fund, LLC (“AgFunder Co-Investment”), all of which were issued in the Acquisition. Donald Rob Leclerc may be deemed to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investment discretion and voting power over the shares held by the AgFunder IV and AgFunder Co-Investment. The address for AgFunder IV and AgFunder Co-Investment is 595 Pacific Ave, 4th Floor, San Francisco, CA 94133. The shares of Common Stock issuable upon conversion of the shares of Series B Preferred Stock held by AgFunder IV and AgFunder Co-Investment each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62,264 shares of Common Stock issuable upon conversion of shares of Series B Preferred Stock held by Alpha Capital Corp., all of which were issued in the Acquisition. Jaime Javier Montealegre may be deemed to be beneficial owner of securities held by Alpha Capital Corp. The address for Alpha Capital Corp. is c/o Fox Horan &amp; Camerini LLP (RUB/ABF) 885 Third Avenue, Floor 17, New York, NY 10022. The shares of Common Stock issuable upon conversion of the shares of Series B Preferred Stock held by Alpha Capital Corp.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761,428 shares of Common Stock issuable upon conversion of shares of Series B Preferred Stock held by Anand Parikh and (ii) 42,933 shares of Common Stock issuable pursuant to stock options exercisable within 60 days of March 31, 2026. The shares reported under “Common Stock That May Be Offered Pursuant to the Prospectus” consist of the 761,428 shares of Common Stock issuable upon conversion of shares of Series B Preferred Stock issued to Mr. Parikh in the Acquisition. The shares reported under “Common Stock Beneficially Owned After Offering” consist of 42,933 shares of Common Stock issuable pursuant to stock options exercisable within 60 days of March 31, 2026. The shares of Common Stock issuable upon conversion of the shares of Series B Preferred Stock held by Mr. Parikh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18,679 shares of Common Stock issuable upon conversion of the shares of Series B Preferred Stock held by Angelle Advisors LLC, all of which were issued in the Acquisition. Chris Wang serves as the controlling person of Angelle Advisors LLC and may be deemed to have investment discretion and voting power over the shares held by Angelle Advisors LLC. The address for Angelle Advisors LLC is 5348 Vegas Drive, Suite 947, Las Vegas, NV 89108. The shares of Common Stock issuable upon conversion of the shares of Series B Preferred Stock held by Angelle Advisors LLC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12,453 shares of Common Stock issuable upon conversion of the shares of Series B Preferred Stock held by Anne C. Harrison, all of which were issued in the Acquisition. The shares of Common Stock issuable upon conversion of the shares of Series B Preferred Stock held by Anne C. Harrison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18,352 shares of Common Stock issuable upon conversion of the shares of Series B Preferred Stock held by Apple Island Investment Fund I LLC (“Apple Island”), all of which were issued in the Acquisition. Sachin Gupta serves as the controlling person of Apple Island and may be deemed to have investment discretion and voting power over the shares held by Apple Island. The address for Apple Island is 820 S. Washington, Hinsdale, IL 60521. The shares of Common Stock issuable upon conversion of the shares of Series B Preferred Stock held by Apple Island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13,698 shares of Common Stock issuable upon conversion of shares of Series B Preferred Stock held by Bar Investments LLC, all of which were issued in the Acquisition. Prashanth Reddy serves as the controlling person of Bar Investments LLC and may be deemed to have investment discretion and voting power over the shares held by Bar Investments LLC. The address for Bar Investments LLC is 700 E Ogden, Suite 305, Westmont, IL 60559. The shares of Common Stock issuable upon conversion of the shares of Series B Preferred Stock held by Bar Investments LLC are subject to a Beneficial Ownership Limitation of 19.99%.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Benjamin D. Hopkins, all of which were issued in the Acquisition. The shares of Common Stock issuable upon conversion of the shares of Series B Preferred Stock held by Benjamin D. Hopkins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4,980 shares of Common Stock issuable upon conversion of shares of Series B Preferred Stock held by Burnett F. King, all of which were issued in the Acquisition. The shares of Common Stock issuable upon conversion of the shares of Series B Preferred Stock held by Burnett F. King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26,577 shares of Common Stock issuable upon conversion of shares of Series B Preferred Stock held by Cantley GRAT Remainder Trust f/b/o Alexandra Cantley u/d/t 7/1/16 (“A. Cantley Trust”) and (ii) 26,577 shares of Common Stock issuable upon conversion of shares of Series B Preferred Stock held by Cantley GRAT Remainder Trust f/b/o Mariko Cantley u/d/t 7/1/16 (“M. Cantley Trust”), all of which were issued in the Acquisition. Vicki Sato may be deemed to have investment discretion and voting power over the shares held by the A. Cantley Trust and the M. Cantley Trust. The shares of Common Stock issuable upon conversion of the shares of Series B Preferred Stock held by the A. Cantley Trust and the M. Cantley Trust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consists of (i) 18,608 shares of Common Stock issuable upon conversion of shares of Series B Preferred Stock held by Cantos Ivy, L.L.C. (“Cantos Ivy”), (ii) 118,207 shares of Common Stock issuable upon conversion of shares of Series B Preferred Stock held by Cantos Ventures III, L.P. (“Cantos Ventures”) and (iii) 8,737 shares of Common Stock issuable upon conversion of shares of Series B Preferred Stock held by FA Fund I, a series of Cantos Ventures Funds, LP (“FA Fund”), all of which were issued in the Acquisition. Julian Rountree may be deemed to have investment discretion and voting power over the shares held by Cantos Ivy, Cantos Ventures and FA Fund. The address for Cantos Ivy and Cantos Ventures is 595 Pacific Ave, 4th Floor, San Francisco, CA 94133. The address for FA Fund is PO Box 3217, Seattle, WA 98114. The shares of Common Stock issuable upon conversion of the shares of Series B Preferred Stock held by Cantos Ivy, Cantos Ventures and FA Fund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18,608 shares of Common Stock issuable upon conversion of shares of Series B Preferred Stock held by Consolidated Investments International, LLC Series B (“Consolidated Investments Series B”) and (ii) 124,527 shares of Common Stock issuable upon conversion of shares of Series B Preferred Stock held by Consolidated Investments International, LLC Series G (“Consolidated Investments Series G”), all of which were issued in the Acquisition. Robert Granieri serves as the sole member of each of Consolidated Investments Series B and Consolidated Investments Series G and may be deemed to have investment discretion and voting power over the shares held by Consolidated Investments Series B and Consolidated Investments Series G. The address for Consolidated Investments Series B and Consolidated Investments Series G is 500 Mamaroneck Avenue, Suite 301, Harrison, NY 10528. The shares of Common Stock issuable upon conversion of the shares of Series B Preferred Stock held by Consolidated Investments Series B and Consolidated Investments Series G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2,972 shares of Common Stock issuable upon conversion of shares of Series B Preferred Stock held by Daniel J. Conway, all of which were issued in the Acquisition. The shares of Common Stock issuable upon conversion of the shares of Series B Preferred Stock held by Daniel J. Conway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156,669 shares of Common Stock issuable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upon conversion of shares of Series B Preferred Stock held by Debbie Chirnomas, all of which were issued in the Acquisition. The shares of Common Stock issuable upon conversion of the shares of Series B Preferred Stock held by Debbie Chirnomas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1,016 shares of Common Stock issuable upon conversion of shares of Series B Preferred Stock held by Domen Kampjut and (ii) 1,594 shares of Common Stock issuable pursuant to stock options exercisable within 60 days of March 31, 2026. The shares reported under “Common Stock That May Be Offered Pursuant to the Prospectus” consist of the 1,016 shares of Common Stock issuable upon conversion of shares of Series B Preferred Stock issued to Domen Kampjut in the Acquisition. The shares reported under “Common Stock Beneficially Owned After Offering” consist of 1,594 shares of Common Stock issuable pursuant to stock options exercisable within 60 days of March 31, 2026. The shares of Common Stock issuable upon conversion of the shares of Series B Preferred Stock held by Domen Kampjut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27,262 shares of Common Stock issuable upon conversion of shares of Series B Preferred Stock held by FA-0611 Fund I, a series of Umami Capital, LP (“FA-0611”), all of which were issued in the Acquisition. James Lu Morrissey serves as the controlling person of FA-0611 and may be deemed to have investment discretion and voting power over the shares held by FA-0611. Mr. Morrissey disclaims beneficial ownership of these shares. The address for FA-0611 is PO Box 3217, Seattle, WA 98114. The shares of Common Stock issuable upon conversion of the shares of Series B Preferred Stock held by FA-0611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124,527 shares of Common Stock issuable upon conversion of shares of Series B Preferred Stock held by Faeth Investments, LLC, all of which were issued in the Acquisition. Rodney H. Thomas may be deemed to be beneficial owner of securities held by Faeth Investments, LLC. The address for Faeth Investments, LLC is 12647 Olive Blvd, Ste. 510, St. Louis, MO 63141. The shares of Common Stock issuable upon conversion of the shares of Series B Preferred Stock held by Faeth Investments, LLC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39,849 shares of Common Stock issuable upon conversion of shares of Series B Preferred Stock held by the Felix Gurevich 2023 Family Trust (the “Gurevich Trust”), all of which were issued in the Acquisition. Does not include the shares reported in Footnote (67). Felix Gurevich serves as the controlling person of the Gurevich Trust and may be deemed to have investment discretion and voting power over the shares held by the Gurevich Trust. The address for the Gurevich Trust is 17305 Ponte Chiasso Dr., Boca Raton, FL 33496. The shares of Common Stock issuable upon conversion of the shares of Series B Preferred Stock held by the Gurevich Trust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249,053 shares of Common Stock issuable upon conversion of shares of Series B Preferred Stock held by Fund I, a series of Avicella Capital Fund, LP (“Avicella Fund I”), all of which were issued in the Acquisition. Gennady Bratslavsky serves as the controlling person of Avicella Fund I and may be deemed to have investment discretion and voting power over the shares held by Avicella Fund I. Mr. Bratslavsky disclaims beneficial ownership of these shares. The address for Fund I is PO Box 3217, Seattle, WA 98114. The shares of Common Stock issuable upon conversion of the shares of Series B Preferred Stock held by Avicella Fund I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955,468 shares of Common Stock issuable upon conversion of shares of Series B Preferred Stock held by Future Ventures L.P. (“Future Ventures”) and (ii) 60,987 shares of Common Stock issuable upon conversion of shares of Series B Preferred Stock held by Future Ventures Side Fund, L.P. (“Future Side Fund”), all of which were issued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Acquisition. Steve Jurvetson and Maryanna Saenko serve as the controlling persons of Future Ventures and Future Side Fund and may be deemed to have investment discretion and voting power over the shares held by Future Ventures and Future Side Fund. The address for Future Ventures and Future Side Fund is 465 First Street, Los Altos, CA 94022. The shares of Common Stock issuable upon conversion of the shares of Series B Preferred Stock held by Future Ventures and Future Side Fund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94 shares of Common Stock issuable upon conversion of shares of Series B Preferred Stock held by Georgina F. Steele, all of which were issued in the Acquisition. The shares of Common Stock issuable upon conversion of the shares of Series B Preferred Stock held by Georgina F. Steele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Greg Hannon, all of which were issued in the Acquisition. The shares of Common Stock issuable upon conversion of the shares of Series B Preferred Stock held by Mr. Hannon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13,516 shares of Common Stock issuable upon conversion of shares of Series B Preferred Stock held by Greg Mork, all of which were issued in the Acquisition. The shares of Common Stock issuable upon conversion of the shares of Series B Preferred Stock held by Mr. Mork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32,227 shares of Common Stock issuable upon conversion of shares of Series B Preferred Stock held by iSelect Qualified Purchaser Fund, LLC (“iSelect Purchaser”) and (ii) 13,330 shares of Common Stock issuable upon conversion of shares of Series B Preferred Stock held by iSelect Innovation Fund (B) I, LLC (“iSelect Innovation”), all of which were issued in the Acquisition. James Carter Williams serves as the controlling person of iSelect Purchaser and iSelect Innovation and may be deemed to have investment discretion and voting power over the shares held by iSelect Purchaser and iSelect Innovation. The address for iSelect Purchaser and iSelect Innovation is 7750 Maryland Avenue, Box 11826, St. Louis, MO 63105. The shares of Common Stock issuable upon conversion of the shares of Series B Preferred Stock held by iSelect Purchaser and iSelect Innovation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3,320 shares of Common Stock issuable upon conversion of shares of Series B Preferred Stock held by Javier Piggee, all of which were issued in the Acquisition. The shares of Common Stock issuable upon conversion of the shares of Series B Preferred Stock held by Mr. Piggee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44,763 shares of Common Stock issuable upon conversion of shares of Series B Preferred Stock held by Jayson Dallas, all of which were issued in the Acquisition. The shares of Common Stock issuable upon conversion of the shares of Series B Preferred Stock held by Mr. Dallas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consists of (i) 100 shares of Common Stock issuable upon conversion of shares of Series B Preferred Stock held by H. Jonathan G. Lindström and (ii) 3,321 shares of Common Stock issuable pursuant to stock options exercisable within 60 days of March 31, 2026. The shares reported under “Common Stock That May Be Offered Pursuant to the Prospectus” consist of the 100 shares of Common Stock issuable upon conversion of shares of Series B Preferred Stock issued to Mr. Lindström in the Acquisition. The shares reported under “Common Stock Beneficially Owned After Offering” consist of 3,321 shares of Common Stock issuable pursuant to stock options exercisable within 60 days of March 31, 2026. The shares of Common Stock issuable upon conversion of the shares of Series B Preferred Stock held by Mr. Lindström are subject to a Beneficial Ownership Limitation of 19.99%.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Karen H. Vousden, all of which were issued in the Acquisition. The shares of Common Stock issuable upon conversion of the shares of Series B Preferred Stock held by Karen H. Vousden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623 shares of Common Stock issuable upon conversion of shares of Series B Preferred Stock held by Katelyn M. Patterson, all of which were issued in the Acquisition. The shares of Common Stock issuable upon conversion of the shares of Series B Preferred Stock held by Katelyn M. Patterson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114,885 shares of Common Stock issuable upon conversion of shares of Series B Preferred Stock held by KdT Ventures Fund II, LP (“KdT Ventures”), all of which were issued in the Acquisition. Mack Healy may be deemed to be beneficial owner of securities held by KdT Ventures. The address for KdT Ventures is 910 Juniper St., Austin, TX 78702. The shares of Common Stock issuable upon conversion of the shares of Series B Preferred Stock held by KdT Ventures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consists of (i) 988,883 shares of Common Stock issuable upon conversion of shares of Series B Preferred Stock held by Khosla Ventures Series D, LP (“KV Seed D LP”) and (ii) 1,643,349 shares of Common Stock issuable upon conversion of Series B Preferred Stock held by Khosla Ventures VI, LP (“KV VI LP”, and, together with KV Seed D LP, “Khosla Ventures”), all of which were issued in the Acquisition. Khosla Ventures Seed Associates D, LLC (“KV Seed D GP”) is the general partner of KV Seed D LP. Khosla Ventures Associates VI, LLC (“KV VI GP”) is the general partner of KV VI LP. Vinod Khosla is the managing member of VK Services, LLC (“VK Services”), which is the sole manager of each of KV Seed GP and KV VI GP. Each of KV Seed D GP, VK Services and Vinod Khosla may be deemed to possess voting and investment control over such securities held by KV Seed D LP, and each of KV Seed D GP, VK Services, and Vinod Khosla may be deemed to have indirect beneficial ownership of such securities held by KV Seed D LP. Each of KV VI GP, VK Services and Vinod Khosla may be deemed to possess voting and investment control over such securities held by KV VI LP, and each of KV VI GP, VK Services, and Vinod Khosla may be deemed to have indirect beneficial ownership of such securities held by KV VI LP. Each reporting person disclaims beneficial ownership of such shares except to the extent of his or its pecuniary interests therein. The address for each entity is 2128 Sand Hill Road, Menlo Park, CA 94025. The shares of Common Stock issuable upon conversion of the shares of Series B Preferred Stock held by Khosla Ventures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consists of 26,578 shares of Common Stock issuable upon conversion of shares of Series B Preferred Stock held by Lewis Cantley, all of which were issued in the Acquisition. The shares of Common Stock issuable upon conversion of the shares of Series B Preferred Stock held by Lewis Cantley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Marcus Goncalves, all of which were issued in the Acquisition. The shares of Common Stock issuable upon conversion of the shares of Series B Preferred Stock held by Marcus Goncalves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18,679 shares of Common Stock issuable upon conversion of shares of Series B Preferred Stock held by Margao II, LP (“Margao II”), all of which were issued in the Acquisition. Mark Britto may be deemed to be beneficial owner of securities held by Margao II. The address for Margao is 2800 Warren St., Austin, TX 78703. The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issuable upon conversion of the shares of Series B Preferred Stock held by Margao II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59,773 shares of Common Stock issuable upon conversion of shares of Series B Preferred Stock held by the Marina Sheyfer 2023 Family Trust (the “Sheyfer Trust”), all of which were issued in the Acquisition. Does not include the shares reported in Footnote (50). Felix Gurevich serves as the controlling person of the Sheyfer Trust and may be deemed to have investment discretion and voting power over the shares held by the Sheyfer Trust. The address for the Sheyfer Trust is 17305 Ponte Chiasso Dr., Boca Raton, FL 33496. The shares of Common Stock issuable upon conversion of the shares of Series B Preferred Stock held by the Sheyfer Trust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223,818 shares of Common Stock issuable upon conversion of shares of Series B Preferred Stock held by Mars Health Fund I, LLC (“Mars”), all of which were issued in the Acquisition. Geoffrey W. Smith may be deemed to be beneficial owner of securities held by Mars. The address for Mars is 11 Times Square, Suite 1500A, New York, NY 10036. The shares of Common Stock issuable upon conversion of the shares of Series B Preferred Stock held by Mars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458,927 shares of Common Stock issuable upon conversion of shares of Series B Preferred Stock held by Oliver D.K. Maddocks, all of which were issued in the Acquisition. The shares of Common Stock issuable upon conversion of the shares of Series B Preferred Stock held by Oliver D.K. Maddocks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consists of (i) 1,862 shares of Common Stock issuable upon conversion of shares of Series B Preferred Stock held by Petros A. Tyrakis and (ii) 4,273 shares of Common Stock issuable pursuant to stock options exercisable within 60 days of March 31, 2026. The shares reported under “Common Stock That May Be Offered Pursuant to the Prospectus” consist of the 1,862 shares of Common Stock issuable upon conversion of shares of Series B Preferred Stock issued to Petros A. Tyrakis in the Acquisition. The shares reported under “Common Stock Beneficially Owned After Offering” consist of 4,273 shares of Common Stock issuable pursuant to stock options exercisable within 60 days of March 31, 2026. The shares of Common Stock issuable upon conversion of the shares of Series B Preferred Stock held by Petros A. Tyrakis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27,783 shares of Common Stock issuable upon conversion of shares of Series B Preferred Stock held by Robert Gould, all of which were issued in the Acquisition. The shares of Common Stock issuable upon conversion of the shares of Series B Preferred Stock held by Robert Gould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262 shares of Common Stock issuable upon conversion of shares of Series B Preferred Stock held by Ryan O’Connor, all of which were issued in the Acquisition. The shares of Common Stock issuable upon conversion of the shares of Series B Preferred Stock held by Ryan O’Connor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14,237 shares of Common Stock issuable upon conversion of shares of Series B Preferred Stock held by Ryan W. Whitney, all of which were issued in the Acquisition. The shares of Common Stock issuable upon conversion of the shares of Series B Preferred Stock held by Ryan W. Whitney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2,919,672 shares of Common Stock issuable upon conversion of shares of Series B Preferred Stock held by S2G Builders Food &amp; Agriculture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Fund III, LP (“S2G Fund”), all of which were issued in the Acquisition. S2G Investments, LLC (“S2G Investments”) is a registered investment advisor to S2G Fund and may be deemed to have investment discretion and voting power over the shares held by S2G Fund. The address for S2G Fund and S2G Investments is 210 N. Carpenter Street, Suite 800, Chicago, IL 60607. The shares of Common Stock issuable upon conversion of the shares of Series B Preferred Stock held by S2G Fund are subject to a Beneficial Ownership Limitation of 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18,352 shares of Common Stock issuable upon conversion of shares of Series B Preferred Stock held by S3 Partners Group, LLLP (“S3 Partners”), all of which were issued in the Acquisition. J. Brock Saunders may be deemed to be beneficial owner of securities held by S3 Partners. The address for S3 Partners is 5605 Grove Ave., Richmond, VA 23226. The shares of Common Stock issuable upon conversion of the shares of Series B Preferred Stock held by S3 Partners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Scott W. Lowe, all of which were issued in the Acquisition. The shares of Common Stock issuable upon conversion of the shares of Series B Preferred Stock held by Scott W. Lowe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119,597 shares of Common Stock issuable upon conversion of shares of Series B Preferred Stock held by Siddhartha Mukherjee, all of which were issued in the Acquisition. The shares of Common Stock issuable upon conversion of the shares of Series B Preferred Stock held by Siddhartha Mukherjee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79,731 shares of Common Stock issuable upon conversion of shares of Series B Preferred Stock held by Simon R.V. Knott, all of which were issued in the Acquisition. The shares of Common Stock issuable upon conversion of the shares of Series B Preferred Stock held by Simon R.V. Knott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44,763 shares of Common Stock issuable upon conversion of shares of Series B Preferred Stock held by Stephen M. Hahn, all of which were issued in the Acquisition. The shares of Common Stock issuable upon conversion of the shares of Series B Preferred Stock held by Stephen M. Hahn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7,915 shares of Common Stock issuable upon conversion of shares of Series B Preferred Stock held by Todd A. Young, all of which were issued in the Acquisition. The shares of Common Stock issuable upon conversion of the shares of Series B Preferred Stock held by Todd A. Young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(i) 2,280 shares of Common Stock issuable upon conversion of shares of Series B Preferred Stock held by Unshackled Ventures Fund II, LP (“Unshackled Ventures II”), (ii) 1,226 shares of Common Stock issuable upon conversion of shares of Series B Preferred Stock held by Unshackled Ventures Fund II-A, LP (“Unshackled Fund II-A”), (iii) 24,906 shares of Common Stock issuable upon conversion of shares of Series B Preferred Stock held by Unshackled Syndicate 2018, LLC (“Unshackled Syndicate”) and (iv) 7,444 shares of Common Stock issuable upon conversion of shares of Series B Preferred Stock held by Unshackled Syndicate 2018 LLC (Class E- Faeth) (“Unshackled Syndicate Class E”, and together with Unshackled Ventures II, Unshackled Ventures II-A, and Unshackled Syndicate, the “Unshackled Funds”), all of which were issued in the Acquisition. ANAR Management, LLC. serves as an investment manager for Unshackled Funds, of which Manan Mehta and Nitin Pachisia are the controlling persons. Each such person may be deemed as the beneficial owner of such shares, and each such person, disclaims beneficial ownership of such securities except to the extent of their respective pecuniary interest therein and other than for purposes of determining their obligations under Section 13(d) of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address for the Unshackled Funds is 831 Santa Maria Way, Lafayette, CA 94549. The shares of Common Stock issuable upon conversion of the shares of Series B Preferred Stock held by the Unshackled Funds are subject to a Beneficial Ownership Limitation of 19.99%.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and “Common Stock That May Be Offered Pursuant to the Prospectus” consist of 2,102 shares of Common Stock issuable upon exercise of the Warrant held by Western Alliance Bancorp (“Western Alliance”) to purchase shares of Series B Preferred Stock, which will be exercisable for shares of Common Stock upon conversion of the shares of Series B Preferred Stock. The Warrant was assumed by the Company in the Acquisition. The address for Western Alliance is One E. Washington, Suite 1400, Phoenix, AZ 85004. The shares of Common Stock underlying the shares of Series B Preferred Stock issuable upon exercise of the Warrant held by Western Alliance are subject to a Beneficial Ownership Limitation of 19.99%.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Material Relationships with the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Selling Stockholders have or previously had the below material relationships with us or Faeth within the past three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Acquisition, Anand Parikh was appointed as our Chief Operating Officer. In addition, Mr. Parikh is a co-founder of Faeth and previously served as the Chief Executive Officer and a director of Faeth Subsidiary from April 2019 until the closing of the Acquisition. Furthermore, we expect the board to appoint Mr. Parikh as our President and Chief Executive Officer and Chair of our board of directors effective on June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Oliver Maddocks is a co-founder of Faeth has served as the Chief Scientific Officer of Faeth Subsidiary since April 2019. In addition, Mr. Maddocks previously served as a director of Faeth Subsidiary from April 2019 until the closing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Debbie Chirnomas has served as the Chief Medical Officer of Faeth Subsidiary since May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Benjamin D. Hopkins, Greg Hannon, Marcus Goncalves, Lewis Cantley, Karen Vousden, Siddhartha Mukherjee and Scott W. Lowe is a scientific co-founder of Faeth.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Stephen M. Hahn previously served as a director of Faeth Subsidiary from September 2024 until the closing of the Acquisition. In addition, we expect that Mr. Hahn will be appointed as a member of our board of directors effective on June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Jayson Dallas previously served as a director of Faeth Subsidiary from June 2024 until the closing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Gould previously served as a director of Faeth Subsidiary from July 2021 until the closing of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designee of Khosla Ventures previously served on the board of directors of Faeth Subsidiary from June 2019 until the closing of the Acquisition pursuant to Khosla Ventures’ previously held right to designate a director to the board of directors of Faeth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designee of S2G Fund previously served on the board of directors of Faeth Subsidiary from March 2022 until June 2024 pursuant to S2G Fund’s previously held right to designate a director to the board of directors of Faeth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W. Whitney previously served as the Chief of Staff and VP and Head of Finance, Operations of Faeth Subsidiary from January 2020 to June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Acquisition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See the section titled “Prospectus Summary—Recent Developments” for a description of the terms of the agreements entered into in connection with the Acquisition Transactions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33316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Resale Shares or interests in Resale Shares received after the date of this prospectus from a Selling Stockholder as a gift, pledge, partnership distribution or other transfer, may, from time to time, sell, transfer or otherwise dispose of any or all of their Resale Shares or interests in Resale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Resale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Resale Shares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Resale Shares or interests therein, the Selling Stockholders may enter into hedging transactions with broker-dealers or other financial institutions, which may in turn engage in short sales of Common Stock in the course of hedging the positions they assume. The Selling Stockholders may also sell Resale Shares short and deliver these securities to close out their short positions, or loan or pledge the Resale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Resale Shares offered by them will be the purchase price of the Resale Shares less discounts or commissions, if any. Each of the Selling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reserves the right to accept and, together with their agents from time to time, to reject, in whole or in part, any proposed purchase of Resale Shares to be made directly or through agents. We will not receive any of the proceeds from this offering. If the Warrant is exercised for cash, we will receive the net proceeds therefrom.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Resale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Resale Shares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Resale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Resale Shares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Resale Shares may be sold in these jurisdictions only through registered or licensed brokers or dealers. In addition, in some states the Resale Shares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Resale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Resale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Resale Shares covered by this prospectus and (ii) the date on which the Resale Shares covered by this prospectus no longer constitute “Registrable Securities” as such term is defined in the RRA,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Resale Shares registered pursuant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33316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Cooley LLP, Washington, D.C.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1" w:name="toc133316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Sensei Biotherapeutics,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Faeth Therapeutics,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33316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www.senseibio.com. However, the information on, or that can be accessed through, our website is not a part of this prospectus and is not incorporated by reference into this prospectus. </w:t>
      </w:r>
    </w:p>
    <w:p>
      <w:pPr>
        <w:pStyle w:val="TextBody"/>
        <w:bidi w:val="0"/>
        <w:spacing w:before="480" w:after="0"/>
        <w:jc w:val="center"/>
        <w:rPr>
          <w:rFonts w:ascii="Times New Roman" w:hAnsi="Times New Roman"/>
          <w:b/>
          <w:sz w:val="20"/>
        </w:rPr>
      </w:pPr>
      <w:bookmarkStart w:id="13" w:name="toc133316_11"/>
      <w:bookmarkEnd w:id="13"/>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including all filings made after the date of the filing of this registration statement and prior to the effectiveness of this registration statement, except, in each case, as to any portion of any future report or document that is not deemed filed under such provisions, prior to the termination of any offering of securities made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4">
              <w:r>
                <w:rPr>
                  <w:rStyle w:val="InternetLink"/>
                  <w:rFonts w:ascii="Times New Roman" w:hAnsi="Times New Roman"/>
                  <w:sz w:val="20"/>
                </w:rPr>
                <w:t>March 30, 2026</w:t>
              </w:r>
            </w:hyperlink>
            <w:r>
              <w:rPr>
                <w:rFonts w:ascii="Times New Roman" w:hAnsi="Times New Roman"/>
                <w:sz w:val="20"/>
              </w:rPr>
              <w:t xml:space="preserve">, as amended by Amendment No. 1 to our Annual Report on Form 10-K/A for the year ended December 31, 2025, filed with the SEC on </w:t>
            </w:r>
            <w:hyperlink r:id="rId5">
              <w:r>
                <w:rPr>
                  <w:rStyle w:val="InternetLink"/>
                  <w:rFonts w:ascii="Times New Roman" w:hAnsi="Times New Roman"/>
                  <w:sz w:val="20"/>
                </w:rPr>
                <w:t>June 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2026, filed with the SEC on </w:t>
            </w:r>
            <w:hyperlink r:id="rId6">
              <w:r>
                <w:rPr>
                  <w:rStyle w:val="InternetLink"/>
                  <w:rFonts w:ascii="Times New Roman" w:hAnsi="Times New Roman"/>
                  <w:sz w:val="20"/>
                </w:rPr>
                <w:t>May 15,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for our Annual Meeting filed with the SEC on </w:t>
            </w:r>
            <w:hyperlink r:id="rId7">
              <w:r>
                <w:rPr>
                  <w:rStyle w:val="InternetLink"/>
                  <w:rFonts w:ascii="Times New Roman" w:hAnsi="Times New Roman"/>
                  <w:sz w:val="20"/>
                </w:rPr>
                <w:t>April 27, 2026</w:t>
              </w:r>
            </w:hyperlink>
            <w:r>
              <w:rPr>
                <w:rFonts w:ascii="Times New Roman" w:hAnsi="Times New Roman"/>
                <w:sz w:val="20"/>
              </w:rPr>
              <w:t xml:space="preserve"> (except for information contained therein which is furnished rather than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(except for information contained therein which is furnished rather than filed) filed on </w:t>
            </w:r>
            <w:hyperlink r:id="rId8">
              <w:r>
                <w:rPr>
                  <w:rStyle w:val="InternetLink"/>
                  <w:rFonts w:ascii="Times New Roman" w:hAnsi="Times New Roman"/>
                  <w:sz w:val="20"/>
                </w:rPr>
                <w:t>February  13, 2026</w:t>
              </w:r>
            </w:hyperlink>
            <w:r>
              <w:rPr>
                <w:rFonts w:ascii="Times New Roman" w:hAnsi="Times New Roman"/>
                <w:sz w:val="20"/>
              </w:rPr>
              <w:t xml:space="preserve">, </w:t>
            </w:r>
            <w:hyperlink r:id="rId9">
              <w:r>
                <w:rPr>
                  <w:rStyle w:val="InternetLink"/>
                  <w:rFonts w:ascii="Times New Roman" w:hAnsi="Times New Roman"/>
                  <w:sz w:val="20"/>
                </w:rPr>
                <w:t>February  18, 2026</w:t>
              </w:r>
            </w:hyperlink>
            <w:r>
              <w:rPr>
                <w:rFonts w:ascii="Times New Roman" w:hAnsi="Times New Roman"/>
                <w:sz w:val="20"/>
              </w:rPr>
              <w:t xml:space="preserve"> (as amended on </w:t>
            </w:r>
            <w:hyperlink r:id="rId10">
              <w:r>
                <w:rPr>
                  <w:rStyle w:val="InternetLink"/>
                  <w:rFonts w:ascii="Times New Roman" w:hAnsi="Times New Roman"/>
                  <w:sz w:val="20"/>
                </w:rPr>
                <w:t>April  15, 2026</w:t>
              </w:r>
            </w:hyperlink>
            <w:r>
              <w:rPr>
                <w:rFonts w:ascii="Times New Roman" w:hAnsi="Times New Roman"/>
                <w:sz w:val="20"/>
              </w:rPr>
              <w:t xml:space="preserve">), </w:t>
            </w:r>
            <w:hyperlink r:id="rId11">
              <w:r>
                <w:rPr>
                  <w:rStyle w:val="InternetLink"/>
                  <w:rFonts w:ascii="Times New Roman" w:hAnsi="Times New Roman"/>
                  <w:sz w:val="20"/>
                </w:rPr>
                <w:t>April  16, 2026</w:t>
              </w:r>
            </w:hyperlink>
            <w:r>
              <w:rPr>
                <w:rFonts w:ascii="Times New Roman" w:hAnsi="Times New Roman"/>
                <w:sz w:val="20"/>
              </w:rPr>
              <w:t xml:space="preserve">, </w:t>
            </w:r>
            <w:hyperlink r:id="rId12">
              <w:r>
                <w:rPr>
                  <w:rStyle w:val="InternetLink"/>
                  <w:rFonts w:ascii="Times New Roman" w:hAnsi="Times New Roman"/>
                  <w:sz w:val="20"/>
                </w:rPr>
                <w:t>May 21, 2026</w:t>
              </w:r>
            </w:hyperlink>
            <w:r>
              <w:rPr>
                <w:rFonts w:ascii="Times New Roman" w:hAnsi="Times New Roman"/>
                <w:sz w:val="20"/>
              </w:rPr>
              <w:t xml:space="preserve">, </w:t>
            </w:r>
            <w:hyperlink r:id="rId13">
              <w:r>
                <w:rPr>
                  <w:rStyle w:val="InternetLink"/>
                  <w:rFonts w:ascii="Times New Roman" w:hAnsi="Times New Roman"/>
                  <w:sz w:val="20"/>
                </w:rPr>
                <w:t>May 22, 2026</w:t>
              </w:r>
            </w:hyperlink>
            <w:r>
              <w:rPr>
                <w:rFonts w:ascii="Times New Roman" w:hAnsi="Times New Roman"/>
                <w:sz w:val="20"/>
              </w:rPr>
              <w:t xml:space="preserve"> and </w:t>
            </w:r>
            <w:hyperlink r:id="rId14">
              <w:r>
                <w:rPr>
                  <w:rStyle w:val="InternetLink"/>
                  <w:rFonts w:ascii="Times New Roman" w:hAnsi="Times New Roman"/>
                  <w:sz w:val="20"/>
                </w:rPr>
                <w:t>June 10,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Written or oral requests for copies should be directed to Sensei Biotherapeutics, Inc., Attn: Investor Relations, 1405 Research Boulevard, Suite 125, Rockville, MD 20850, telephone number (240) 243-8000. See the section of this prospectus entitled “Where You Can Find More Information” for information concerning how to read and obtain copies of materials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9"/>
        <w:gridCol w:w="397"/>
        <w:gridCol w:w="141"/>
        <w:gridCol w:w="1339"/>
        <w:gridCol w:w="63"/>
      </w:tblGrid>
      <w:tr>
        <w:trPr/>
        <w:tc>
          <w:tcPr>
            <w:tcW w:w="499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107,080.68</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300,000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35,000</w:t>
            </w:r>
          </w:p>
        </w:tc>
        <w:tc>
          <w:tcPr>
            <w:tcW w:w="63" w:type="dxa"/>
            <w:tcBorders/>
            <w:vAlign w:val="bottom"/>
          </w:tcPr>
          <w:p>
            <w:pPr>
              <w:pStyle w:val="TableContents"/>
              <w:bidi w:val="0"/>
              <w:spacing w:before="0" w:after="283"/>
              <w:jc w:val="left"/>
              <w:rPr/>
            </w:pPr>
            <w:r>
              <w:rPr/>
              <w:t> </w:t>
            </w:r>
          </w:p>
        </w:tc>
      </w:tr>
      <w:tr>
        <w:trPr/>
        <w:tc>
          <w:tcPr>
            <w:tcW w:w="4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39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339" w:type="dxa"/>
            <w:tcBorders/>
            <w:shd w:fill="CCEEFF" w:val="clear"/>
            <w:vAlign w:val="bottom"/>
          </w:tcPr>
          <w:p>
            <w:pPr>
              <w:pStyle w:val="TableContents"/>
              <w:bidi w:val="0"/>
              <w:spacing w:before="0" w:after="283"/>
              <w:jc w:val="right"/>
              <w:rPr/>
            </w:pPr>
            <w:r>
              <w:rPr/>
              <w:t>100,000</w:t>
            </w:r>
          </w:p>
        </w:tc>
        <w:tc>
          <w:tcPr>
            <w:tcW w:w="63" w:type="dxa"/>
            <w:tcBorders/>
            <w:shd w:fill="CCEEFF" w:val="clear"/>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567,080.68</w:t>
            </w:r>
          </w:p>
        </w:tc>
        <w:tc>
          <w:tcPr>
            <w:tcW w:w="63" w:type="dxa"/>
            <w:tcBorders/>
            <w:vAlign w:val="bottom"/>
          </w:tcPr>
          <w:p>
            <w:pPr>
              <w:pStyle w:val="TableContents"/>
              <w:bidi w:val="0"/>
              <w:spacing w:before="0" w:after="283"/>
              <w:jc w:val="left"/>
              <w:rPr/>
            </w:pPr>
            <w:r>
              <w:rPr/>
              <w:t> </w:t>
            </w:r>
          </w:p>
        </w:tc>
      </w:tr>
      <w:tr>
        <w:trPr/>
        <w:tc>
          <w:tcPr>
            <w:tcW w:w="4999"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Officers and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Delaware General Corporation Law, our certificate of incorporation and bylaws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3"/>
        <w:gridCol w:w="511"/>
        <w:gridCol w:w="9071"/>
      </w:tblGrid>
      <w:tr>
        <w:trPr/>
        <w:tc>
          <w:tcPr>
            <w:tcW w:w="623"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sz w:val="4"/>
                <w:szCs w:val="4"/>
              </w:rPr>
            </w:pPr>
            <w:r>
              <w:rPr>
                <w:sz w:val="4"/>
                <w:szCs w:val="4"/>
              </w:rPr>
            </w:r>
          </w:p>
        </w:tc>
      </w:tr>
      <w:tr>
        <w:trPr/>
        <w:tc>
          <w:tcPr>
            <w:tcW w:w="62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511" w:type="dxa"/>
            <w:tcBorders/>
            <w:vAlign w:val="bottom"/>
          </w:tcPr>
          <w:p>
            <w:pPr>
              <w:pStyle w:val="TableContents"/>
              <w:bidi w:val="0"/>
              <w:spacing w:before="0" w:after="283"/>
              <w:jc w:val="left"/>
              <w:rPr/>
            </w:pPr>
            <w:r>
              <w:rPr/>
              <w:t>  </w:t>
            </w:r>
          </w:p>
        </w:tc>
        <w:tc>
          <w:tcPr>
            <w:tcW w:w="90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3" w:type="dxa"/>
            <w:tcBorders/>
          </w:tcPr>
          <w:p>
            <w:pPr>
              <w:pStyle w:val="TableContents"/>
              <w:bidi w:val="0"/>
              <w:spacing w:before="0" w:after="283"/>
              <w:jc w:val="left"/>
              <w:rPr/>
            </w:pPr>
            <w:r>
              <w:rPr/>
              <w:t> </w:t>
            </w:r>
            <w:r>
              <w:rPr/>
              <w:t>2.1</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15">
              <w:r>
                <w:rPr>
                  <w:rStyle w:val="InternetLink"/>
                </w:rPr>
                <w:t>Agreement and Plan of Merger, dated February  17, 2026, by and among Sensei Biotherapeutics, Inc., Sapphire First Merger Sub, Inc., Sapphire Second Merger Sub, LLC, Faeth Holdings Therapeutics, Inc. and Faeth Therapeutics, LLC (incorporated by reference to Exhibit 2.1 to the Registrant’s Current Report on Form 8-K (File No. 001-39980), filed with the SEC on February 18, 2026).</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3.1</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16">
              <w:r>
                <w:rPr>
                  <w:rStyle w:val="InternetLink"/>
                </w:rPr>
                <w:t>Amended and Restated Certificate of Incorporation (incorporated by reference to Exhibit 3.1 to the Registrant’s Current Report on Form 8-K (File No. 001-39980), filed with the SEC on February 11, 2021).</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3.2</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17">
              <w:r>
                <w:rPr>
                  <w:rStyle w:val="InternetLink"/>
                </w:rPr>
                <w:t xml:space="preserve">Certificate of Amendment to Amended and Restated Certificate of Incorporation of Sensei Biotherapeutics, Inc., effective June  16, 2025 (incorporated by reference to Exhibit 3.1 to the Registrant’s Current Report on Form 8-K (File No.  001-39980), filed with the SEC on June 13, 2025). </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3.3</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18">
              <w:r>
                <w:rPr>
                  <w:rStyle w:val="InternetLink"/>
                </w:rPr>
                <w:t>Amended and Restated Bylaws (incorporated by reference to Exhibit 3.1 to the Registrant’s Current Report on Form 8-K (File No. 001-39980), filed with the SEC on December 9, 2022).</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3.4</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19">
              <w:r>
                <w:rPr>
                  <w:rStyle w:val="InternetLink"/>
                </w:rPr>
                <w:t>Certificate of Designations of the Series A Junior Participating Cumulative Preferred Stock of the Registrant (incorporated by reference to Exhibit 3.1 to the Registrant’s Current Report on Form 8-K (File No. 001-39980), filed with the SEC on March 7, 2023).</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3.5</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20">
              <w:r>
                <w:rPr>
                  <w:rStyle w:val="InternetLink"/>
                </w:rPr>
                <w:t>Certificate of Elimination of the Series A Junior Participating Cumulative Preferred Stock of the Registrant (incorporated by reference to Exhibit 3.4 to the Registrant’s Annual Report on Form 10-K (File No. 001-39980), filed with the SEC on March 28, 2025).</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3.6</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21">
              <w:r>
                <w:rPr>
                  <w:rStyle w:val="InternetLink"/>
                </w:rPr>
                <w:t>Certificate of Designation of Series B Non-Voting  Convertible Preferred Stock (incorporated by reference to Exhibit 3.1 to the Registrant</w:t>
              </w:r>
            </w:hyperlink>
            <w:r>
              <w:rPr/>
              <w:t>’</w:t>
            </w:r>
            <w:hyperlink r:id="rId22">
              <w:r>
                <w:rPr>
                  <w:rStyle w:val="InternetLink"/>
                </w:rPr>
                <w:t>s Current Report on Form 8-K (File No. 001-39980), filed with the SEC on February 18, 2026).</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3.7</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23">
              <w:r>
                <w:rPr>
                  <w:rStyle w:val="InternetLink"/>
                </w:rPr>
                <w:t>Certificate of Amendment to Amended and Restated Certificate of Incorporation of Sensei Biotherapeutics, Inc., effective June 10, 2026 (incorporated by reference to Exhibit 3.1 to the Registrant’s Current Report on Form 8-K (File No. 001-39980), filed with the SEC on June 10, 2026).</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4.1*</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w:anchor="d133316dex41.htm">
              <w:r>
                <w:rPr>
                  <w:rStyle w:val="InternetLink"/>
                </w:rPr>
                <w:t xml:space="preserve">Description of Securities. </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4.2</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24">
              <w:r>
                <w:rPr>
                  <w:rStyle w:val="InternetLink"/>
                </w:rPr>
                <w:t>Warrant to Purchase Stock, dated as of September  7, 2021, by and between Faeth Therapeutics, Inc. and Western Alliance Bank (incorporated by reference to Exhibit 4.2 to the Registrant’s Annual Report on Form 10-K (File No. 001-39980), filed with the SEC on March 30, 2026).</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 </w:t>
            </w:r>
            <w:r>
              <w:rPr/>
              <w:t>5.1*</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w:anchor="d133316dex51.htm">
              <w:r>
                <w:rPr>
                  <w:rStyle w:val="InternetLink"/>
                </w:rPr>
                <w:t xml:space="preserve">Opinion of Cooley LLP </w:t>
              </w:r>
            </w:hyperlink>
          </w:p>
        </w:tc>
      </w:tr>
      <w:tr>
        <w:trPr>
          <w:trHeight w:val="120" w:hRule="atLeast"/>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10.1</w:t>
            </w:r>
          </w:p>
        </w:tc>
        <w:tc>
          <w:tcPr>
            <w:tcW w:w="511"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hyperlink r:id="rId25">
              <w:r>
                <w:rPr>
                  <w:rStyle w:val="InternetLink"/>
                </w:rPr>
                <w:t>Form of Securities Purchase Agreement, dated as of February  17, 2026, by and among Sensei Biotherapeutics, Inc. and each investor listed on Exhibit A thereto (incorporated by reference to Exhibit 10.1 to the Registrant’s Current Report on Form 8-K (File No. 001-39980), filed with the SEC on February 18,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88"/>
        <w:gridCol w:w="675"/>
        <w:gridCol w:w="8842"/>
      </w:tblGrid>
      <w:tr>
        <w:trPr/>
        <w:tc>
          <w:tcPr>
            <w:tcW w:w="688" w:type="dxa"/>
            <w:tcBorders/>
            <w:vAlign w:val="center"/>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8842" w:type="dxa"/>
            <w:tcBorders/>
            <w:vAlign w:val="center"/>
          </w:tcPr>
          <w:p>
            <w:pPr>
              <w:pStyle w:val="TableContents"/>
              <w:bidi w:val="0"/>
              <w:spacing w:before="0" w:after="283"/>
              <w:jc w:val="left"/>
              <w:rPr>
                <w:sz w:val="4"/>
                <w:szCs w:val="4"/>
              </w:rPr>
            </w:pPr>
            <w:r>
              <w:rPr>
                <w:sz w:val="4"/>
                <w:szCs w:val="4"/>
              </w:rPr>
            </w:r>
          </w:p>
        </w:tc>
      </w:tr>
      <w:tr>
        <w:trPr/>
        <w:tc>
          <w:tcPr>
            <w:tcW w:w="688"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675" w:type="dxa"/>
            <w:tcBorders/>
            <w:vAlign w:val="bottom"/>
          </w:tcPr>
          <w:p>
            <w:pPr>
              <w:pStyle w:val="TableContents"/>
              <w:bidi w:val="0"/>
              <w:spacing w:before="0" w:after="283"/>
              <w:jc w:val="left"/>
              <w:rPr/>
            </w:pPr>
            <w:r>
              <w:rPr/>
              <w:t>  </w:t>
            </w:r>
          </w:p>
        </w:tc>
        <w:tc>
          <w:tcPr>
            <w:tcW w:w="88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10.2</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6">
              <w:r>
                <w:rPr>
                  <w:rStyle w:val="InternetLink"/>
                </w:rPr>
                <w:t>Form of Registration Rights Agreement, by and among Sensei Biotherapeutics, Inc. and certain investors signatory thereto (incorporated by reference to Exhibit 10.2 to the Registrant’s Current Report on Form 8-K (File No. 001-39980), filed with the SEC on February 18, 2026).</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23.1*</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33316dex231.htm">
              <w:r>
                <w:rPr>
                  <w:rStyle w:val="InternetLink"/>
                </w:rPr>
                <w:t xml:space="preserve">Consent of Deloitte &amp; Touche LLP, independent registered public accounting firm.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23.2*</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33316dex232.htm">
              <w:r>
                <w:rPr>
                  <w:rStyle w:val="InternetLink"/>
                </w:rPr>
                <w:t xml:space="preserve">Consent of Deloitte &amp; Touche LLP, independent registered public accounting firm.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24.1**</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r>
              <w:fldChar w:fldCharType="begin"/>
            </w:r>
            <w:r>
              <w:rPr>
                <w:rStyle w:val="InternetLink"/>
              </w:rPr>
              <w:instrText xml:space="preserve"> HYPERLINK "http://www.sec.gov/Archives/edgar/data/1829802/000119312526183535/d133316ds3.htm" \l "sig"</w:instrText>
            </w:r>
            <w:r>
              <w:rPr>
                <w:rStyle w:val="InternetLink"/>
              </w:rPr>
              <w:fldChar w:fldCharType="separate"/>
            </w:r>
            <w:r>
              <w:rPr>
                <w:rStyle w:val="InternetLink"/>
              </w:rPr>
              <w:t xml:space="preserve">Power of Attorney (included on signature page). </w:t>
            </w:r>
            <w:r>
              <w:rPr>
                <w:rStyle w:val="InternetLink"/>
              </w:rPr>
              <w:fldChar w:fldCharType="end"/>
            </w:r>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99.1**</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7">
              <w:r>
                <w:rPr>
                  <w:rStyle w:val="InternetLink"/>
                </w:rPr>
                <w:t xml:space="preserve">Consent of Stephen M. Hahn, M.D. to be named as a director nominee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99.2**</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8">
              <w:r>
                <w:rPr>
                  <w:rStyle w:val="InternetLink"/>
                </w:rPr>
                <w:t xml:space="preserve">Consent of Saira Ramasastry to be named as a director nominee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107**</w:t>
            </w:r>
          </w:p>
        </w:tc>
        <w:tc>
          <w:tcPr>
            <w:tcW w:w="675"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9">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annexes and attachments have been omitted pursuant to Item 601(a)(5) of Regulation S-K. The registrant agrees to provide, on a supplemental basis, a copy of any omitted schedules, annexes and attachments to the SEC or its staff upon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subparagraphs (i),(ii),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Rockville, Maryland, on June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SENSEI BIOTHERAPEUTICS,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Christopher W. Gerry</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Christopher W. Gerry</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41"/>
        <w:gridCol w:w="120"/>
        <w:gridCol w:w="3939"/>
        <w:gridCol w:w="204"/>
        <w:gridCol w:w="2001"/>
      </w:tblGrid>
      <w:tr>
        <w:trPr/>
        <w:tc>
          <w:tcPr>
            <w:tcW w:w="39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39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9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20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W. Gerry</w:t>
            </w:r>
          </w:p>
          <w:p>
            <w:pPr>
              <w:pStyle w:val="TableContents"/>
              <w:bidi w:val="0"/>
              <w:spacing w:before="0" w:after="20"/>
              <w:jc w:val="center"/>
              <w:rPr>
                <w:rFonts w:ascii="Times New Roman" w:hAnsi="Times New Roman"/>
                <w:sz w:val="20"/>
              </w:rPr>
            </w:pPr>
            <w:r>
              <w:rPr>
                <w:rFonts w:ascii="Times New Roman" w:hAnsi="Times New Roman"/>
                <w:sz w:val="20"/>
              </w:rPr>
              <w:t>Christopher W. Gerry</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General Counsel and Director (</w:t>
            </w:r>
            <w:r>
              <w:rPr>
                <w:rFonts w:ascii="Times New Roman" w:hAnsi="Times New Roman"/>
                <w:i/>
                <w:sz w:val="20"/>
              </w:rPr>
              <w:t>Principal Executive Officer</w:t>
            </w: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Josiah Craver</w:t>
            </w:r>
          </w:p>
          <w:p>
            <w:pPr>
              <w:pStyle w:val="TableContents"/>
              <w:bidi w:val="0"/>
              <w:spacing w:before="0" w:after="20"/>
              <w:jc w:val="center"/>
              <w:rPr>
                <w:rFonts w:ascii="Times New Roman" w:hAnsi="Times New Roman"/>
                <w:sz w:val="20"/>
              </w:rPr>
            </w:pPr>
            <w:r>
              <w:rPr>
                <w:rFonts w:ascii="Times New Roman" w:hAnsi="Times New Roman"/>
                <w:sz w:val="20"/>
              </w:rPr>
              <w:t>Josiah Craver</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of Finance</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Bob Holmen</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Thomas Ricks</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Kristian Humer</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Phillip Donenberg</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r>
        <w:trPr>
          <w:trHeight w:val="240" w:hRule="atLeast"/>
        </w:trPr>
        <w:tc>
          <w:tcPr>
            <w:tcW w:w="3941" w:type="dxa"/>
            <w:tcBorders/>
            <w:vAlign w:val="center"/>
          </w:tcPr>
          <w:p>
            <w:pPr>
              <w:pStyle w:val="TableContents"/>
              <w:bidi w:val="0"/>
              <w:spacing w:before="0" w:after="283"/>
              <w:jc w:val="left"/>
              <w:rPr>
                <w:sz w:val="4"/>
                <w:szCs w:val="4"/>
              </w:rPr>
            </w:pPr>
            <w:r>
              <w:rPr>
                <w:sz w:val="4"/>
                <w:szCs w:val="4"/>
              </w:rPr>
            </w:r>
          </w:p>
        </w:tc>
        <w:tc>
          <w:tcPr>
            <w:tcW w:w="4059"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Anand Parikh</w:t>
            </w:r>
          </w:p>
        </w:tc>
        <w:tc>
          <w:tcPr>
            <w:tcW w:w="120" w:type="dxa"/>
            <w:tcBorders/>
            <w:vAlign w:val="bottom"/>
          </w:tcPr>
          <w:p>
            <w:pPr>
              <w:pStyle w:val="TableContents"/>
              <w:bidi w:val="0"/>
              <w:spacing w:before="0" w:after="283"/>
              <w:jc w:val="left"/>
              <w:rPr/>
            </w:pPr>
            <w:r>
              <w:rPr/>
              <w:t>  </w:t>
            </w:r>
          </w:p>
        </w:tc>
        <w:tc>
          <w:tcPr>
            <w:tcW w:w="393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4" w:type="dxa"/>
            <w:tcBorders/>
            <w:vAlign w:val="bottom"/>
          </w:tcPr>
          <w:p>
            <w:pPr>
              <w:pStyle w:val="TableContents"/>
              <w:bidi w:val="0"/>
              <w:spacing w:before="0" w:after="283"/>
              <w:jc w:val="left"/>
              <w:rPr/>
            </w:pPr>
            <w:r>
              <w:rPr/>
              <w:t> </w:t>
            </w:r>
          </w:p>
        </w:tc>
        <w:tc>
          <w:tcPr>
            <w:tcW w:w="2001" w:type="dxa"/>
            <w:tcBorders/>
          </w:tcPr>
          <w:p>
            <w:pPr>
              <w:pStyle w:val="TableContents"/>
              <w:bidi w:val="0"/>
              <w:spacing w:before="0" w:after="283"/>
              <w:jc w:val="center"/>
              <w:rPr/>
            </w:pPr>
            <w:r>
              <w:rPr/>
              <w:t>June 10, 2026</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6"/>
        <w:gridCol w:w="60"/>
        <w:gridCol w:w="3566"/>
      </w:tblGrid>
      <w:tr>
        <w:trPr/>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56" w:type="dxa"/>
            <w:tcBorders/>
            <w:vAlign w:val="center"/>
          </w:tcPr>
          <w:p>
            <w:pPr>
              <w:pStyle w:val="TableContents"/>
              <w:bidi w:val="0"/>
              <w:spacing w:before="0" w:after="283"/>
              <w:jc w:val="left"/>
              <w:rPr>
                <w:sz w:val="4"/>
                <w:szCs w:val="4"/>
              </w:rPr>
            </w:pPr>
            <w:r>
              <w:rPr>
                <w:sz w:val="4"/>
                <w:szCs w:val="4"/>
              </w:rPr>
            </w:r>
          </w:p>
        </w:tc>
        <w:tc>
          <w:tcPr>
            <w:tcW w:w="3626" w:type="dxa"/>
            <w:gridSpan w:val="2"/>
            <w:tcBorders/>
            <w:vAlign w:val="center"/>
          </w:tcPr>
          <w:p>
            <w:pPr>
              <w:pStyle w:val="TableContents"/>
              <w:bidi w:val="0"/>
              <w:spacing w:before="0" w:after="283"/>
              <w:jc w:val="left"/>
              <w:rPr>
                <w:sz w:val="4"/>
                <w:szCs w:val="4"/>
              </w:rPr>
            </w:pPr>
            <w:r>
              <w:rPr>
                <w:sz w:val="4"/>
                <w:szCs w:val="4"/>
              </w:rPr>
            </w:r>
          </w:p>
        </w:tc>
      </w:tr>
      <w:tr>
        <w:trPr/>
        <w:tc>
          <w:tcPr>
            <w:tcW w:w="4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W. Gerry</w:t>
            </w:r>
          </w:p>
        </w:tc>
      </w:tr>
      <w:tr>
        <w:trPr/>
        <w:tc>
          <w:tcPr>
            <w:tcW w:w="4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6" w:type="dxa"/>
            <w:tcBorders/>
            <w:vAlign w:val="bottom"/>
          </w:tcPr>
          <w:p>
            <w:pPr>
              <w:pStyle w:val="TableContents"/>
              <w:bidi w:val="0"/>
              <w:spacing w:before="0" w:after="283"/>
              <w:jc w:val="left"/>
              <w:rPr/>
            </w:pPr>
            <w:r>
              <w:rPr/>
              <w:t>Christopher W. Gerry</w:t>
            </w:r>
          </w:p>
        </w:tc>
      </w:tr>
      <w:tr>
        <w:trPr/>
        <w:tc>
          <w:tcPr>
            <w:tcW w:w="4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6"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4" w:name="d133316dex41.htm"/>
      <w:bookmarkStart w:id="15" w:name="ksd133316dex41"/>
      <w:bookmarkEnd w:id="14"/>
      <w:bookmarkEnd w:id="15"/>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SENSEI BIOTHERAPEUTICS, INC.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capital stock of Sensei Biotherapeutics, Inc. (the “Company,” “we,” “us” or “our”) is a summary and does not purport to be complete. This summary is qualified in its entirety by reference to the provisions of the Delaware General Corporation Law (the “DGCL”), and the complete text of our amended and restated certificate of incorporation (our “certificate of incorporation”) and our amended and restated bylaws (our “bylaws”) which, along with amendments to our certificate of incorporation, are incorporated by reference as Exhibits 3.1, 3.2, 3.3, 3.4, 3.5, 3.6 and 3.7 of the Company’s Registration Statement on Form S-3 to which this description is also an exhibit. The Company encourages you to read that law and those documents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authorized capital stock consists of 300,000,000 shares of common stock, $0.0001 par value per share (“common stock”), and 10,000,000 shares of preferred stock, $0.0001 par value per share (“preferred stock”), 9,974,955 shares of which are undesignated and 25,045 shares of which are designated as Series B Non-Voting Convertible Preferred Stock. Our board of directors may establish the rights and preferences of the undesignated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per share of common stock. Our common stock does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our common stock are entitled to receive ratably those dividends, if any, as may be declared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Purchase Rights </w:t>
      </w:r>
    </w:p>
    <w:p>
      <w:pPr>
        <w:pStyle w:val="TextBody"/>
        <w:bidi w:val="0"/>
        <w:spacing w:before="120" w:after="0"/>
        <w:jc w:val="left"/>
        <w:rPr>
          <w:rFonts w:ascii="Times New Roman" w:hAnsi="Times New Roman"/>
          <w:sz w:val="20"/>
        </w:rPr>
      </w:pPr>
      <w:r>
        <w:rPr>
          <w:rFonts w:ascii="Times New Roman" w:hAnsi="Times New Roman"/>
          <w:sz w:val="20"/>
        </w:rPr>
        <w:t xml:space="preserve">On March 7, 2023, a special committee of the board of directors adopted a stockholder rights plan and declared a dividend of one right (a “Right”) for each outstanding share of common stock of the Company. Each Right entitled the registered holder thereof under certain circumstances to purchase from the Company one ten-thousandth of a share of Series A Junior Participating Cumulative Preferred Stock. The terms of the Rights were set forth in a Stockholder Rights Agreement, dated as of March 7, 2023, between the Company and American Stock Transfer &amp; Trust Company, LLC, as rights agent (as amended,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Rights expired pursuant to the terms of the Rights Agreement on March 7, 2025. Accordingly, on March 26, 2025, the Company filed with the Secretary of State of the State of Delaware a Certificate of Elimination eliminating from its Amended and Restated Certificate of Incorporation, as amended, the designation of certain shares of its preferred stock as Series A Junior Participating Cumulative Preferred Stock, which had been designated for potential use in connection with the Rights Agreement. As a result, all shares of preferred stock previously designated as Series A Junior Participating Cumulative Preferred Stock were eliminated and returned to the status of authorized but unissued shares of preferred stock, without designation.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Non-Voting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the Company filed with the Secretary of State of the State of Delaware a Certificate of Designation of Preferences, Rights and Limitations of Series B Non-Voting Convertible Preferred Stock (the “Certificate of Designation”), which designated 25,045 shares of undesignated preferred stock as “Series B Non-Voting Convertible Preferred Stock.” Each share of Series B Non-Voting Convertible Preferred Stock is convertible into 1,000 shares of Common Stock, subject to and in accordance with the terms and conditions of the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a special meeting of stockholders may be called only by our chairman of the board, chief executive officer or president, or by a resolution adopted by a majority of our board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convertible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certificate of incorporation, or our bylaws (as each may be amended from time to time); (iv) any claim or cause of action seeking to interpret, apply, enforce or determine the validity of our certificate of incorporation or our bylaws (as each may be amended from time to time, including any right, obligation, or remedy thereunder); (v) any claim or cause of action as to which the DGCL confers jurisdiction to the Court of Chancery of the State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This choice of forum provision would not apply to claims or causes of action brought to enforce a duty or liability created by the Securities Act, the Exchange Act or any other claim for which the federal courts have exclusive jurisdiction, or the Securities Act. Our certificate of incorporation provides that the federal district courts of the United States of America will be the exclusive forum for resolving any complaint asserting a cause of action arising under the Securities Act. Additionally, our certificate of incorporation provides that any person or entity holding, owning or otherwise acquiring any interest in any of our securities shall be deemed to have notice of and consented to these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convertible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28 Liberty Street, Floor 53,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“SNSE”. </w:t>
      </w:r>
    </w:p>
    <w:p>
      <w:pPr>
        <w:pStyle w:val="TextBody"/>
        <w:bidi w:val="0"/>
        <w:spacing w:before="0" w:after="0"/>
        <w:jc w:val="right"/>
        <w:rPr>
          <w:rFonts w:ascii="Times New Roman" w:hAnsi="Times New Roman"/>
          <w:b/>
          <w:sz w:val="20"/>
        </w:rPr>
      </w:pPr>
      <w:bookmarkStart w:id="16" w:name="d133316dex51.htm"/>
      <w:bookmarkStart w:id="17" w:name="ksd133316dex51"/>
      <w:bookmarkEnd w:id="16"/>
      <w:bookmarkEnd w:id="1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Madison A. Jones </w:t>
      </w:r>
    </w:p>
    <w:p>
      <w:pPr>
        <w:pStyle w:val="TextBody"/>
        <w:bidi w:val="0"/>
        <w:spacing w:before="0" w:after="0"/>
        <w:jc w:val="left"/>
        <w:rPr>
          <w:rFonts w:ascii="Times New Roman" w:hAnsi="Times New Roman"/>
          <w:sz w:val="20"/>
        </w:rPr>
      </w:pPr>
      <w:r>
        <w:rPr>
          <w:rFonts w:ascii="Times New Roman" w:hAnsi="Times New Roman"/>
          <w:sz w:val="20"/>
        </w:rPr>
        <w:t xml:space="preserve">+1 202 728 7087 </w:t>
      </w:r>
    </w:p>
    <w:p>
      <w:pPr>
        <w:pStyle w:val="TextBody"/>
        <w:bidi w:val="0"/>
        <w:spacing w:before="0" w:after="0"/>
        <w:jc w:val="left"/>
        <w:rPr>
          <w:rFonts w:ascii="Times New Roman" w:hAnsi="Times New Roman"/>
          <w:sz w:val="20"/>
        </w:rPr>
      </w:pPr>
      <w:r>
        <w:rPr>
          <w:rFonts w:ascii="Times New Roman" w:hAnsi="Times New Roman"/>
          <w:sz w:val="20"/>
        </w:rPr>
        <w:t xml:space="preserve">madison.jones@cooley.com </w:t>
      </w:r>
    </w:p>
    <w:p>
      <w:pPr>
        <w:pStyle w:val="TextBody"/>
        <w:bidi w:val="0"/>
        <w:spacing w:before="240" w:after="0"/>
        <w:jc w:val="left"/>
        <w:rPr>
          <w:rFonts w:ascii="Times New Roman" w:hAnsi="Times New Roman"/>
          <w:sz w:val="20"/>
        </w:rPr>
      </w:pPr>
      <w:r>
        <w:rPr>
          <w:rFonts w:ascii="Times New Roman" w:hAnsi="Times New Roman"/>
          <w:sz w:val="20"/>
        </w:rPr>
        <w:t xml:space="preserve">June 10, 2026 </w:t>
      </w:r>
    </w:p>
    <w:p>
      <w:pPr>
        <w:pStyle w:val="TextBody"/>
        <w:bidi w:val="0"/>
        <w:spacing w:before="240" w:after="0"/>
        <w:jc w:val="left"/>
        <w:rPr>
          <w:rFonts w:ascii="Times New Roman" w:hAnsi="Times New Roman"/>
          <w:sz w:val="20"/>
        </w:rPr>
      </w:pPr>
      <w:r>
        <w:rPr>
          <w:rFonts w:ascii="Times New Roman" w:hAnsi="Times New Roman"/>
          <w:sz w:val="20"/>
        </w:rPr>
        <w:t xml:space="preserve">Sensei Biotherapeutics,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1405 Research Boulevard, Suite 125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Sensei Biotherapeutics,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24,868,028 shares (the “</w:t>
      </w:r>
      <w:r>
        <w:rPr>
          <w:rFonts w:ascii="Times New Roman" w:hAnsi="Times New Roman"/>
          <w:b/>
          <w:i/>
          <w:sz w:val="20"/>
        </w:rPr>
        <w:t>Shares</w:t>
      </w:r>
      <w:r>
        <w:rPr>
          <w:rFonts w:ascii="Times New Roman" w:hAnsi="Times New Roman"/>
          <w:sz w:val="20"/>
        </w:rPr>
        <w:t>”) of the Company’s common stock, par value $0.0001 per share (“</w:t>
      </w:r>
      <w:r>
        <w:rPr>
          <w:rFonts w:ascii="Times New Roman" w:hAnsi="Times New Roman"/>
          <w:b/>
          <w:i/>
          <w:sz w:val="20"/>
        </w:rPr>
        <w:t>Common Stock</w:t>
      </w:r>
      <w:r>
        <w:rPr>
          <w:rFonts w:ascii="Times New Roman" w:hAnsi="Times New Roman"/>
          <w:sz w:val="20"/>
        </w:rPr>
        <w:t>”) consisting of (i) 10,425,531 shares of Common Stock (“</w:t>
      </w:r>
      <w:r>
        <w:rPr>
          <w:rFonts w:ascii="Times New Roman" w:hAnsi="Times New Roman"/>
          <w:b/>
          <w:i/>
          <w:sz w:val="20"/>
        </w:rPr>
        <w:t>Merger Shares</w:t>
      </w:r>
      <w:r>
        <w:rPr>
          <w:rFonts w:ascii="Times New Roman" w:hAnsi="Times New Roman"/>
          <w:sz w:val="20"/>
        </w:rPr>
        <w:t>”) issuable upon the conversion of 10,425.531 shares (“</w:t>
      </w:r>
      <w:r>
        <w:rPr>
          <w:rFonts w:ascii="Times New Roman" w:hAnsi="Times New Roman"/>
          <w:b/>
          <w:i/>
          <w:sz w:val="20"/>
        </w:rPr>
        <w:t>Merger Preferred Shares</w:t>
      </w:r>
      <w:r>
        <w:rPr>
          <w:rFonts w:ascii="Times New Roman" w:hAnsi="Times New Roman"/>
          <w:sz w:val="20"/>
        </w:rPr>
        <w:t>”) of the Company’s Series B Non-Voting Convertible Preferred Stock, par value $0.0001 per share (“</w:t>
      </w:r>
      <w:r>
        <w:rPr>
          <w:rFonts w:ascii="Times New Roman" w:hAnsi="Times New Roman"/>
          <w:b/>
          <w:i/>
          <w:sz w:val="20"/>
        </w:rPr>
        <w:t>Series B Preferred Stock</w:t>
      </w:r>
      <w:r>
        <w:rPr>
          <w:rFonts w:ascii="Times New Roman" w:hAnsi="Times New Roman"/>
          <w:sz w:val="20"/>
        </w:rPr>
        <w:t>”), (ii) 14,440,395 shares of Common Stock (the “</w:t>
      </w:r>
      <w:r>
        <w:rPr>
          <w:rFonts w:ascii="Times New Roman" w:hAnsi="Times New Roman"/>
          <w:b/>
          <w:i/>
          <w:sz w:val="20"/>
        </w:rPr>
        <w:t>PIPE Shares</w:t>
      </w:r>
      <w:r>
        <w:rPr>
          <w:rFonts w:ascii="Times New Roman" w:hAnsi="Times New Roman"/>
          <w:sz w:val="20"/>
        </w:rPr>
        <w:t>”) issuable upon the conversion of 14,440.395 shares of Series B Preferred Stock (the “</w:t>
      </w:r>
      <w:r>
        <w:rPr>
          <w:rFonts w:ascii="Times New Roman" w:hAnsi="Times New Roman"/>
          <w:b/>
          <w:i/>
          <w:sz w:val="20"/>
        </w:rPr>
        <w:t>PIPE Preferred Shares</w:t>
      </w:r>
      <w:r>
        <w:rPr>
          <w:rFonts w:ascii="Times New Roman" w:hAnsi="Times New Roman"/>
          <w:sz w:val="20"/>
        </w:rPr>
        <w:t>”) and (iii) 2,102 shares of Common Stock (the “</w:t>
      </w:r>
      <w:r>
        <w:rPr>
          <w:rFonts w:ascii="Times New Roman" w:hAnsi="Times New Roman"/>
          <w:b/>
          <w:i/>
          <w:sz w:val="20"/>
        </w:rPr>
        <w:t>Warrant Shares</w:t>
      </w:r>
      <w:r>
        <w:rPr>
          <w:rFonts w:ascii="Times New Roman" w:hAnsi="Times New Roman"/>
          <w:sz w:val="20"/>
        </w:rPr>
        <w:t>”) issuable upon exercise of a warrant (the “</w:t>
      </w:r>
      <w:r>
        <w:rPr>
          <w:rFonts w:ascii="Times New Roman" w:hAnsi="Times New Roman"/>
          <w:b/>
          <w:i/>
          <w:sz w:val="20"/>
        </w:rPr>
        <w:t>Warrant</w:t>
      </w:r>
      <w:r>
        <w:rPr>
          <w:rFonts w:ascii="Times New Roman" w:hAnsi="Times New Roman"/>
          <w:sz w:val="20"/>
        </w:rPr>
        <w:t>”) to purchase 2.1020 shares of Series B Preferred Stock (the “</w:t>
      </w:r>
      <w:r>
        <w:rPr>
          <w:rFonts w:ascii="Times New Roman" w:hAnsi="Times New Roman"/>
          <w:b/>
          <w:i/>
          <w:sz w:val="20"/>
        </w:rPr>
        <w:t>Warrant Preferred Shares</w:t>
      </w:r>
      <w:r>
        <w:rPr>
          <w:rFonts w:ascii="Times New Roman" w:hAnsi="Times New Roman"/>
          <w:sz w:val="20"/>
        </w:rPr>
        <w:t>” and, together with the Merger Preferred Shares and the PIPE Preferred Shares, the “</w:t>
      </w:r>
      <w:r>
        <w:rPr>
          <w:rFonts w:ascii="Times New Roman" w:hAnsi="Times New Roman"/>
          <w:b/>
          <w:i/>
          <w:sz w:val="20"/>
        </w:rPr>
        <w:t>Preferred Shares</w:t>
      </w:r>
      <w:r>
        <w:rPr>
          <w:rFonts w:ascii="Times New Roman" w:hAnsi="Times New Roman"/>
          <w:sz w:val="20"/>
        </w:rPr>
        <w:t>”), which will be exercisable for shares of Common Stock upon conversion of the Series B Preferred Stock. The Merger Preferred Shares were issued by the Company pursuant to that certain Agreement and Plan of Merger (the “</w:t>
      </w:r>
      <w:r>
        <w:rPr>
          <w:rFonts w:ascii="Times New Roman" w:hAnsi="Times New Roman"/>
          <w:b/>
          <w:i/>
          <w:sz w:val="20"/>
        </w:rPr>
        <w:t>Merger Agreement</w:t>
      </w:r>
      <w:r>
        <w:rPr>
          <w:rFonts w:ascii="Times New Roman" w:hAnsi="Times New Roman"/>
          <w:sz w:val="20"/>
        </w:rPr>
        <w:t>”), dated February 17, 2026, by and among the Company, Sapphire First Merger Sub, Inc., a Delaware corporation and a wholly owned subsidiary of the Company, Sapphire Second Merger Sub, LLC, a Delaware limited liability company and wholly owned subsidiary of the Company, Faeth Holdings Therapeutics, Inc. (“</w:t>
      </w:r>
      <w:r>
        <w:rPr>
          <w:rFonts w:ascii="Times New Roman" w:hAnsi="Times New Roman"/>
          <w:b/>
          <w:i/>
          <w:sz w:val="20"/>
        </w:rPr>
        <w:t>Faeth HoldCo</w:t>
      </w:r>
      <w:r>
        <w:rPr>
          <w:rFonts w:ascii="Times New Roman" w:hAnsi="Times New Roman"/>
          <w:sz w:val="20"/>
        </w:rPr>
        <w:t>”) and Faeth Therapeutics, LLC, a wholly owned subsidiary of Faeth HoldCo. The PIPE Preferred Shares were issued by the Company pursuant to that certain Securities Purchase Agreement, dated February 17, 2026, by and among the Company and the purchasers named therein (the “</w:t>
      </w:r>
      <w:r>
        <w:rPr>
          <w:rFonts w:ascii="Times New Roman" w:hAnsi="Times New Roman"/>
          <w:b/>
          <w:i/>
          <w:sz w:val="20"/>
        </w:rPr>
        <w:t>Purchase Agreement</w:t>
      </w:r>
      <w:r>
        <w:rPr>
          <w:rFonts w:ascii="Times New Roman" w:hAnsi="Times New Roman"/>
          <w:sz w:val="20"/>
        </w:rPr>
        <w:t xml:space="preserve">”). The Warrant was assumed by the Company pursuant to the Merger Agreement and became a warrant to purchase Series B Preferred Stock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the Merger Agreement, the Purchase Agreement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65910" cy="552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1565910" cy="552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June 10,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Shares, the Preferred Shares and the Warrant, we express no opinion to the extent that future issuances of securities of the Company, antidilution adjustments to outstanding securities of the Company or other matters cause the Series B Preferred Stock to be convertible into, or the Warrant to be exercisable for, more shares of Common Stock than the number available for issuance by the Company or that the consideration paid upon exercise of the Warrant is below the par value per share of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(a) the Merger Shares and the PIPE Shares, when issued upon conversion of the Series B Preferred Stock in accordance with the terms of the Series B Preferred Stock, and (b) the Warrant Shares, when issued and paid for in accordance with the terms of the Warrant and converted in accordance with the terms of the Series B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Madison A. Jones</w:t>
            </w:r>
          </w:p>
        </w:tc>
      </w:tr>
      <w:tr>
        <w:trPr/>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Madison A. Jones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+1 202 842 7800 f: +1 202 842 7899 cooley.com </w:t>
      </w:r>
    </w:p>
    <w:p>
      <w:pPr>
        <w:pStyle w:val="TextBody"/>
        <w:bidi w:val="0"/>
        <w:spacing w:before="0" w:after="0"/>
        <w:jc w:val="right"/>
        <w:rPr>
          <w:rFonts w:ascii="Times New Roman" w:hAnsi="Times New Roman"/>
          <w:b/>
          <w:sz w:val="20"/>
        </w:rPr>
      </w:pPr>
      <w:bookmarkStart w:id="18" w:name="d133316dex231.htm"/>
      <w:bookmarkStart w:id="19" w:name="ksd133316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30, 2026 relating to the financial statements of Sensei Biotherapeutics, Inc. appearing in the Annual Report on Form 10-K of Sensei Biotherapeutics, Inc.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Baltimore, Maryland </w:t>
      </w:r>
    </w:p>
    <w:p>
      <w:pPr>
        <w:pStyle w:val="TextBody"/>
        <w:bidi w:val="0"/>
        <w:spacing w:before="240" w:after="0"/>
        <w:jc w:val="left"/>
        <w:rPr>
          <w:rFonts w:ascii="Times New Roman" w:hAnsi="Times New Roman"/>
          <w:sz w:val="20"/>
        </w:rPr>
      </w:pPr>
      <w:r>
        <w:rPr>
          <w:rFonts w:ascii="Times New Roman" w:hAnsi="Times New Roman"/>
          <w:sz w:val="20"/>
        </w:rPr>
        <w:t xml:space="preserve">June 10, 2026 </w:t>
      </w:r>
    </w:p>
    <w:p>
      <w:pPr>
        <w:pStyle w:val="TextBody"/>
        <w:bidi w:val="0"/>
        <w:spacing w:before="0" w:after="0"/>
        <w:jc w:val="right"/>
        <w:rPr>
          <w:rFonts w:ascii="Times New Roman" w:hAnsi="Times New Roman"/>
          <w:b/>
          <w:sz w:val="20"/>
        </w:rPr>
      </w:pPr>
      <w:bookmarkStart w:id="20" w:name="d133316dex232.htm"/>
      <w:bookmarkStart w:id="21" w:name="ksd133316dex232"/>
      <w:bookmarkEnd w:id="20"/>
      <w:bookmarkEnd w:id="21"/>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April 15, 2026, relating to the financial statements of Faeth Therapeutics, Inc., appearing in the Current Report on Form 8-K of Sensei Biotherapeutics, Inc. filed on April 15, 2026.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Baltimore, Maryland </w:t>
      </w:r>
    </w:p>
    <w:p>
      <w:pPr>
        <w:pStyle w:val="TextBody"/>
        <w:bidi w:val="0"/>
        <w:spacing w:before="240" w:after="0"/>
        <w:jc w:val="left"/>
        <w:rPr>
          <w:rFonts w:ascii="Times New Roman" w:hAnsi="Times New Roman"/>
          <w:sz w:val="20"/>
        </w:rPr>
      </w:pPr>
      <w:r>
        <w:rPr>
          <w:rFonts w:ascii="Times New Roman" w:hAnsi="Times New Roman"/>
          <w:sz w:val="20"/>
        </w:rPr>
        <w:t xml:space="preserve">June 10,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829802/000119312526132014/snse-20251231.htm" TargetMode="External"/><Relationship Id="rId5" Type="http://schemas.openxmlformats.org/officeDocument/2006/relationships/hyperlink" Target="http://www.sec.gov/Archives/edgar/data/../../../ix?doc=/Archives/edgar/data/0001829802/000119312526252637/d130328d10ka.htm" TargetMode="External"/><Relationship Id="rId6" Type="http://schemas.openxmlformats.org/officeDocument/2006/relationships/hyperlink" Target="http://www.sec.gov/Archives/edgar/data/../../../ix?doc=/Archives/edgar/data/1829802/000119312526225333/snse-20260331.htm" TargetMode="External"/><Relationship Id="rId7" Type="http://schemas.openxmlformats.org/officeDocument/2006/relationships/hyperlink" Target="http://www.sec.gov/Archives/edgar/data/../../../ix?doc=/Archives/edgar/data/1829802/000119312526182143/d16802ddef14a.htm" TargetMode="External"/><Relationship Id="rId8" Type="http://schemas.openxmlformats.org/officeDocument/2006/relationships/hyperlink" Target="http://www.sec.gov/Archives/edgar/data/../../../ix?doc=/Archives/edgar/data/0001829802/000119312526051815/d82134d8k.htm" TargetMode="External"/><Relationship Id="rId9" Type="http://schemas.openxmlformats.org/officeDocument/2006/relationships/hyperlink" Target="http://www.sec.gov/Archives/edgar/data/../../../ix?doc=/Archives/edgar/data/0001829802/000119312526056135/d112826d8k.htm" TargetMode="External"/><Relationship Id="rId10" Type="http://schemas.openxmlformats.org/officeDocument/2006/relationships/hyperlink" Target="http://www.sec.gov/Archives/edgar/data/../../../ix?doc=/Archives/edgar/data/0001829802/000119312526157038/d40329d8ka.htm" TargetMode="External"/><Relationship Id="rId11" Type="http://schemas.openxmlformats.org/officeDocument/2006/relationships/hyperlink" Target="http://www.sec.gov/Archives/edgar/data/../../../ix?doc=/Archives/edgar/data/0001829802/000119312526158951/d85136d8k.htm" TargetMode="External"/><Relationship Id="rId12" Type="http://schemas.openxmlformats.org/officeDocument/2006/relationships/hyperlink" Target="http://www.sec.gov/Archives/edgar/data/../../../ix?doc=/Archives/edgar/data/1829802/000119312526234882/d162035d8k.htm" TargetMode="External"/><Relationship Id="rId13" Type="http://schemas.openxmlformats.org/officeDocument/2006/relationships/hyperlink" Target="http://www.sec.gov/Archives/edgar/data/../../../ix?doc=/Archives/edgar/data/1829802/000119312526236820/d900837d8k.htm" TargetMode="External"/><Relationship Id="rId14" Type="http://schemas.openxmlformats.org/officeDocument/2006/relationships/hyperlink" Target="http://www.sec.gov/Archives/edgar/data/../../../ix?doc=/Archives/edgar/data/1829802/000119312526265879/d142513d8k.htm" TargetMode="External"/><Relationship Id="rId15" Type="http://schemas.openxmlformats.org/officeDocument/2006/relationships/hyperlink" Target="http://www.sec.gov/Archives/edgar/data/1829802/000119312526056135/d112826dex21.htm" TargetMode="External"/><Relationship Id="rId16" Type="http://schemas.openxmlformats.org/officeDocument/2006/relationships/hyperlink" Target="http://www.sec.gov/Archives/edgar/data/1829802/000119312521037280/d95909dex31.htm" TargetMode="External"/><Relationship Id="rId17" Type="http://schemas.openxmlformats.org/officeDocument/2006/relationships/hyperlink" Target="http://www.sec.gov/Archives/edgar/data/1829802/000119312525140329/d945713dex31.htm" TargetMode="External"/><Relationship Id="rId18" Type="http://schemas.openxmlformats.org/officeDocument/2006/relationships/hyperlink" Target="http://www.sec.gov/Archives/edgar/data/1829802/000119312522301836/d514100dex31.htm" TargetMode="External"/><Relationship Id="rId19" Type="http://schemas.openxmlformats.org/officeDocument/2006/relationships/hyperlink" Target="http://www.sec.gov/Archives/edgar/data/1829802/000119312523063093/d470819dex31.htm" TargetMode="External"/><Relationship Id="rId20" Type="http://schemas.openxmlformats.org/officeDocument/2006/relationships/hyperlink" Target="http://www.sec.gov/Archives/edgar/data/1829802/000095017025046338/snse-ex3_4.htm" TargetMode="External"/><Relationship Id="rId21" Type="http://schemas.openxmlformats.org/officeDocument/2006/relationships/hyperlink" Target="http://www.sec.gov/Archives/edgar/data/1829802/000119312526056135/d112826dex31.htm" TargetMode="External"/><Relationship Id="rId22" Type="http://schemas.openxmlformats.org/officeDocument/2006/relationships/hyperlink" Target="http://www.sec.gov/Archives/edgar/data/1829802/000119312526056135/d112826dex31.htm" TargetMode="External"/><Relationship Id="rId23" Type="http://schemas.openxmlformats.org/officeDocument/2006/relationships/hyperlink" Target="http://www.sec.gov/Archives/edgar/data/1829802/000119312526265879/d142513dex31.htm" TargetMode="External"/><Relationship Id="rId24" Type="http://schemas.openxmlformats.org/officeDocument/2006/relationships/hyperlink" Target="http://www.sec.gov/Archives/edgar/data/1829802/000119312526132014/snse-ex4_2.htm" TargetMode="External"/><Relationship Id="rId25" Type="http://schemas.openxmlformats.org/officeDocument/2006/relationships/hyperlink" Target="http://www.sec.gov/Archives/edgar/data/1829802/000119312526056135/d112826dex101.htm" TargetMode="External"/><Relationship Id="rId26" Type="http://schemas.openxmlformats.org/officeDocument/2006/relationships/hyperlink" Target="http://www.sec.gov/Archives/edgar/data/1829802/000119312526056135/d112826dex102.htm" TargetMode="External"/><Relationship Id="rId27" Type="http://schemas.openxmlformats.org/officeDocument/2006/relationships/hyperlink" Target="http://www.sec.gov/Archives/edgar/data/1829802/000119312526252629/d133316dex991.htm" TargetMode="External"/><Relationship Id="rId28" Type="http://schemas.openxmlformats.org/officeDocument/2006/relationships/hyperlink" Target="http://www.sec.gov/Archives/edgar/data/1829802/000119312526252629/d133316dex992.htm" TargetMode="External"/><Relationship Id="rId29" Type="http://schemas.openxmlformats.org/officeDocument/2006/relationships/hyperlink" Target="http://www.sec.gov/Archives/edgar/data/1829802/000119312526183535/d133316dexfilingfees.htm" TargetMode="External"/><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28456</Words>
  <Characters>150549</Characters>
  <CharactersWithSpaces>180144</CharactersWithSpaces>
  <Paragraphs>2437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