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Peyer James</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7"/>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Sensei Biotherapeutics,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SNSE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13"/>
                <w:szCs w:val="13"/>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0" w:type="dxa"/>
            <w:vAlign w:val="bottom"/>
            <w:gridSpan w:val="6"/>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SENSEI BIOTHERAPEUTICS, INC.</w:t>
            </w:r>
          </w:p>
        </w:tc>
        <w:tc>
          <w:tcPr>
            <w:tcW w:w="1460" w:type="dxa"/>
            <w:vAlign w:val="bottom"/>
            <w:gridSpan w:val="5"/>
          </w:tcPr>
          <w:p>
            <w:pPr>
              <w:ind w:left="160"/>
              <w:spacing w:after="0"/>
              <w:rPr>
                <w:sz w:val="20"/>
                <w:szCs w:val="20"/>
                <w:color w:val="auto"/>
              </w:rPr>
            </w:pPr>
            <w:r>
              <w:rPr>
                <w:rFonts w:ascii="Arial" w:cs="Arial" w:eastAsia="Arial" w:hAnsi="Arial"/>
                <w:sz w:val="17"/>
                <w:szCs w:val="17"/>
                <w:color w:val="0000FF"/>
              </w:rPr>
              <w:t>02/19/2021</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1405 RESEARCH BLVD, SUITE 125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1"/>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ROCKVILLE   MD</w:t>
            </w:r>
          </w:p>
        </w:tc>
        <w:tc>
          <w:tcPr>
            <w:tcW w:w="1340" w:type="dxa"/>
            <w:vAlign w:val="bottom"/>
          </w:tcPr>
          <w:p>
            <w:pPr>
              <w:ind w:left="140"/>
              <w:spacing w:after="0"/>
              <w:rPr>
                <w:sz w:val="20"/>
                <w:szCs w:val="20"/>
                <w:color w:val="auto"/>
              </w:rPr>
            </w:pPr>
            <w:r>
              <w:rPr>
                <w:rFonts w:ascii="Arial" w:cs="Arial" w:eastAsia="Arial" w:hAnsi="Arial"/>
                <w:sz w:val="17"/>
                <w:szCs w:val="17"/>
                <w:color w:val="0000FF"/>
              </w:rPr>
              <w:t>20850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4"/>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740" w:type="dxa"/>
            <w:vAlign w:val="bottom"/>
            <w:gridSpan w:val="4"/>
            <w:vMerge w:val="restart"/>
          </w:tcPr>
          <w:p>
            <w:pPr>
              <w:ind w:left="720"/>
              <w:spacing w:after="0"/>
              <w:rPr>
                <w:sz w:val="20"/>
                <w:szCs w:val="20"/>
                <w:color w:val="auto"/>
              </w:rPr>
            </w:pPr>
            <w:r>
              <w:rPr>
                <w:rFonts w:ascii="Arial" w:cs="Arial" w:eastAsia="Arial" w:hAnsi="Arial"/>
                <w:sz w:val="17"/>
                <w:szCs w:val="17"/>
                <w:color w:val="0000FF"/>
              </w:rPr>
              <w:t>02/19/2021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0000FF"/>
              </w:rPr>
              <w:t>11,786</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19.77</w:t>
            </w:r>
            <w:r>
              <w:rPr>
                <w:rFonts w:ascii="Arial" w:cs="Arial" w:eastAsia="Arial" w:hAnsi="Arial"/>
                <w:sz w:val="22"/>
                <w:szCs w:val="22"/>
                <w:color w:val="008000"/>
                <w:w w:val="97"/>
                <w:vertAlign w:val="superscript"/>
              </w:rPr>
              <w:t>(1)</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4,702,692</w:t>
            </w:r>
          </w:p>
        </w:tc>
        <w:tc>
          <w:tcPr>
            <w:tcW w:w="240" w:type="dxa"/>
            <w:vAlign w:val="bottom"/>
          </w:tcPr>
          <w:p>
            <w:pPr>
              <w:spacing w:after="0"/>
              <w:rPr>
                <w:sz w:val="22"/>
                <w:szCs w:val="22"/>
                <w:color w:val="auto"/>
              </w:rPr>
            </w:pPr>
          </w:p>
        </w:tc>
        <w:tc>
          <w:tcPr>
            <w:tcW w:w="680" w:type="dxa"/>
            <w:vAlign w:val="bottom"/>
            <w:vMerge w:val="restart"/>
          </w:tcPr>
          <w:p>
            <w:pPr>
              <w:ind w:left="8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(2)</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These shares were sold in multiple transactions at prices ranging from $19.50 to $19.8999, inclusive. The Reporting Person undertakes to provide to the Issuer, any security holder of the Issuer, or the staff of the Securities and Exchange Commission, upon request, full information regarding the number of shares sold at each separate price within the ranges set herein.</w:t>
      </w:r>
    </w:p>
    <w:p>
      <w:pPr>
        <w:spacing w:after="0" w:line="25" w:lineRule="exact"/>
        <w:rPr>
          <w:rFonts w:ascii="Arial" w:cs="Arial" w:eastAsia="Arial" w:hAnsi="Arial"/>
          <w:sz w:val="13"/>
          <w:szCs w:val="13"/>
          <w:color w:val="008000"/>
        </w:rPr>
      </w:pPr>
    </w:p>
    <w:p>
      <w:pPr>
        <w:ind w:left="40" w:right="24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by Cambrian Biopharma, Inc., a Delaware corporation ("Cambrian").The Reporting Person is the Chief Executive Officer of Cambrian and in such capacity may direct the voting and disposition of the shares held by Cambrian, subject in certain instances to the approval of Cambrian's Board of Directors. Mr. Peyer disclaims beneficial ownership of such shares.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By: /s/Mark Ballantyne,</w:t>
            </w:r>
          </w:p>
        </w:tc>
        <w:tc>
          <w:tcPr>
            <w:tcW w:w="4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02/23/2021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3594" TargetMode="External"/><Relationship Id="rId14"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2021-02-23T15:20:04Z</dcterms:created>
  <dcterms:modified xsi:type="dcterms:W3CDTF">2021-02-23T15:20:04Z</dcterms:modified>
</cp:coreProperties>
</file>