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 2026</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333-295362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Sensei Biotherapeutics, Inc.</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6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83-1863385</w:t>
      </w:r>
    </w:p>
    <w:p>
      <w:pPr>
        <w:spacing w:after="0" w:line="20" w:lineRule="exact"/>
        <w:rPr>
          <w:sz w:val="24"/>
          <w:szCs w:val="24"/>
          <w:color w:val="auto"/>
        </w:rPr>
      </w:pPr>
    </w:p>
    <w:p>
      <w:pPr>
        <w:sectPr>
          <w:pgSz w:w="11900" w:h="16838" w:orient="portrait"/>
          <w:cols w:equalWidth="0" w:num="2">
            <w:col w:w="7400" w:space="720"/>
            <w:col w:w="3020"/>
          </w:cols>
          <w:pgMar w:left="320" w:top="225" w:right="4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8" w:lineRule="exact"/>
        <w:rPr>
          <w:sz w:val="24"/>
          <w:szCs w:val="24"/>
          <w:color w:val="auto"/>
        </w:rPr>
      </w:pPr>
    </w:p>
    <w:p>
      <w:pPr>
        <w:sectPr>
          <w:pgSz w:w="11900" w:h="16838" w:orient="portrait"/>
          <w:cols w:equalWidth="0" w:num="2">
            <w:col w:w="6780" w:space="720"/>
            <w:col w:w="3640"/>
          </w:cols>
          <w:pgMar w:left="320" w:top="22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1405 Research Boulevard</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Suite 125</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Rockville, MD 20850</w:t>
      </w:r>
    </w:p>
    <w:p>
      <w:pPr>
        <w:jc w:val="center"/>
        <w:ind w:right="-99"/>
        <w:spacing w:after="0" w:line="226" w:lineRule="auto"/>
        <w:rPr>
          <w:sz w:val="20"/>
          <w:szCs w:val="20"/>
          <w:color w:val="auto"/>
        </w:rPr>
      </w:pPr>
      <w:r>
        <w:rPr>
          <w:rFonts w:ascii="Times New Roman" w:cs="Times New Roman" w:eastAsia="Times New Roman" w:hAnsi="Times New Roman"/>
          <w:sz w:val="14"/>
          <w:szCs w:val="14"/>
          <w:b w:val="1"/>
          <w:bCs w:val="1"/>
          <w:color w:val="auto"/>
        </w:rPr>
        <w:t>(240) 243-8000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Christopher W. Gerry</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General Counsel</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Sensei Biotherapeutics, Inc.</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1405 Research Boulevard</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Suite 125</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Rockville, MD 20850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Ariel Rom</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Mark Ballantyne</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Divakar Gupta</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Madison A. Jones</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Rama Padmanabhan</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Cooley LLP</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1299 Pennsylvania Avenue, NW, Suite 700</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Washington, DC 20004</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 842-7800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the effective date of this Registration Statement.</w:t>
      </w:r>
    </w:p>
    <w:p>
      <w:pPr>
        <w:spacing w:after="0" w:line="29" w:lineRule="exact"/>
        <w:rPr>
          <w:sz w:val="24"/>
          <w:szCs w:val="24"/>
          <w:color w:val="auto"/>
        </w:rPr>
      </w:pPr>
    </w:p>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3" w:lineRule="exact"/>
        <w:rPr>
          <w:sz w:val="24"/>
          <w:szCs w:val="24"/>
          <w:color w:val="auto"/>
        </w:rPr>
      </w:pPr>
    </w:p>
    <w:p>
      <w:pPr>
        <w:ind w:left="120" w:right="14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58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1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earliest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14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 w:lineRule="exact"/>
        <w:rPr>
          <w:sz w:val="24"/>
          <w:szCs w:val="24"/>
          <w:color w:val="auto"/>
        </w:rPr>
      </w:pPr>
    </w:p>
    <w:p>
      <w:pPr>
        <w:ind w:left="120" w:right="58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3" w:lineRule="exact"/>
        <w:rPr>
          <w:sz w:val="24"/>
          <w:szCs w:val="24"/>
          <w:color w:val="auto"/>
        </w:rPr>
      </w:pPr>
    </w:p>
    <w:p>
      <w:pPr>
        <w:ind w:left="120" w:right="26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6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FF4338"/>
        </w:rPr>
        <w:t>SUBJECT TO COMPLETION, DATED JUNE 2, 2026</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700" w:type="dxa"/>
            <w:vAlign w:val="bottom"/>
            <w:textDirection w:val="btLr"/>
          </w:tcPr>
          <w:p>
            <w:pPr>
              <w:ind w:right="251"/>
              <w:spacing w:after="0"/>
              <w:rPr>
                <w:sz w:val="20"/>
                <w:szCs w:val="20"/>
                <w:color w:val="auto"/>
              </w:rPr>
            </w:pPr>
            <w:r>
              <w:rPr>
                <w:rFonts w:ascii="Times New Roman" w:cs="Times New Roman" w:eastAsia="Times New Roman" w:hAnsi="Times New Roman"/>
                <w:sz w:val="16"/>
                <w:szCs w:val="16"/>
                <w:b w:val="1"/>
                <w:bCs w:val="1"/>
                <w:color w:val="FF4338"/>
                <w:w w:val="98"/>
              </w:rPr>
              <w:t>not</w:t>
            </w:r>
          </w:p>
        </w:tc>
        <w:tc>
          <w:tcPr>
            <w:tcW w:w="94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79"/>
        </w:trPr>
        <w:tc>
          <w:tcPr>
            <w:tcW w:w="700" w:type="dxa"/>
            <w:vAlign w:val="bottom"/>
            <w:vMerge w:val="restart"/>
            <w:textDirection w:val="btLr"/>
          </w:tcPr>
          <w:p>
            <w:pPr>
              <w:ind w:right="251"/>
              <w:spacing w:after="0"/>
              <w:rPr>
                <w:sz w:val="20"/>
                <w:szCs w:val="20"/>
                <w:color w:val="auto"/>
              </w:rPr>
            </w:pPr>
            <w:r>
              <w:rPr>
                <w:rFonts w:ascii="Times New Roman" w:cs="Times New Roman" w:eastAsia="Times New Roman" w:hAnsi="Times New Roman"/>
                <w:sz w:val="15"/>
                <w:szCs w:val="15"/>
                <w:b w:val="1"/>
                <w:bCs w:val="1"/>
                <w:color w:val="FF4338"/>
                <w:w w:val="71"/>
              </w:rPr>
              <w:t>theitis</w:t>
            </w:r>
          </w:p>
        </w:tc>
        <w:tc>
          <w:tcPr>
            <w:tcW w:w="94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7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9"/>
        </w:trPr>
        <w:tc>
          <w:tcPr>
            <w:tcW w:w="700" w:type="dxa"/>
            <w:vAlign w:val="bottom"/>
            <w:textDirection w:val="btLr"/>
          </w:tcPr>
          <w:p>
            <w:pPr>
              <w:ind w:right="49"/>
              <w:spacing w:after="0"/>
              <w:rPr>
                <w:sz w:val="20"/>
                <w:szCs w:val="20"/>
                <w:color w:val="auto"/>
              </w:rPr>
            </w:pPr>
            <w:r>
              <w:rPr>
                <w:rFonts w:ascii="Times New Roman" w:cs="Times New Roman" w:eastAsia="Times New Roman" w:hAnsi="Times New Roman"/>
                <w:sz w:val="1"/>
                <w:szCs w:val="1"/>
                <w:b w:val="1"/>
                <w:bCs w:val="1"/>
                <w:color w:val="FF4338"/>
              </w:rPr>
              <w:t>Theinformationinthisprospectusisnotcompleteandmaybechanged.Thesellingstockholdersnamedinthisprospectusmaynotsellthesesecurities untilregistrationstatementfiledwiththeSecuritiesandExchangeCommission(the“SEC”)iseffective.Thisprospectusisnotanoffertosellthesesecurities,andsolicitinganoffertobuythesesecurities,inanyjurisdictionwheretheofferorsaleisnotpermitted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2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36"/>
                <w:szCs w:val="36"/>
                <w:b w:val="1"/>
                <w:bCs w:val="1"/>
                <w:color w:val="auto"/>
                <w:w w:val="99"/>
              </w:rPr>
              <w:t>Sensei Biotherapeutics, Inc.</w:t>
            </w: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3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600" w:type="dxa"/>
            <w:vAlign w:val="bottom"/>
            <w:gridSpan w:val="2"/>
          </w:tcPr>
          <w:p>
            <w:pPr>
              <w:jc w:val="center"/>
              <w:ind w:right="3680"/>
              <w:spacing w:after="0"/>
              <w:rPr>
                <w:sz w:val="20"/>
                <w:szCs w:val="20"/>
                <w:color w:val="auto"/>
              </w:rPr>
            </w:pPr>
            <w:r>
              <w:rPr>
                <w:rFonts w:ascii="Times New Roman" w:cs="Times New Roman" w:eastAsia="Times New Roman" w:hAnsi="Times New Roman"/>
                <w:sz w:val="22"/>
                <w:szCs w:val="22"/>
                <w:b w:val="1"/>
                <w:bCs w:val="1"/>
                <w:color w:val="auto"/>
                <w:w w:val="97"/>
              </w:rPr>
              <w:t>24,868,028 Shares</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600" w:type="dxa"/>
            <w:vAlign w:val="bottom"/>
            <w:gridSpan w:val="2"/>
          </w:tcPr>
          <w:p>
            <w:pPr>
              <w:jc w:val="center"/>
              <w:ind w:right="36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Common Stock</w:t>
            </w:r>
          </w:p>
        </w:tc>
        <w:tc>
          <w:tcPr>
            <w:tcW w:w="0" w:type="dxa"/>
            <w:vAlign w:val="bottom"/>
          </w:tcPr>
          <w:p>
            <w:pPr>
              <w:spacing w:after="0"/>
              <w:rPr>
                <w:sz w:val="1"/>
                <w:szCs w:val="1"/>
                <w:color w:val="auto"/>
              </w:rPr>
            </w:pPr>
          </w:p>
        </w:tc>
      </w:tr>
      <w:tr>
        <w:trPr>
          <w:trHeight w:val="286"/>
        </w:trPr>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20" w:type="dxa"/>
            <w:vAlign w:val="bottom"/>
            <w:gridSpan w:val="3"/>
          </w:tcPr>
          <w:p>
            <w:pPr>
              <w:jc w:val="center"/>
              <w:ind w:right="960"/>
              <w:spacing w:after="0"/>
              <w:rPr>
                <w:sz w:val="20"/>
                <w:szCs w:val="20"/>
                <w:color w:val="auto"/>
              </w:rPr>
            </w:pPr>
            <w:r>
              <w:rPr>
                <w:rFonts w:ascii="Times New Roman" w:cs="Times New Roman" w:eastAsia="Times New Roman" w:hAnsi="Times New Roman"/>
                <w:sz w:val="22"/>
                <w:szCs w:val="22"/>
                <w:b w:val="1"/>
                <w:bCs w:val="1"/>
                <w:color w:val="auto"/>
                <w:w w:val="98"/>
              </w:rPr>
              <w:t>Offered by the Selling Stockholders</w:t>
            </w:r>
          </w:p>
        </w:tc>
        <w:tc>
          <w:tcPr>
            <w:tcW w:w="0" w:type="dxa"/>
            <w:vAlign w:val="bottom"/>
          </w:tcPr>
          <w:p>
            <w:pPr>
              <w:spacing w:after="0"/>
              <w:rPr>
                <w:sz w:val="1"/>
                <w:szCs w:val="1"/>
                <w:color w:val="auto"/>
              </w:rPr>
            </w:pPr>
          </w:p>
        </w:tc>
      </w:tr>
      <w:tr>
        <w:trPr>
          <w:trHeight w:val="231"/>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This prospectus relates to the proposed resale or other disposition by the selling stockholders identified herein (the “Selling Stockholders”), of up to (i)</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10,425,531 shares (“Merger Conversion Shares”) of our common stock, par value $0.0001 per share (“Common Stock”), issuable upon the conversion of</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10,425.531 shares (“Merger Preferred Shares”) of our Series B Non-Voting Convertible Preferred Stock, par value $0.0001 per share (“Series B Preferred</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 (ii) 14,440,395 shares of Common Stock (the “Private Placement Conversion Shares”) issuable upon the conversion of 14,440.395 shares of our Series</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B Preferred Stock (the “Private Placement Preferred Shares”) and (iii) 2,102 shares of Common Stock (the “Warrant Conversion Shares”) issuable upon exercise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of a warrant (the “Warrant”) to purchase 2.1020 shares of Series B Preferred Stock (the “Warrant Preferred Shares”), which will be exercisable for shares of</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upon conversion of the Series B Preferred Stock. Subject to receiving approval by our stockholders of the issuance of shares of Common Stock</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upon conversion of Series B Preferred Stock and the change of control of our company in accordance with the Nasdaq Stock Market LLC (“Nasdaq”) listing</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rules (the “Conversion Proposal”) and of a certificate of amendment to our amended and restated certificate of incorporation to increase the number of</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authorized shares of Common Stock from 12,500,000 to 300,000,000 (the “Authorized Share Proposal” and, together with the Conversion Proposal, the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“Required Company Stockholder Matters”) and certain beneficial ownership limitations set by each preferred stockholder, each share of Series B Preferred</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 will automatically convert into 1,000 shares of Common Stock. The shares of Common Stock registered by this prospectus are referred to herein as the</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“Resale Shares.”</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The Merger Preferred Shares were issued to former stockholders of Faeth Holdings Therapeutics, Inc., a Delaware corporation (“Faeth HoldCo”), and the</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Warrant held by a former equityholder of Faeth Therapeutics, LLC, a Delaware limited liability company and wholly owned subsidiary of Faeth HoldCo (“Faeth</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Subsidiary” and, together with Faeth HoldCo, “Faeth” or “Faeth Therapeutics”) was assumed by us and converted into a warrant to purchase our Series B</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Preferred Stock, in connection with our acquisition (the “Acquisition”) of Faeth Therapeutics, which closed on February 17, 2026. The Private Placement</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Preferred Shares were issued and sold to accredited investors in a private placement (the “2026 Private Placement” and, together with the Acquisition and the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transactions and actions contemplated by the Merger Agreement, the “Acquisition Transactions”), which closed on February 20, 2026. We are not offering</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or selling any Resale Shares under this prospectus and will not receive any of the proceeds from the sale or other disposition of Resale Shares by the Selling</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The Selling Stockholders may sell the Resale Shares on any national securities exchange or quotation service on which the securities may be listed or</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quoted at the time of sale, on the over-the-counter market, in one or more transactions otherwise than on these exchanges or systems, such as privately</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negotiated transactions, or using a combination of these methods, and at fixed prices, at prevailing market prices at the time of the sale, at varying prices</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color w:val="auto"/>
              </w:rPr>
              <w:t>determined at the time of sale, or at negotiated prices. See the disclosure under the heading “Plan of Distribution” elsewhere in this prospectus for more</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information about how the Selling Stockholders may sell or otherwise dispose of their Resale Shares hereunder.</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The Selling Stockholders may sell any, all or none of the securities offered by this prospectus and we do not know when or in what amount the Selling</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Stockholders may sell their Resale Shares hereunder following the effective date of the registration statement of which this prospectus forms a part.</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You should carefully read this prospectus and any applicable prospectus supplement, as well as any documents incorporated by reference herein or therein,</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before you invest in any of the securities being offered.</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Our Common Stock is traded on the Nasdaq Capital Market under the symbol “SNSE.” On May 31, 2026, the last reported sales price for our Common</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Stock was $21.14 per share.</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An investment in our securities involves a high degree of risk. You should carefully consider the information under the heading</w:t>
            </w: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9440" w:type="dxa"/>
            <w:vAlign w:val="bottom"/>
            <w:gridSpan w:val="5"/>
          </w:tcPr>
          <w:p>
            <w:pPr>
              <w:ind w:left="160"/>
              <w:spacing w:after="0" w:line="178"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color w:val="0000EE"/>
              </w:rPr>
              <w:t>Risk Factors</w:t>
            </w:r>
            <w:r>
              <w:rPr>
                <w:rFonts w:ascii="Times New Roman" w:cs="Times New Roman" w:eastAsia="Times New Roman" w:hAnsi="Times New Roman"/>
                <w:sz w:val="16"/>
                <w:szCs w:val="16"/>
                <w:b w:val="1"/>
                <w:bCs w:val="1"/>
                <w:color w:val="auto"/>
              </w:rPr>
              <w:t>” beginning on page 9 of this prospectus and any applicable prospectus supplement, and under similar headings in the</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 w:type="dxa"/>
            <w:vAlign w:val="bottom"/>
          </w:tcPr>
          <w:p>
            <w:pPr>
              <w:spacing w:after="0"/>
              <w:rPr>
                <w:sz w:val="18"/>
                <w:szCs w:val="18"/>
                <w:color w:val="auto"/>
              </w:rPr>
            </w:pP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other documents that are incorporated by reference into this prospectus.</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is truthful</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9440" w:type="dxa"/>
            <w:vAlign w:val="bottom"/>
            <w:gridSpan w:val="5"/>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or complete. Any representation to the contrary is a criminal offense. The securities are not being offered in any jurisdiction where the offer is not</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32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-6722110</wp:posOffset>
            </wp:positionV>
            <wp:extent cx="2794635" cy="977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977265"/>
                    </a:xfrm>
                    <a:prstGeom prst="rect">
                      <a:avLst/>
                    </a:prstGeom>
                    <a:noFill/>
                  </pic:spPr>
                </pic:pic>
              </a:graphicData>
            </a:graphic>
          </wp:anchor>
        </w:drawing>
      </w:r>
    </w:p>
    <w:p>
      <w:pPr>
        <w:sectPr>
          <w:pgSz w:w="11900" w:h="16838" w:orient="portrait"/>
          <w:cols w:equalWidth="0" w:num="1">
            <w:col w:w="10260"/>
          </w:cols>
          <w:pgMar w:left="320" w:top="455" w:right="1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52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STATEMENT CONCERNING FORWARD-LOOKING STATEMENTS</w:t>
            </w:r>
          </w:p>
        </w:tc>
        <w:tc>
          <w:tcPr>
            <w:tcW w:w="206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4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4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30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480" w:type="dxa"/>
            <w:vAlign w:val="bottom"/>
            <w:gridSpan w:val="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3800" w:type="dxa"/>
            <w:vAlign w:val="bottom"/>
            <w:gridSpan w:val="8"/>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INFORMATION BY REFERENCE</w:t>
            </w:r>
          </w:p>
        </w:tc>
        <w:tc>
          <w:tcPr>
            <w:tcW w:w="414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using a “shelf” registration process. Under this shelf registration process, the Selling Stockholders may, from time to time, offer and sell the securities described in this prospectus in one or more offerings. Information about the Selling Stockholders may change over time.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the Selling Stockholders may offer. Each time the Selling Stockholders sell shares of Common Stock using this prospectus, to the extent necessary and required by law, we will provide a prospectus supplement that will contain specific information about the terms of that offering, including the number of shares of Common Stock being offered, the manner of distribution, the identity of any underwriters or other counterparties and other specific terms related to the offering. The prospectus supplement may also add, update or change information contained in this prospectus. To the extent that any statement made in a prospectus supplement is inconsistent with statements made in this prospectus, the statements made in this prospectus will be deemed modified or superseded by those made in the prospectus supplement. You should read this prospectus, any applicable prospectus supplement and the information incorporated by reference in this prospectus before making an investment in shares of our Common Stock. See “Where You Can Find More Information” for more information.</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and incorporates by reference information that you should consider when making your investment decision. Neither we nor the Selling Stockholders have authorized anyone to give any information or to make any representation other than those contained or incorporated by reference in this prospectus. The Selling Stockholders are offering to sell, and seeking offers to buy, our securities only in jurisdictions where it is lawful to do so.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herein and any related free writing prospectus is accurate only as of their respective dates. Our business, financial condition, results of operations and prospects may have changed materially since those dates.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terms (i) “we,” “us,” “our,” “Sensei,” the “Company” and other similar terms refer to the business and operations of Sensei Biotherapeutics, Inc. and its consolidated subsidiaries for periods prior to the Acquisition and to Sensei Biotherapeutics, Inc. and its consolidated subsidiaries, including Faeth Therapeutics for periods after the Acquisition; (ii) “Faeth HoldCo” refers to Faeth Holdings Therapeutics, Inc., (iii) “Faeth Subsidiary” refers to Faeth Therapeutics, LLC, a wholly owned subsidiary of Faeth HoldCo, (iv) “Faeth” or “Faeth Therapeutics” refer collectively to Faeth HoldCo and Faeth Subsidiary and (v) “Acquisition” refers to the acquisition by the Company of Faeth Therapeutics pursuant to that Agreement and Plan of Merger, dated February 17, 2026, by and among the Company, Sapphire First Merger Sub, Inc., a Delaware corporation and a wholly owned subsidiary of the Company, Sapphire Second Merger Sub, LLC, a Delaware limited liability company and wholly owned subsidiary of the Company, Faeth HoldCo and Faeth Subsidiary.</w:t>
      </w:r>
    </w:p>
    <w:p>
      <w:pPr>
        <w:spacing w:after="0" w:line="192" w:lineRule="exact"/>
        <w:rPr>
          <w:sz w:val="20"/>
          <w:szCs w:val="20"/>
          <w:color w:val="auto"/>
        </w:rPr>
      </w:pPr>
    </w:p>
    <w:p>
      <w:pPr>
        <w:ind w:left="120" w:right="80"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This prospectus contains references to our trademarks and to trademarks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Stockholders have done anything that would permit the offering or possession or distribution of this prospectus in any jurisdiction where action for that purpose is required, other than in the United States. You are required to inform yourselves about and to observe any restrictions relating to the offering and the distribution of this prospectus outside of the United States.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27A of the Securities Act of 1933, as amended (the “Securities Act”), and Section 21E of the Securities Exchange Act of 1934, as amended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Act”). These forward-looking statements involve a number of risks and uncertainties. We caution readers that any forward-looking statement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not a guarantee of future performance and that actual results could differ materially from those contained in the forward-looking statement.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are based on current expectations of future events.</w:t>
      </w:r>
    </w:p>
    <w:p>
      <w:pPr>
        <w:spacing w:after="0" w:line="2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are forward-looking statements, including, without limitation, statements regarding: the Required Company Stockholder Matters, the Annual Meeting (as defined below), the Nasdaq Listing Application (as defined below), the expected Company name and ticker if the Required Company Stockholder Matters and the Nasdaq Listing Application are approved, our ability to achieve the expected benefits or opportunities with respect to the Acquisition, our future results of operations and financial position, business strategy, our expectations that our cash and cash equivalents, together with the proceeds from the 2026 Private Placement, will enable us to fund our operating expenses and capital expenditure requirements through topline data readouts from both our ongoing Phase 2 trial of PIKTOR in advanced endometrial cancer (Study FTH-PIK-201) and our Phase 1b trial of PIKTOR in HR+/HER2- advanced breast cancer (Study FTH-PIK-101), our preclinical and clinical development activities, the potential therapeutic benefits and economic value of our product candidates, and the timing and results of preclinical studies and clinical trials. Forward-looking statements generally relate to future events or our future financial or operating performance. The words “aim,” “anticipate,” “assume,” “can,” “continue,” “could,” “designed to,” “estimate,” “evaluate,” “expect,” “explore,” “intend,” “intended to,” “likely,” “may,” “might,” “objective,” “ongoing,” “plan,” “potential,” “predict,” “project,” “pursue,” “seek,” “should,” “to be,” “will,” and “would,” or the negative of such terms or other similar expressions that convey uncertainty of future events or outcomes are intended to identify forward-looking statements, although not all forward-looking statements contain these identifying words.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include those discussed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You are cautioned not to place undue reliance on these forward-looking statements, which speak only as of the date of this prospectus or, in the case of documents referred to or incorporated by reference, the date of those documents.</w:t>
      </w:r>
    </w:p>
    <w:p>
      <w:pPr>
        <w:spacing w:after="0" w:line="188"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6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99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4899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herein, before making an investment decision.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improving outcomes for cancer patients through multi-node inhibition of critical oncogenic pathways. On February 17, 2026, we completed the acquisition of Faeth Therapeutics, a clinical-stage biotechnology company developing multi-node therapies that target tumor metabolism and signaling. The Acquisition brought into our pipeline Faeth’s lead asset, PIKTOR, a proprietary investigational all-oral combination of serabelisib and sapanisertib that inhibits multiple nodes of the PI3K/AKT/mTOR pathway, as demonstrated in preclinical studies and a Phase 1b clinical trial of PIKTOR, which was a Phase 1b open-label, uncontrolled study with a limited number of evaluable patients.</w:t>
      </w:r>
    </w:p>
    <w:p>
      <w:pPr>
        <w:spacing w:after="0" w:line="187"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Following the Acquisition, our lead program is PIKTOR, an investigational multi-node inhibitor of the PI3K/AKT/mTOR pathway in development for endometrial and breast cancer. The PI3K/AKT/mTOR pathway is dysregulated in up to 50% of all solid tumors, making it one of the most prevalent therapeutic targets in oncology. Despite this, currently approved therapies — all of which target only a single pathway node — have produced limited clinical benefits, often accompanied by toxicities that have constrained their utilization. Our core scientific thesis is that simultaneously suppressing multiple nodes of a pathway can produce deeper, more durable tumor suppression than targeting any single-node alone, which we believe may also enable lower drug dosing, potentially contributing to an improved tolerability profile.</w:t>
      </w:r>
    </w:p>
    <w:p>
      <w:pPr>
        <w:spacing w:after="0" w:line="187"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PIKTOR is currently being evaluated in an ongoing Phase 2 trial in second-line advanced endometrial cancer (Study FTH-PIK-201), with topline data anticipated by year-end 2026. The primary endpoint for this Phase 2 trial is objective response rate (ORR), and the secondary endpoints are progression free survival (PFS), PFS at six months, overall survival, clinical benefit rate (CBR), duration of response (DOR) and safety and tolerability by assessment of adverse events (AEs) and serious adverse events (SAEs). In May 2026, we announced that we had dosed the first patient in our Phase 1b trial in HR+/HER2- advanced breast cancer (Study FTH-PIK-101). The primary endpoint for this Phase 1b trial is safety and tolerability by assessment of AEs and SAEs, and the secondary endpoints are ORR, PFS, PFS at six months, overall survival, CBR and DOR.</w:t>
      </w:r>
    </w:p>
    <w:p>
      <w:pPr>
        <w:spacing w:after="0" w:line="18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Faeth was co-founded in 2019 by Anand Parikh and Oliver Maddocks, PhD, together with scientific founders Lewis Cantley, PhD, the discoverer of the PI3K pathway, Siddhartha Mukherjee, MD, DPhil, Karen Vousden, PhD, Scott Lowe, PhD, and Greg Hannon, PhD. We are led by an experienced management team with expertise spanning cancer biology, translational research, clinical drug development, regulatory affairs and corporate strategy gained through prior roles within both biotechnology and large pharmaceutical companies as well as academia.</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8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In addition to PIKTOR and the Faeth pipeline programs described above, our pipeline includes programs that preceded the Acquisition. We are completing a Phase 1/2 trial of solnerstotug (formerly SNS-101), our conditionally active monoclonal antibody targeting the immune checkpoint VISTA. As of March 23, 2026, seven patients remain on study in the expansion portion of the trial. We intend to evaluate the results of this trial in 2026 to determine next steps. We also have three preclinical-stage conditionally active antibody programs: SNS-102 (targeting VSIG4), SNS-103 (targeting CD39), and SNS-201, a bispecific antibody designed to conditionally activate CD28 through monovalent CD28 engagement and bivalent pH-selective VISTA binding, which we are evaluating for potential development.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On February 17, 2026 (the “Closing”), we completed the acquisition of Faeth Therapeutics in accordance with the terms of the Agreement and Plan of Merger (the “Merger Agreement”), dated February 17, 2026, by and among the Company, Sapphire First Merger Sub, Inc., a Delaware corporation and a wholly owned subsidiary of the Company (“First Merger Sub”), Sapphire Second Merger Sub, LLC, a Delaware limited liability company and wholly owned subsidiary of the Company (“Second Merger Sub”), Faeth HoldCo and Faeth Subsidiary, pursuant to which, First Merger Sub merged with and into Faeth HoldCo, pursuant to which Faeth HoldCo was the surviving corporation and became a wholly owned subsidiary of the Company (the “First Merger”). Immediately following the First Merger, Faeth HoldCo merged with and into Second Merger Sub, pursuant to which Second Merger Sub was the surviving entity.</w:t>
      </w:r>
    </w:p>
    <w:p>
      <w:pPr>
        <w:spacing w:after="0" w:line="189"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The Acquisition was structured as a stock-for-stock transaction pursuant to which all of Faeth Therapeutics’ outstanding equity interests were exchanged based on a fixed exchange ratio for aggregate consideration of 10,497.098 shares of Series B Preferred Stock, each share of which is convertible into 1,000 shares of Common Stock (representing 10,497,098 shares on an as-converted-to-common basis and without giving effect to any beneficial ownership limitations), subject to receipt of approval of the Required Company Stockholder Matters in accordance with Nasdaq listing rules and the beneficial ownership limitations set by each holder, which may be waived by each holder at any time following the approval by Nasdaq of a Nasdaq initial listing application filed in accordance with Nasdaq listing rule 5110(a) (the “Nasdaq Listing Application”) and approval of the Required Company Stockholder Matters. In addition, the outstanding warrant to purchase shares of Faeth Subsidiary capital stock was converted into a warrant to purchase an aggregate of 2.1020 shares of Series B Preferred Stock (representing a warrant to purchase 2,102 shares of Common Stock on an as-converted-to-common basis and without giving effect to any beneficial ownership limitations) and all outstanding options to purchase Faeth Subsidiary common stock were assumed by us and converted into options to purchase an aggregate of 252,210 shares of Common Stock. The Series B Preferred Stock was a newly designated series of preferred stock and was intended to have economic rights equivalent to our Common Stock, but with no voting rights. The rights of the Series B Preferred Stock are set forth in the Certificate of Designation of Series B Non-Voting Convertible Preferred Stock (the “Certificate of Designation”) that we filed with the Secretary of State of the State of Delaware.</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respect to the Acquisition, we determined that we were the acquiror for accounting purposes under ASC 805-10-25-4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ASC 805-10-55-11. The primary factors considered were (a) the relative voting rights in the combined entity not resulting in a change of control,</w:t>
      </w:r>
    </w:p>
    <w:p>
      <w:pPr>
        <w:spacing w:after="0" w:line="9" w:lineRule="exact"/>
        <w:rPr>
          <w:sz w:val="20"/>
          <w:szCs w:val="20"/>
          <w:color w:val="auto"/>
        </w:rPr>
      </w:pPr>
    </w:p>
    <w:p>
      <w:pPr>
        <w:ind w:left="300" w:hanging="2"/>
        <w:spacing w:after="0" w:line="252" w:lineRule="auto"/>
        <w:tabs>
          <w:tab w:leader="none" w:pos="5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pre-Acquisition members of our board of directors maintained control of our board of directors, and (c) the pre-Acquisition members of senior management remained the same at the closing of the Acquisition Transactions, other than the newly appointed Chief Operating Officer. Next, we considered whether the Acquisition should be defined as a business under ASC 805. ASC 805-10-55-5A through 55-5C describe a screen test to determine whether an acquired set of assets and activities is not a business. We determined that substantially all (greater than 90%) of the fair value of the assets acquired were concentrated in a single asset, PIKTOR, an investigational, proprietary, all-oral combination of serabelisib and sapanisertib that is designed to inhibit multiple nodes of the PI3K/AKT/mTOR pathway through PI3K-alpha and dual mTORC1/2 targeting. Accordingly, we treated the Acquisition as an asset acquisition for accounting purposes.</w:t>
      </w:r>
    </w:p>
    <w:p>
      <w:pPr>
        <w:spacing w:after="0" w:line="188"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Concurrently with the Acquisition, we entered into a Securities Purchase Agreement (the “Purchase Agreement”) with the purchasers named therein (the “Investors”), pursuant to which, on February 20, 2026 (the “PIPE Closing”), we issued and sold an aggregate of 14,440.395 shares of Series B Preferred Stock, each share of which is convertible into 1,000 shares of Common Stock (representing 14,440,395 shares on an as-converted-to-common basis and without giving effect to any beneficial ownership limitations), subject to receipt of approval of the Required Company Stockholder Matters in accordance with Nasdaq listing rules and the beneficial ownership limitations set by each holder, which may be waived by each holder at any time following the approval by Nasdaq of the Nasdaq Listing Application and approval of the Required Company Stockholder Matters, at a price of $13,850 per share of Series B Preferred Stock (or approximately $13.85 per share on an as-converted-to-common basis) for aggregate gross proceeds of approximately $200 million.</w:t>
      </w:r>
    </w:p>
    <w:p>
      <w:pPr>
        <w:spacing w:after="0" w:line="192"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On February 17, 2026, we entered into a Registration Rights Agreement (the “RRA”) with the Investors. Pursuant to the RRA, we are obligated to prepare and file a resale registration statement with the SEC within 75 calendar days following the closing of the 2026 Private Placement. The RRA also contains customary terms, including an obligation to indemnify the Investors and certain affiliates from certain liabilities relating to any misstatements or omissions in the resale registration statement.</w:t>
      </w:r>
    </w:p>
    <w:p>
      <w:pPr>
        <w:spacing w:after="0" w:line="180"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Acquisition, the 2026 Private Placement and the other transactions and actions contemplated by the Merger Agreement (the “Acquisition Transactions”) were approved by our board of directors and the board of directors and stockholders of Faeth Therapeutics. The closings of the Acquisition Transactions were not subject to the approval of Sensei stockholders.</w:t>
      </w:r>
    </w:p>
    <w:p>
      <w:pPr>
        <w:spacing w:after="0" w:line="176"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We have filed a definitive proxy statement with the SEC to solicit approval of the Required Company Stockholder Matters, among other matters, at our 2026 annual meeting of our stockholders (the “Annual Meeting”). Except as otherwise required by law (e.g. voting on a change to the authorized shares of Series B Preferred Stock or the rights of such shares as required by the General Corporation Law of the State of Delaware (“DGCL”)) and the Certificate of Designation, the Series B Preferred Stock does not have voting rights. For more information on the Series B Preferred Stock, please refer to the Certificate of Designation, which is incorporated by reference herein and attached as Exhibit 3.1 of our Current Report on Form 8-K, filed with the SEC on February 18, 2026.</w:t>
      </w:r>
    </w:p>
    <w:p>
      <w:pPr>
        <w:spacing w:after="0" w:line="187"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We have filed the Nasdaq Listing Application with Nasdaq. If the Required Company Stockholder Matters and the Nasdaq Listing Application are approved, it is expected that we will change our name to “Faeth Therapeutics, Inc.” and our Common Stock will trade on The Nasdaq Capital Market under the symbol “FTH.” Approval of the Nasdaq Listing Application is contingent upon final review by Nasdaq of any amendments to this Registration Statement on Form S-3 and the effectiveness thereof.</w:t>
      </w:r>
    </w:p>
    <w:p>
      <w:pPr>
        <w:spacing w:after="0" w:line="180"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Merger Agreement, Sensei and Faeth Subsidiary entered into stockholder support agreements (the “Support Agreements”) with certain of Sensei’s officers and directors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(solely in their capacities as stockholders), representing 1.5% of the outstanding shares of Common Stock as of April 13, 2026. The Support Agreements provide that, among other things, each of the parties thereto has agreed to vote or cause to be voted all of the shares of Common Stock owned by such stockholder in favor of the Required Company Stockholder Matters, the approval of the Company’s 2026 Equity Incentive Plan and the Company’s 2026 Employee Stock Purchase Plan at the Annual Meeting.</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Concurrently and in connection with the execution of the Merger Agreement, certain officers, directors and certain stockholders of Faeth HoldCo as of immediately prior to the Merger, and certain of the directors and officers of Sensei as of immediately prior to the Acquisition entered into lock-up agreements (the “Lock-up Agreements”) with Sensei and Faeth Subsidiary, pursuant to which each such stockholder will be subject to a 180-day lockup on the sale or transfer of shares of Common Stock and Series B Preferred Stock held by each such stockholder, subject to certain limited exceptions as set forth in the Lock-Up Agreements.</w:t>
      </w:r>
    </w:p>
    <w:p>
      <w:pPr>
        <w:spacing w:after="0" w:line="183" w:lineRule="exact"/>
        <w:rPr>
          <w:sz w:val="20"/>
          <w:szCs w:val="20"/>
          <w:color w:val="auto"/>
        </w:rPr>
      </w:pPr>
    </w:p>
    <w:p>
      <w:pPr>
        <w:ind w:left="300" w:right="620" w:firstLine="426"/>
        <w:spacing w:after="0" w:line="282" w:lineRule="auto"/>
        <w:rPr>
          <w:sz w:val="20"/>
          <w:szCs w:val="20"/>
          <w:color w:val="auto"/>
        </w:rPr>
      </w:pPr>
      <w:r>
        <w:rPr>
          <w:rFonts w:ascii="Times New Roman" w:cs="Times New Roman" w:eastAsia="Times New Roman" w:hAnsi="Times New Roman"/>
          <w:sz w:val="18"/>
          <w:szCs w:val="18"/>
          <w:color w:val="auto"/>
        </w:rPr>
        <w:t>For more information about the Acquisition Transactions, you should refer to our Current Report on Form 8-K filed with the SEC on February 18, 2026, which is incorporated by reference herein.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We were originally incorporated as Panacea Pharmaceuticals, Inc., or Panacea, under the laws of the state of Maryland in 1999. In December 2017, we reincorporated in Delaware and changed our name to Sensei Biotherapeutics, Inc. Our principal executive offices are located at 1405 Research Blvd, Rockville, MD 20850. Our telephone number is (240) 243-8000.</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that are not emerging growth companies, including the auditor attestation requirements in the assessment of our internal control over financial reporting under Section 404(b) of the Sarbanes-Oxley Act, compliance with any new requirements adopted by the PCAOB, disclosure obligations regarding executive compensation in our periodic reports and proxy statements, and the requirements of holding advisory “say-on-pay” votes on executive compensation and stockholder advisory votes on golden parachute compensation not previously approved. Certain of these reduced reporting requirements and exemptions are also available to us due to the fact that we qualify as a “smaller reporting company” under SEC rules. For instance, smaller reporting companies are not required to obtain an auditor attestation and report regarding management’s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w:t>
      </w:r>
    </w:p>
    <w:p>
      <w:pPr>
        <w:spacing w:after="0" w:line="200" w:lineRule="exact"/>
        <w:rPr>
          <w:sz w:val="20"/>
          <w:szCs w:val="20"/>
          <w:color w:val="auto"/>
        </w:rPr>
      </w:pPr>
    </w:p>
    <w:p>
      <w:pPr>
        <w:spacing w:after="0" w:line="210" w:lineRule="exact"/>
        <w:rPr>
          <w:sz w:val="20"/>
          <w:szCs w:val="20"/>
          <w:color w:val="auto"/>
        </w:rPr>
      </w:pPr>
    </w:p>
    <w:p>
      <w:pPr>
        <w:ind w:left="300" w:right="140" w:firstLine="426"/>
        <w:spacing w:after="0" w:line="272" w:lineRule="auto"/>
        <w:rPr>
          <w:sz w:val="20"/>
          <w:szCs w:val="20"/>
          <w:color w:val="auto"/>
        </w:rPr>
      </w:pPr>
      <w:r>
        <w:rPr>
          <w:rFonts w:ascii="Times New Roman" w:cs="Times New Roman" w:eastAsia="Times New Roman" w:hAnsi="Times New Roman"/>
          <w:sz w:val="17"/>
          <w:szCs w:val="17"/>
          <w:color w:val="auto"/>
        </w:rPr>
        <w:t>Under the JOBS Act, we will remain an emerging growth company until the earliest of (1) the last day of the fiscal year in which we have more than $1.235 billion in annual revenue; (2) the date we qualify as a “large accelerated filer,” with at least $700.0 million of equity securities held by non-affiliates; (3) the issuance, in any three-year period, by our company of more than $1.0 billion in non-convertible debt securities; and</w:t>
      </w:r>
    </w:p>
    <w:p>
      <w:pPr>
        <w:spacing w:after="0" w:line="2" w:lineRule="exact"/>
        <w:rPr>
          <w:sz w:val="20"/>
          <w:szCs w:val="20"/>
          <w:color w:val="auto"/>
        </w:rPr>
      </w:pPr>
    </w:p>
    <w:p>
      <w:pPr>
        <w:ind w:left="300" w:right="180" w:hanging="2"/>
        <w:spacing w:after="0" w:line="253" w:lineRule="auto"/>
        <w:tabs>
          <w:tab w:leader="none" w:pos="5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 which is the last day of the fiscal year following the fifth anniversary of the date of the first sale of our Common Stock pursuant to an effective registration statement filed under the Securities Act. Under current SEC rules, however, we will continue to qualify as a “smaller reporting company” for so long as (i) we have a public float (i.e., the market value of common equity held by non-affiliates) of less than $250 million or (ii) our annual revenue is less than $100 million during the most recently completed fiscal year and the market value of our Common Stock held by non-affiliates is less than $700 million.</w:t>
      </w: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058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also can delay adopting new or revised accounting standards until such time as those standards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5" w:right="6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Up to an aggregate of 24,868,028 shares of Common Stock, which consist of (i)</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10,425,531 Merger Conversion Shares, (ii) 14,440,395 Private Placement Conversion</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and (iii) 2,102 Warrant Conversion Shares.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Terms of the offering</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offered in this prospectus, as described in “Plan of Distribution.”</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will not receive any proceeds from the sale of the Resale Shares. If the Warrant is</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exercised for cash, we will, however, receive the net proceeds thereof.</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See “Risk Factors” on page 8 for a discussion of factors you should carefully consider</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before deciding to invest in our common stock.</w:t>
            </w:r>
          </w:p>
        </w:tc>
      </w:tr>
      <w:tr>
        <w:trPr>
          <w:trHeight w:val="459"/>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“SNSE”</w:t>
            </w:r>
          </w:p>
        </w:tc>
      </w:tr>
      <w:tr>
        <w:trPr>
          <w:trHeight w:val="186"/>
        </w:trPr>
        <w:tc>
          <w:tcPr>
            <w:tcW w:w="4040" w:type="dxa"/>
            <w:vAlign w:val="bottom"/>
            <w:tcBorders>
              <w:left w:val="single" w:sz="8" w:color="auto"/>
              <w:bottom w:val="single" w:sz="8" w:color="auto"/>
            </w:tcBorders>
          </w:tcPr>
          <w:p>
            <w:pPr>
              <w:spacing w:after="0"/>
              <w:rPr>
                <w:sz w:val="16"/>
                <w:szCs w:val="16"/>
                <w:color w:val="auto"/>
              </w:rPr>
            </w:pPr>
          </w:p>
        </w:tc>
        <w:tc>
          <w:tcPr>
            <w:tcW w:w="6980" w:type="dxa"/>
            <w:vAlign w:val="bottom"/>
            <w:tcBorders>
              <w:bottom w:val="single" w:sz="8" w:color="auto"/>
              <w:right w:val="single" w:sz="8" w:color="auto"/>
            </w:tcBorders>
          </w:tcPr>
          <w:p>
            <w:pPr>
              <w:spacing w:after="0"/>
              <w:rPr>
                <w:sz w:val="16"/>
                <w:szCs w:val="16"/>
                <w:color w:val="auto"/>
              </w:rPr>
            </w:pPr>
          </w:p>
        </w:tc>
      </w:tr>
      <w:tr>
        <w:trPr>
          <w:trHeight w:val="361"/>
        </w:trPr>
        <w:tc>
          <w:tcPr>
            <w:tcW w:w="4040" w:type="dxa"/>
            <w:vAlign w:val="bottom"/>
          </w:tcPr>
          <w:p>
            <w:pPr>
              <w:spacing w:after="0"/>
              <w:rPr>
                <w:sz w:val="24"/>
                <w:szCs w:val="24"/>
                <w:color w:val="auto"/>
              </w:rPr>
            </w:pPr>
          </w:p>
        </w:tc>
        <w:tc>
          <w:tcPr>
            <w:tcW w:w="69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titled “Cautionary Statement Concerning Forward-Looking Statements.”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 If the Warrant is exercised for cash, we will, however, receive the net proceeds thereof.</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covers the resale or other disposition from time to time by the Selling Stockholders identified in the table below of up to an aggregate of 24,868,028 shares of Common Stock, which consist of (i) 10,425,531 Merger Conversion Shares, (ii) 14,440,395 Private Placement Conversion Shares and (iii) 2,102 Warrant Conversion Shares. The Selling Stockholders may from time to time offer and sell any or all of the Resale Shares set forth below pursuant to this prospectus and any accompanying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February 17, 2026, we entered into the Purchase Agreement, pursuant to which we sold an aggregate of 14,440.395 shares of Series B Preferred Stock, which are convertible into 14,440,395 shares of Common Stock pursuant to the Certificate of Designation, at an aggregate purchase price of approximately $200 million. Also on February 17, 2026, we completed our acquisition of Faeth Therapeutics in accordance with the Merger Agreement, pursuant to which we issued an aggregate of 10,497.098 shares of Series B Preferred Stock, which are convertible into 10,497,098 shares of Common Stock pursuant to the Certificate of Designation, and the outstanding warrant to purchase shares of Faeth Subsidiary capital stock was converted into a warrant to purchase an aggregate of 2.1020 shares of Series B Preferred Stock, which will be exercisable for 2,102 shares of Common Stock upon conversion of the Series B Preferred Stock.</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the Selling Stockholders do not have, and within the past three years have not had, any material position, office or other material relationship with us.</w:t>
      </w:r>
    </w:p>
    <w:p>
      <w:pPr>
        <w:spacing w:after="0" w:line="162"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following table sets forth the names of the Selling Stockholders, the number of shares of our Common Stock owned by the Selling Stockholders as of March 31, 2026, the number of shares of our Common Stock that may be offered under this prospectus and the number of shares of our Common Stock that will be owned after this offering by the Selling Stockholders assuming all of the shares registered for resale hereby are sold.</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except for the Lock-Up Agreements.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Certificate of Designation.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in our possession regarding the issuance of the Series B Preferred Stock and the assumption of the Warrant in connection with the Acquisition Transactions. The percentages of Common Stock owned after the offering by each Selling Stockholder below are based on 1,340,333 shares of Common Stock outstanding as of March 31, 2026, and, for each Selling Stockholder, assumes the conversion of only the Series B Preferred Stock owned by such Selling Stockholder but not the Series B Preferred Stock owned by any other Selling Stockholder and, assumes the exercise of the Warrant only for the Selling Stockholder who holds the Warrant.</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8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1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8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9"/>
        </w:trPr>
        <w:tc>
          <w:tcPr>
            <w:tcW w:w="7100" w:type="dxa"/>
            <w:vAlign w:val="bottom"/>
            <w:gridSpan w:val="2"/>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Name of Selling Stockholders</w:t>
            </w:r>
            <w:r>
              <w:rPr>
                <w:rFonts w:ascii="Times New Roman" w:cs="Times New Roman" w:eastAsia="Times New Roman" w:hAnsi="Times New Roman"/>
                <w:sz w:val="10"/>
                <w:szCs w:val="10"/>
                <w:b w:val="1"/>
                <w:bCs w:val="1"/>
                <w:color w:val="auto"/>
              </w:rPr>
              <w:t>(1)</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8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73"/>
        </w:trPr>
        <w:tc>
          <w:tcPr>
            <w:tcW w:w="7100" w:type="dxa"/>
            <w:vAlign w:val="bottom"/>
            <w:gridSpan w:val="2"/>
            <w:vMerge w:val="continue"/>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(2)</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8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17"/>
        </w:trPr>
        <w:tc>
          <w:tcPr>
            <w:tcW w:w="6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Suvretta Capital Management, LLC, investment manager for entities affiliated with Averill</w:t>
            </w:r>
            <w:r>
              <w:rPr>
                <w:rFonts w:ascii="Times New Roman" w:cs="Times New Roman" w:eastAsia="Times New Roman" w:hAnsi="Times New Roman"/>
                <w:sz w:val="24"/>
                <w:szCs w:val="24"/>
                <w:color w:val="auto"/>
                <w:vertAlign w:val="superscript"/>
              </w:rPr>
              <w:t>(3)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2,020,103</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1,985,554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Avoro Life Sciences Fund LLC</w:t>
            </w:r>
            <w:r>
              <w:rPr>
                <w:rFonts w:ascii="Times New Roman" w:cs="Times New Roman" w:eastAsia="Times New Roman" w:hAnsi="Times New Roman"/>
                <w:sz w:val="25"/>
                <w:szCs w:val="25"/>
                <w:color w:val="auto"/>
                <w:vertAlign w:val="superscript"/>
              </w:rPr>
              <w:t>(4)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1,444,039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1,444,039</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Baker Bros. Advisors LP</w:t>
            </w:r>
            <w:r>
              <w:rPr>
                <w:rFonts w:ascii="Times New Roman" w:cs="Times New Roman" w:eastAsia="Times New Roman" w:hAnsi="Times New Roman"/>
                <w:sz w:val="25"/>
                <w:szCs w:val="25"/>
                <w:color w:val="auto"/>
                <w:vertAlign w:val="superscript"/>
              </w:rPr>
              <w:t>(5)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1,444,039</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1,444,039</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Atlas Private Holdings (Cayman) Ltd.</w:t>
            </w:r>
            <w:r>
              <w:rPr>
                <w:rFonts w:ascii="Times New Roman" w:cs="Times New Roman" w:eastAsia="Times New Roman" w:hAnsi="Times New Roman"/>
                <w:sz w:val="25"/>
                <w:szCs w:val="25"/>
                <w:color w:val="auto"/>
                <w:vertAlign w:val="superscript"/>
              </w:rPr>
              <w:t>(6)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902,525</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902,525</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Cormorant Global Healthcare GP, LLC, General Partner to Cormorant Global Healthcare</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Master Fund, LP</w:t>
            </w:r>
            <w:r>
              <w:rPr>
                <w:rFonts w:ascii="Times New Roman" w:cs="Times New Roman" w:eastAsia="Times New Roman" w:hAnsi="Times New Roman"/>
                <w:sz w:val="26"/>
                <w:szCs w:val="26"/>
                <w:color w:val="auto"/>
                <w:vertAlign w:val="superscript"/>
              </w:rPr>
              <w:t>(7)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Fairmount Healthcare Fund II L.P.</w:t>
            </w:r>
            <w:r>
              <w:rPr>
                <w:rFonts w:ascii="Times New Roman" w:cs="Times New Roman" w:eastAsia="Times New Roman" w:hAnsi="Times New Roman"/>
                <w:sz w:val="25"/>
                <w:szCs w:val="25"/>
                <w:color w:val="auto"/>
                <w:vertAlign w:val="superscript"/>
              </w:rPr>
              <w:t>(8)</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Logos Opportunities Fund V LP</w:t>
            </w:r>
            <w:r>
              <w:rPr>
                <w:rFonts w:ascii="Times New Roman" w:cs="Times New Roman" w:eastAsia="Times New Roman" w:hAnsi="Times New Roman"/>
                <w:sz w:val="25"/>
                <w:szCs w:val="25"/>
                <w:color w:val="auto"/>
                <w:vertAlign w:val="superscript"/>
              </w:rPr>
              <w:t>(9)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Healthcare Fund GP, LLC, General Partner of RA Capital Healthcare Fund, L.P.</w:t>
            </w:r>
            <w:r>
              <w:rPr>
                <w:rFonts w:ascii="Times New Roman" w:cs="Times New Roman" w:eastAsia="Times New Roman" w:hAnsi="Times New Roman"/>
                <w:sz w:val="25"/>
                <w:szCs w:val="25"/>
                <w:color w:val="auto"/>
                <w:vertAlign w:val="superscript"/>
              </w:rPr>
              <w:t>(10)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Columbia Management Investment Advisers, LLC, Investment Manager to Seligman</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Healthcare Spectrum (Master) Fund</w:t>
            </w:r>
            <w:r>
              <w:rPr>
                <w:rFonts w:ascii="Times New Roman" w:cs="Times New Roman" w:eastAsia="Times New Roman" w:hAnsi="Times New Roman"/>
                <w:sz w:val="26"/>
                <w:szCs w:val="26"/>
                <w:color w:val="auto"/>
                <w:vertAlign w:val="superscript"/>
              </w:rPr>
              <w:t>(11)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Vivo Opportunity Fund</w:t>
            </w:r>
            <w:r>
              <w:rPr>
                <w:rFonts w:ascii="Times New Roman" w:cs="Times New Roman" w:eastAsia="Times New Roman" w:hAnsi="Times New Roman"/>
                <w:sz w:val="25"/>
                <w:szCs w:val="25"/>
                <w:color w:val="auto"/>
                <w:vertAlign w:val="superscript"/>
              </w:rPr>
              <w:t>(12)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722,020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ADAR1 Capital Management</w:t>
            </w:r>
            <w:r>
              <w:rPr>
                <w:rFonts w:ascii="Times New Roman" w:cs="Times New Roman" w:eastAsia="Times New Roman" w:hAnsi="Times New Roman"/>
                <w:sz w:val="25"/>
                <w:szCs w:val="25"/>
                <w:color w:val="auto"/>
                <w:vertAlign w:val="superscript"/>
              </w:rPr>
              <w:t>(13)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 Group Capital LLC</w:t>
            </w:r>
            <w:r>
              <w:rPr>
                <w:rFonts w:ascii="Times New Roman" w:cs="Times New Roman" w:eastAsia="Times New Roman" w:hAnsi="Times New Roman"/>
                <w:sz w:val="25"/>
                <w:szCs w:val="25"/>
                <w:color w:val="auto"/>
                <w:vertAlign w:val="superscript"/>
              </w:rPr>
              <w:t>(14)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610,169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610,169</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Accounts managed by Caligan Partners</w:t>
            </w:r>
            <w:r>
              <w:rPr>
                <w:rFonts w:ascii="Times New Roman" w:cs="Times New Roman" w:eastAsia="Times New Roman" w:hAnsi="Times New Roman"/>
                <w:sz w:val="25"/>
                <w:szCs w:val="25"/>
                <w:color w:val="auto"/>
                <w:vertAlign w:val="superscript"/>
              </w:rPr>
              <w:t>(15)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487,012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126,002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Ikarian Capital, LLC as investment advisor to entities affiliated with Boothbay</w:t>
            </w:r>
            <w:r>
              <w:rPr>
                <w:rFonts w:ascii="Times New Roman" w:cs="Times New Roman" w:eastAsia="Times New Roman" w:hAnsi="Times New Roman"/>
                <w:sz w:val="25"/>
                <w:szCs w:val="25"/>
                <w:color w:val="auto"/>
                <w:vertAlign w:val="superscript"/>
              </w:rPr>
              <w:t>(16)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85,858</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84,583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EcoR1 Capital LLC</w:t>
            </w:r>
            <w:r>
              <w:rPr>
                <w:rFonts w:ascii="Times New Roman" w:cs="Times New Roman" w:eastAsia="Times New Roman" w:hAnsi="Times New Roman"/>
                <w:sz w:val="25"/>
                <w:szCs w:val="25"/>
                <w:color w:val="auto"/>
                <w:vertAlign w:val="superscript"/>
              </w:rPr>
              <w:t>(19)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Franklin Advisers, Inc.</w:t>
            </w:r>
            <w:r>
              <w:rPr>
                <w:rFonts w:ascii="Times New Roman" w:cs="Times New Roman" w:eastAsia="Times New Roman" w:hAnsi="Times New Roman"/>
                <w:sz w:val="25"/>
                <w:szCs w:val="25"/>
                <w:color w:val="auto"/>
                <w:vertAlign w:val="superscript"/>
              </w:rPr>
              <w:t>(20)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494,502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133,492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Octagon Investments Master Fund LP</w:t>
            </w:r>
            <w:r>
              <w:rPr>
                <w:rFonts w:ascii="Times New Roman" w:cs="Times New Roman" w:eastAsia="Times New Roman" w:hAnsi="Times New Roman"/>
                <w:sz w:val="25"/>
                <w:szCs w:val="25"/>
                <w:color w:val="auto"/>
                <w:vertAlign w:val="superscript"/>
              </w:rPr>
              <w:t>(21)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SILV Fund, Ltd.</w:t>
            </w:r>
            <w:r>
              <w:rPr>
                <w:rFonts w:ascii="Times New Roman" w:cs="Times New Roman" w:eastAsia="Times New Roman" w:hAnsi="Times New Roman"/>
                <w:sz w:val="25"/>
                <w:szCs w:val="25"/>
                <w:color w:val="auto"/>
                <w:vertAlign w:val="superscript"/>
              </w:rPr>
              <w:t>(22)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Trails Edge Biotechnology Master Fund, LP</w:t>
            </w:r>
            <w:r>
              <w:rPr>
                <w:rFonts w:ascii="Times New Roman" w:cs="Times New Roman" w:eastAsia="Times New Roman" w:hAnsi="Times New Roman"/>
                <w:sz w:val="25"/>
                <w:szCs w:val="25"/>
                <w:color w:val="auto"/>
                <w:vertAlign w:val="superscript"/>
              </w:rPr>
              <w:t>(23)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486,010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Woodline Master Fund LP</w:t>
            </w:r>
            <w:r>
              <w:rPr>
                <w:rFonts w:ascii="Times New Roman" w:cs="Times New Roman" w:eastAsia="Times New Roman" w:hAnsi="Times New Roman"/>
                <w:sz w:val="25"/>
                <w:szCs w:val="25"/>
                <w:color w:val="auto"/>
                <w:vertAlign w:val="superscript"/>
              </w:rPr>
              <w:t>(24)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361,010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Ikarian Capital, LLC, Investment Manager to Ikarian Healthcare Master Fund, LP</w:t>
            </w:r>
            <w:r>
              <w:rPr>
                <w:rFonts w:ascii="Times New Roman" w:cs="Times New Roman" w:eastAsia="Times New Roman" w:hAnsi="Times New Roman"/>
                <w:sz w:val="25"/>
                <w:szCs w:val="25"/>
                <w:color w:val="auto"/>
                <w:vertAlign w:val="superscript"/>
              </w:rPr>
              <w:t>(25)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209,301</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204,225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5,076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Boxer Capital Master Fund, LP</w:t>
            </w:r>
            <w:r>
              <w:rPr>
                <w:rFonts w:ascii="Times New Roman" w:cs="Times New Roman" w:eastAsia="Times New Roman" w:hAnsi="Times New Roman"/>
                <w:sz w:val="25"/>
                <w:szCs w:val="25"/>
                <w:color w:val="auto"/>
                <w:vertAlign w:val="superscript"/>
              </w:rPr>
              <w:t>(26)</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180,505</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180,505</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Marshall Wace LLP</w:t>
            </w:r>
            <w:r>
              <w:rPr>
                <w:rFonts w:ascii="Times New Roman" w:cs="Times New Roman" w:eastAsia="Times New Roman" w:hAnsi="Times New Roman"/>
                <w:sz w:val="25"/>
                <w:szCs w:val="25"/>
                <w:color w:val="auto"/>
                <w:vertAlign w:val="superscript"/>
              </w:rPr>
              <w:t>(27)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218,034</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180,505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37,529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Affinity Healthcare Fund, LP</w:t>
            </w:r>
            <w:r>
              <w:rPr>
                <w:rFonts w:ascii="Times New Roman" w:cs="Times New Roman" w:eastAsia="Times New Roman" w:hAnsi="Times New Roman"/>
                <w:sz w:val="25"/>
                <w:szCs w:val="25"/>
                <w:color w:val="auto"/>
                <w:vertAlign w:val="superscript"/>
              </w:rPr>
              <w:t>(28)</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144,404</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144,404</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Alyeska Master Fund, LP</w:t>
            </w:r>
            <w:r>
              <w:rPr>
                <w:rFonts w:ascii="Times New Roman" w:cs="Times New Roman" w:eastAsia="Times New Roman" w:hAnsi="Times New Roman"/>
                <w:sz w:val="25"/>
                <w:szCs w:val="25"/>
                <w:color w:val="auto"/>
                <w:vertAlign w:val="superscript"/>
              </w:rPr>
              <w:t>(29)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144,404</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144,404</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Special Situations Fund</w:t>
            </w:r>
            <w:r>
              <w:rPr>
                <w:rFonts w:ascii="Times New Roman" w:cs="Times New Roman" w:eastAsia="Times New Roman" w:hAnsi="Times New Roman"/>
                <w:sz w:val="25"/>
                <w:szCs w:val="25"/>
                <w:color w:val="auto"/>
                <w:vertAlign w:val="superscript"/>
              </w:rPr>
              <w:t>(30)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73,044</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72,201</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843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Squadron Master Fund LP</w:t>
            </w:r>
            <w:r>
              <w:rPr>
                <w:rFonts w:ascii="Times New Roman" w:cs="Times New Roman" w:eastAsia="Times New Roman" w:hAnsi="Times New Roman"/>
                <w:sz w:val="25"/>
                <w:szCs w:val="25"/>
                <w:color w:val="auto"/>
                <w:vertAlign w:val="superscript"/>
              </w:rPr>
              <w:t>(31)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72,201</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72,201</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Able Partners NYC, LLC</w:t>
            </w:r>
            <w:r>
              <w:rPr>
                <w:rFonts w:ascii="Times New Roman" w:cs="Times New Roman" w:eastAsia="Times New Roman" w:hAnsi="Times New Roman"/>
                <w:sz w:val="26"/>
                <w:szCs w:val="26"/>
                <w:color w:val="auto"/>
                <w:vertAlign w:val="superscript"/>
              </w:rPr>
              <w:t>(32)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9,176</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9,176</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7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1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7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538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Name of Selling Stockholders</w:t>
            </w:r>
            <w:r>
              <w:rPr>
                <w:rFonts w:ascii="Times New Roman" w:cs="Times New Roman" w:eastAsia="Times New Roman" w:hAnsi="Times New Roman"/>
                <w:sz w:val="10"/>
                <w:szCs w:val="10"/>
                <w:b w:val="1"/>
                <w:bCs w:val="1"/>
                <w:color w:val="auto"/>
              </w:rPr>
              <w:t>(1)</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7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73"/>
        </w:trPr>
        <w:tc>
          <w:tcPr>
            <w:tcW w:w="538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(2)</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7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17"/>
        </w:trPr>
        <w:tc>
          <w:tcPr>
            <w:tcW w:w="53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Entities affiliated with AgFunder</w:t>
            </w:r>
            <w:r>
              <w:rPr>
                <w:rFonts w:ascii="Times New Roman" w:cs="Times New Roman" w:eastAsia="Times New Roman" w:hAnsi="Times New Roman"/>
                <w:sz w:val="24"/>
                <w:szCs w:val="24"/>
                <w:color w:val="auto"/>
                <w:vertAlign w:val="superscript"/>
              </w:rPr>
              <w:t>(33)</w:t>
            </w:r>
          </w:p>
        </w:tc>
        <w:tc>
          <w:tcPr>
            <w:tcW w:w="2860" w:type="dxa"/>
            <w:vAlign w:val="bottom"/>
            <w:tcBorders>
              <w:top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4,148</w:t>
            </w:r>
          </w:p>
        </w:tc>
        <w:tc>
          <w:tcPr>
            <w:tcW w:w="106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4,148</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Alpha Capital Corp.</w:t>
            </w:r>
            <w:r>
              <w:rPr>
                <w:rFonts w:ascii="Times New Roman" w:cs="Times New Roman" w:eastAsia="Times New Roman" w:hAnsi="Times New Roman"/>
                <w:sz w:val="25"/>
                <w:szCs w:val="25"/>
                <w:color w:val="auto"/>
                <w:vertAlign w:val="superscript"/>
              </w:rPr>
              <w:t>(34)</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62,264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62,264</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Anand Parikh</w:t>
            </w:r>
            <w:r>
              <w:rPr>
                <w:rFonts w:ascii="Times New Roman" w:cs="Times New Roman" w:eastAsia="Times New Roman" w:hAnsi="Times New Roman"/>
                <w:sz w:val="25"/>
                <w:szCs w:val="25"/>
                <w:color w:val="auto"/>
                <w:vertAlign w:val="superscript"/>
              </w:rPr>
              <w:t>(35)</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804,361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761,428</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42,933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Angelle Advisors LLC</w:t>
            </w:r>
            <w:r>
              <w:rPr>
                <w:rFonts w:ascii="Times New Roman" w:cs="Times New Roman" w:eastAsia="Times New Roman" w:hAnsi="Times New Roman"/>
                <w:sz w:val="25"/>
                <w:szCs w:val="25"/>
                <w:color w:val="auto"/>
                <w:vertAlign w:val="superscript"/>
              </w:rPr>
              <w:t>(36)</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18,679</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18,679</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Anne C. Harrison</w:t>
            </w:r>
            <w:r>
              <w:rPr>
                <w:rFonts w:ascii="Times New Roman" w:cs="Times New Roman" w:eastAsia="Times New Roman" w:hAnsi="Times New Roman"/>
                <w:sz w:val="25"/>
                <w:szCs w:val="25"/>
                <w:color w:val="auto"/>
                <w:vertAlign w:val="superscript"/>
              </w:rPr>
              <w:t>(37)</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12,453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12,453</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Apple Island Investment Fund I</w:t>
            </w:r>
            <w:r>
              <w:rPr>
                <w:rFonts w:ascii="Times New Roman" w:cs="Times New Roman" w:eastAsia="Times New Roman" w:hAnsi="Times New Roman"/>
                <w:sz w:val="25"/>
                <w:szCs w:val="25"/>
                <w:color w:val="auto"/>
                <w:vertAlign w:val="superscript"/>
              </w:rPr>
              <w:t>(38)</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18,352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18,352</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Bar Investments LLC</w:t>
            </w:r>
            <w:r>
              <w:rPr>
                <w:rFonts w:ascii="Times New Roman" w:cs="Times New Roman" w:eastAsia="Times New Roman" w:hAnsi="Times New Roman"/>
                <w:sz w:val="25"/>
                <w:szCs w:val="25"/>
                <w:color w:val="auto"/>
                <w:vertAlign w:val="superscript"/>
              </w:rPr>
              <w:t>(39)</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13,698</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13,698</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Benjamin D. Hopkins</w:t>
            </w:r>
            <w:r>
              <w:rPr>
                <w:rFonts w:ascii="Times New Roman" w:cs="Times New Roman" w:eastAsia="Times New Roman" w:hAnsi="Times New Roman"/>
                <w:sz w:val="25"/>
                <w:szCs w:val="25"/>
                <w:color w:val="auto"/>
                <w:vertAlign w:val="superscript"/>
              </w:rPr>
              <w:t>(40)</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79,731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79,731</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Burnett F. King</w:t>
            </w:r>
            <w:r>
              <w:rPr>
                <w:rFonts w:ascii="Times New Roman" w:cs="Times New Roman" w:eastAsia="Times New Roman" w:hAnsi="Times New Roman"/>
                <w:sz w:val="25"/>
                <w:szCs w:val="25"/>
                <w:color w:val="auto"/>
                <w:vertAlign w:val="superscript"/>
              </w:rPr>
              <w:t>(41)</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4,980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4,980</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Cantley GRAT Remainder Trust f/b/o Alexandra Cantley u/d/t 7/1/16</w:t>
            </w:r>
            <w:r>
              <w:rPr>
                <w:rFonts w:ascii="Times New Roman" w:cs="Times New Roman" w:eastAsia="Times New Roman" w:hAnsi="Times New Roman"/>
                <w:sz w:val="25"/>
                <w:szCs w:val="25"/>
                <w:color w:val="auto"/>
                <w:vertAlign w:val="superscript"/>
              </w:rPr>
              <w:t>(42)</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26,577</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26,577</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Cantley GRAT Remainder Trust f/b/o Mariko Cantley u/d/t 7/1/16</w:t>
            </w:r>
            <w:r>
              <w:rPr>
                <w:rFonts w:ascii="Times New Roman" w:cs="Times New Roman" w:eastAsia="Times New Roman" w:hAnsi="Times New Roman"/>
                <w:sz w:val="25"/>
                <w:szCs w:val="25"/>
                <w:color w:val="auto"/>
                <w:vertAlign w:val="superscript"/>
              </w:rPr>
              <w:t>(42)</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26,577</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26,577</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Cantos Ventures</w:t>
            </w:r>
            <w:r>
              <w:rPr>
                <w:rFonts w:ascii="Times New Roman" w:cs="Times New Roman" w:eastAsia="Times New Roman" w:hAnsi="Times New Roman"/>
                <w:sz w:val="25"/>
                <w:szCs w:val="25"/>
                <w:color w:val="auto"/>
                <w:vertAlign w:val="superscript"/>
              </w:rPr>
              <w:t>(43)</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145,552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145,552</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Consolidated Investments International Series B</w:t>
            </w:r>
            <w:r>
              <w:rPr>
                <w:rFonts w:ascii="Times New Roman" w:cs="Times New Roman" w:eastAsia="Times New Roman" w:hAnsi="Times New Roman"/>
                <w:sz w:val="25"/>
                <w:szCs w:val="25"/>
                <w:color w:val="auto"/>
                <w:vertAlign w:val="superscript"/>
              </w:rPr>
              <w:t>(44)</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143,135</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143,135</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Daniel J. Conway</w:t>
            </w:r>
            <w:r>
              <w:rPr>
                <w:rFonts w:ascii="Times New Roman" w:cs="Times New Roman" w:eastAsia="Times New Roman" w:hAnsi="Times New Roman"/>
                <w:sz w:val="25"/>
                <w:szCs w:val="25"/>
                <w:color w:val="auto"/>
                <w:vertAlign w:val="superscript"/>
              </w:rPr>
              <w:t>(45)</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2,972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2,972</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Debbie Chirnomas</w:t>
            </w:r>
            <w:r>
              <w:rPr>
                <w:rFonts w:ascii="Times New Roman" w:cs="Times New Roman" w:eastAsia="Times New Roman" w:hAnsi="Times New Roman"/>
                <w:sz w:val="25"/>
                <w:szCs w:val="25"/>
                <w:color w:val="auto"/>
                <w:vertAlign w:val="superscript"/>
              </w:rPr>
              <w:t>(46)</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156,669</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156,669</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Domen Kampjut</w:t>
            </w:r>
            <w:r>
              <w:rPr>
                <w:rFonts w:ascii="Times New Roman" w:cs="Times New Roman" w:eastAsia="Times New Roman" w:hAnsi="Times New Roman"/>
                <w:sz w:val="25"/>
                <w:szCs w:val="25"/>
                <w:color w:val="auto"/>
                <w:vertAlign w:val="superscript"/>
              </w:rPr>
              <w:t>(47)</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2,610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1,016</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FA-0611 Fund I, a series of Umami Capital, LP</w:t>
            </w:r>
            <w:r>
              <w:rPr>
                <w:rFonts w:ascii="Times New Roman" w:cs="Times New Roman" w:eastAsia="Times New Roman" w:hAnsi="Times New Roman"/>
                <w:sz w:val="25"/>
                <w:szCs w:val="25"/>
                <w:color w:val="auto"/>
                <w:vertAlign w:val="superscript"/>
              </w:rPr>
              <w:t>(48)</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27,262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27,262</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Faeth Investments, LLC</w:t>
            </w:r>
            <w:r>
              <w:rPr>
                <w:rFonts w:ascii="Times New Roman" w:cs="Times New Roman" w:eastAsia="Times New Roman" w:hAnsi="Times New Roman"/>
                <w:sz w:val="25"/>
                <w:szCs w:val="25"/>
                <w:color w:val="auto"/>
                <w:vertAlign w:val="superscript"/>
              </w:rPr>
              <w:t>(49)</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124,527</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124,527</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Felix Gurevich 2023 Family Trust</w:t>
            </w:r>
            <w:r>
              <w:rPr>
                <w:rFonts w:ascii="Times New Roman" w:cs="Times New Roman" w:eastAsia="Times New Roman" w:hAnsi="Times New Roman"/>
                <w:sz w:val="25"/>
                <w:szCs w:val="25"/>
                <w:color w:val="auto"/>
                <w:vertAlign w:val="superscript"/>
              </w:rPr>
              <w:t>(50)</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39,849</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39,849</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Fund I, a series of Avicella Capital Fund, LP</w:t>
            </w:r>
            <w:r>
              <w:rPr>
                <w:rFonts w:ascii="Times New Roman" w:cs="Times New Roman" w:eastAsia="Times New Roman" w:hAnsi="Times New Roman"/>
                <w:sz w:val="25"/>
                <w:szCs w:val="25"/>
                <w:color w:val="auto"/>
                <w:vertAlign w:val="superscript"/>
              </w:rPr>
              <w:t>(51)</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249,053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249,053</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Future Ventures</w:t>
            </w:r>
            <w:r>
              <w:rPr>
                <w:rFonts w:ascii="Times New Roman" w:cs="Times New Roman" w:eastAsia="Times New Roman" w:hAnsi="Times New Roman"/>
                <w:sz w:val="25"/>
                <w:szCs w:val="25"/>
                <w:color w:val="auto"/>
                <w:vertAlign w:val="superscript"/>
              </w:rPr>
              <w:t>(52)</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1,016,455</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1,016,455</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Georgina F. Steele</w:t>
            </w:r>
            <w:r>
              <w:rPr>
                <w:rFonts w:ascii="Times New Roman" w:cs="Times New Roman" w:eastAsia="Times New Roman" w:hAnsi="Times New Roman"/>
                <w:sz w:val="25"/>
                <w:szCs w:val="25"/>
                <w:color w:val="auto"/>
                <w:vertAlign w:val="superscript"/>
              </w:rPr>
              <w:t>(53)</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Greg Hannon</w:t>
            </w:r>
            <w:r>
              <w:rPr>
                <w:rFonts w:ascii="Times New Roman" w:cs="Times New Roman" w:eastAsia="Times New Roman" w:hAnsi="Times New Roman"/>
                <w:sz w:val="25"/>
                <w:szCs w:val="25"/>
                <w:color w:val="auto"/>
                <w:vertAlign w:val="superscript"/>
              </w:rPr>
              <w:t>(54)</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79,731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79,731</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Greg Mork</w:t>
            </w:r>
            <w:r>
              <w:rPr>
                <w:rFonts w:ascii="Times New Roman" w:cs="Times New Roman" w:eastAsia="Times New Roman" w:hAnsi="Times New Roman"/>
                <w:sz w:val="25"/>
                <w:szCs w:val="25"/>
                <w:color w:val="auto"/>
                <w:vertAlign w:val="superscript"/>
              </w:rPr>
              <w:t>(55)</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13,516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13,516</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iSelect Funds</w:t>
            </w:r>
            <w:r>
              <w:rPr>
                <w:rFonts w:ascii="Times New Roman" w:cs="Times New Roman" w:eastAsia="Times New Roman" w:hAnsi="Times New Roman"/>
                <w:sz w:val="25"/>
                <w:szCs w:val="25"/>
                <w:color w:val="auto"/>
                <w:vertAlign w:val="superscript"/>
              </w:rPr>
              <w:t>(56)</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45,557</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45,557</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Javier Piggee</w:t>
            </w:r>
            <w:r>
              <w:rPr>
                <w:rFonts w:ascii="Times New Roman" w:cs="Times New Roman" w:eastAsia="Times New Roman" w:hAnsi="Times New Roman"/>
                <w:sz w:val="25"/>
                <w:szCs w:val="25"/>
                <w:color w:val="auto"/>
                <w:vertAlign w:val="superscript"/>
              </w:rPr>
              <w:t>(57)</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3,320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3,320</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Jayson Dallas</w:t>
            </w:r>
            <w:r>
              <w:rPr>
                <w:rFonts w:ascii="Times New Roman" w:cs="Times New Roman" w:eastAsia="Times New Roman" w:hAnsi="Times New Roman"/>
                <w:sz w:val="25"/>
                <w:szCs w:val="25"/>
                <w:color w:val="auto"/>
                <w:vertAlign w:val="superscript"/>
              </w:rPr>
              <w:t>(58)</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44,763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44,763</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 Jonathan G. Lindström</w:t>
            </w:r>
            <w:r>
              <w:rPr>
                <w:rFonts w:ascii="Times New Roman" w:cs="Times New Roman" w:eastAsia="Times New Roman" w:hAnsi="Times New Roman"/>
                <w:sz w:val="25"/>
                <w:szCs w:val="25"/>
                <w:color w:val="auto"/>
                <w:vertAlign w:val="superscript"/>
              </w:rPr>
              <w:t>(59)</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3,421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Karen H. Vousden</w:t>
            </w:r>
            <w:r>
              <w:rPr>
                <w:rFonts w:ascii="Times New Roman" w:cs="Times New Roman" w:eastAsia="Times New Roman" w:hAnsi="Times New Roman"/>
                <w:sz w:val="25"/>
                <w:szCs w:val="25"/>
                <w:color w:val="auto"/>
                <w:vertAlign w:val="superscript"/>
              </w:rPr>
              <w:t>(60)</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79,731</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79,731</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Katelyn Patterson</w:t>
            </w:r>
            <w:r>
              <w:rPr>
                <w:rFonts w:ascii="Times New Roman" w:cs="Times New Roman" w:eastAsia="Times New Roman" w:hAnsi="Times New Roman"/>
                <w:sz w:val="25"/>
                <w:szCs w:val="25"/>
                <w:color w:val="auto"/>
                <w:vertAlign w:val="superscript"/>
              </w:rPr>
              <w:t>(61)</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623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623</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KdT Ventures Fund II, LP</w:t>
            </w:r>
            <w:r>
              <w:rPr>
                <w:rFonts w:ascii="Times New Roman" w:cs="Times New Roman" w:eastAsia="Times New Roman" w:hAnsi="Times New Roman"/>
                <w:sz w:val="25"/>
                <w:szCs w:val="25"/>
                <w:color w:val="auto"/>
                <w:vertAlign w:val="superscript"/>
              </w:rPr>
              <w:t>(62)</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114,885</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114,885</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Khosla Ventures</w:t>
            </w:r>
            <w:r>
              <w:rPr>
                <w:rFonts w:ascii="Times New Roman" w:cs="Times New Roman" w:eastAsia="Times New Roman" w:hAnsi="Times New Roman"/>
                <w:sz w:val="25"/>
                <w:szCs w:val="25"/>
                <w:color w:val="auto"/>
                <w:vertAlign w:val="superscript"/>
              </w:rPr>
              <w:t>(63)</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2,632,232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2,632,232</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Lewis Cantley</w:t>
            </w:r>
            <w:r>
              <w:rPr>
                <w:rFonts w:ascii="Times New Roman" w:cs="Times New Roman" w:eastAsia="Times New Roman" w:hAnsi="Times New Roman"/>
                <w:sz w:val="25"/>
                <w:szCs w:val="25"/>
                <w:color w:val="auto"/>
                <w:vertAlign w:val="superscript"/>
              </w:rPr>
              <w:t>(64)</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26,578</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26,578</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Marcus Goncalves</w:t>
            </w:r>
            <w:r>
              <w:rPr>
                <w:rFonts w:ascii="Times New Roman" w:cs="Times New Roman" w:eastAsia="Times New Roman" w:hAnsi="Times New Roman"/>
                <w:sz w:val="25"/>
                <w:szCs w:val="25"/>
                <w:color w:val="auto"/>
                <w:vertAlign w:val="superscript"/>
              </w:rPr>
              <w:t>(65)</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79,731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79,731</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Margao II, LP</w:t>
            </w:r>
            <w:r>
              <w:rPr>
                <w:rFonts w:ascii="Times New Roman" w:cs="Times New Roman" w:eastAsia="Times New Roman" w:hAnsi="Times New Roman"/>
                <w:sz w:val="25"/>
                <w:szCs w:val="25"/>
                <w:color w:val="auto"/>
                <w:vertAlign w:val="superscript"/>
              </w:rPr>
              <w:t>(66)</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18,679</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18,679</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Marina Sheyfer 2023 Family Trust</w:t>
            </w:r>
            <w:r>
              <w:rPr>
                <w:rFonts w:ascii="Times New Roman" w:cs="Times New Roman" w:eastAsia="Times New Roman" w:hAnsi="Times New Roman"/>
                <w:sz w:val="25"/>
                <w:szCs w:val="25"/>
                <w:color w:val="auto"/>
                <w:vertAlign w:val="superscript"/>
              </w:rPr>
              <w:t>(67)</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59,773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59,773</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Mars Health Fund I, LLC</w:t>
            </w:r>
            <w:r>
              <w:rPr>
                <w:rFonts w:ascii="Times New Roman" w:cs="Times New Roman" w:eastAsia="Times New Roman" w:hAnsi="Times New Roman"/>
                <w:sz w:val="25"/>
                <w:szCs w:val="25"/>
                <w:color w:val="auto"/>
                <w:vertAlign w:val="superscript"/>
              </w:rPr>
              <w:t>(68)</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223,818</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223,818</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Oliver D.K. Maddocks</w:t>
            </w:r>
            <w:r>
              <w:rPr>
                <w:rFonts w:ascii="Times New Roman" w:cs="Times New Roman" w:eastAsia="Times New Roman" w:hAnsi="Times New Roman"/>
                <w:sz w:val="25"/>
                <w:szCs w:val="25"/>
                <w:color w:val="auto"/>
                <w:vertAlign w:val="superscript"/>
              </w:rPr>
              <w:t>(69)</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458,927</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458,927</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Petros A. Tyrakis</w:t>
            </w:r>
            <w:r>
              <w:rPr>
                <w:rFonts w:ascii="Times New Roman" w:cs="Times New Roman" w:eastAsia="Times New Roman" w:hAnsi="Times New Roman"/>
                <w:sz w:val="25"/>
                <w:szCs w:val="25"/>
                <w:color w:val="auto"/>
                <w:vertAlign w:val="superscript"/>
              </w:rPr>
              <w:t>(70)</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6,135</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1,862</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4,273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Robert Gould</w:t>
            </w:r>
            <w:r>
              <w:rPr>
                <w:rFonts w:ascii="Times New Roman" w:cs="Times New Roman" w:eastAsia="Times New Roman" w:hAnsi="Times New Roman"/>
                <w:sz w:val="25"/>
                <w:szCs w:val="25"/>
                <w:color w:val="auto"/>
                <w:vertAlign w:val="superscript"/>
              </w:rPr>
              <w:t>(71)</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27,783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27,783</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Ryan O’Connor</w:t>
            </w:r>
            <w:r>
              <w:rPr>
                <w:rFonts w:ascii="Times New Roman" w:cs="Times New Roman" w:eastAsia="Times New Roman" w:hAnsi="Times New Roman"/>
                <w:sz w:val="25"/>
                <w:szCs w:val="25"/>
                <w:color w:val="auto"/>
                <w:vertAlign w:val="superscript"/>
              </w:rPr>
              <w:t>(72)</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262</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Ryan W. Whitney</w:t>
            </w:r>
            <w:r>
              <w:rPr>
                <w:rFonts w:ascii="Times New Roman" w:cs="Times New Roman" w:eastAsia="Times New Roman" w:hAnsi="Times New Roman"/>
                <w:sz w:val="25"/>
                <w:szCs w:val="25"/>
                <w:color w:val="auto"/>
                <w:vertAlign w:val="superscript"/>
              </w:rPr>
              <w:t>(73)</w:t>
            </w:r>
          </w:p>
        </w:tc>
        <w:tc>
          <w:tcPr>
            <w:tcW w:w="28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14,237</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14,237</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S2G Builders Food &amp; Agriculture Fund III, LP</w:t>
            </w:r>
            <w:r>
              <w:rPr>
                <w:rFonts w:ascii="Times New Roman" w:cs="Times New Roman" w:eastAsia="Times New Roman" w:hAnsi="Times New Roman"/>
                <w:sz w:val="25"/>
                <w:szCs w:val="25"/>
                <w:color w:val="auto"/>
                <w:vertAlign w:val="superscript"/>
              </w:rPr>
              <w:t>(74)</w:t>
            </w:r>
          </w:p>
        </w:tc>
        <w:tc>
          <w:tcPr>
            <w:tcW w:w="28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2,919,672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2,919,672</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5380" w:type="dxa"/>
            <w:vAlign w:val="bottom"/>
          </w:tcPr>
          <w:p>
            <w:pPr>
              <w:spacing w:after="0"/>
              <w:rPr>
                <w:sz w:val="24"/>
                <w:szCs w:val="24"/>
                <w:color w:val="auto"/>
              </w:rPr>
            </w:pPr>
          </w:p>
        </w:tc>
        <w:tc>
          <w:tcPr>
            <w:tcW w:w="16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7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17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2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200" w:type="dxa"/>
            <w:vAlign w:val="bottom"/>
            <w:gridSpan w:val="3"/>
          </w:tcPr>
          <w:p>
            <w:pPr>
              <w:jc w:val="center"/>
              <w:ind w:left="397"/>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Name of Selling Stockholders</w:t>
            </w:r>
            <w:r>
              <w:rPr>
                <w:rFonts w:ascii="Times New Roman" w:cs="Times New Roman" w:eastAsia="Times New Roman" w:hAnsi="Times New Roman"/>
                <w:sz w:val="10"/>
                <w:szCs w:val="10"/>
                <w:b w:val="1"/>
                <w:bCs w:val="1"/>
                <w:color w:val="auto"/>
              </w:rPr>
              <w:t>(1)</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2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7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73"/>
        </w:trPr>
        <w:tc>
          <w:tcPr>
            <w:tcW w:w="6900" w:type="dxa"/>
            <w:vAlign w:val="bottom"/>
            <w:gridSpan w:val="2"/>
            <w:vMerge w:val="continue"/>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(2)</w:t>
            </w: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200" w:type="dxa"/>
            <w:vAlign w:val="bottom"/>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0"/>
                <w:szCs w:val="10"/>
                <w:b w:val="1"/>
                <w:bCs w:val="1"/>
                <w:color w:val="auto"/>
              </w:rPr>
              <w:t>(2)</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S3 Partners Group, LLLP</w:t>
            </w:r>
            <w:r>
              <w:rPr>
                <w:rFonts w:ascii="Times New Roman" w:cs="Times New Roman" w:eastAsia="Times New Roman" w:hAnsi="Times New Roman"/>
                <w:sz w:val="24"/>
                <w:szCs w:val="24"/>
                <w:color w:val="auto"/>
                <w:vertAlign w:val="superscript"/>
              </w:rPr>
              <w:t>(75)</w:t>
            </w:r>
          </w:p>
        </w:tc>
        <w:tc>
          <w:tcPr>
            <w:tcW w:w="1180" w:type="dxa"/>
            <w:vAlign w:val="bottom"/>
            <w:tcBorders>
              <w:top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18,352</w:t>
            </w:r>
          </w:p>
        </w:tc>
        <w:tc>
          <w:tcPr>
            <w:tcW w:w="1200" w:type="dxa"/>
            <w:vAlign w:val="bottom"/>
            <w:tcBorders>
              <w:top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18,352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     — </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Scott W. Lowe</w:t>
            </w:r>
            <w:r>
              <w:rPr>
                <w:rFonts w:ascii="Times New Roman" w:cs="Times New Roman" w:eastAsia="Times New Roman" w:hAnsi="Times New Roman"/>
                <w:sz w:val="25"/>
                <w:szCs w:val="25"/>
                <w:color w:val="auto"/>
                <w:vertAlign w:val="superscript"/>
              </w:rPr>
              <w:t>(76)</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79,731</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79,731</w:t>
            </w:r>
          </w:p>
        </w:tc>
        <w:tc>
          <w:tcPr>
            <w:tcW w:w="1200" w:type="dxa"/>
            <w:vAlign w:val="bottom"/>
            <w:gridSpan w:val="3"/>
          </w:tcPr>
          <w:p>
            <w:pPr>
              <w:jc w:val="right"/>
              <w:ind w:right="65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Siddhartha Mukherjee</w:t>
            </w:r>
            <w:r>
              <w:rPr>
                <w:rFonts w:ascii="Times New Roman" w:cs="Times New Roman" w:eastAsia="Times New Roman" w:hAnsi="Times New Roman"/>
                <w:sz w:val="25"/>
                <w:szCs w:val="25"/>
                <w:color w:val="auto"/>
                <w:vertAlign w:val="superscript"/>
              </w:rPr>
              <w:t>(77)</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119,597</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119,597</w:t>
            </w:r>
          </w:p>
        </w:tc>
        <w:tc>
          <w:tcPr>
            <w:tcW w:w="1200" w:type="dxa"/>
            <w:vAlign w:val="bottom"/>
            <w:gridSpan w:val="3"/>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Simon R.V. Knott</w:t>
            </w:r>
            <w:r>
              <w:rPr>
                <w:rFonts w:ascii="Times New Roman" w:cs="Times New Roman" w:eastAsia="Times New Roman" w:hAnsi="Times New Roman"/>
                <w:sz w:val="25"/>
                <w:szCs w:val="25"/>
                <w:color w:val="auto"/>
                <w:vertAlign w:val="superscript"/>
              </w:rPr>
              <w:t>(78)</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79,731</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79,731</w:t>
            </w:r>
          </w:p>
        </w:tc>
        <w:tc>
          <w:tcPr>
            <w:tcW w:w="1200" w:type="dxa"/>
            <w:vAlign w:val="bottom"/>
            <w:gridSpan w:val="3"/>
          </w:tcPr>
          <w:p>
            <w:pPr>
              <w:jc w:val="right"/>
              <w:ind w:right="65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Stephen M. Hahn</w:t>
            </w:r>
            <w:r>
              <w:rPr>
                <w:rFonts w:ascii="Times New Roman" w:cs="Times New Roman" w:eastAsia="Times New Roman" w:hAnsi="Times New Roman"/>
                <w:sz w:val="25"/>
                <w:szCs w:val="25"/>
                <w:color w:val="auto"/>
                <w:vertAlign w:val="superscript"/>
              </w:rPr>
              <w:t>(79)</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44,763</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44,763</w:t>
            </w:r>
          </w:p>
        </w:tc>
        <w:tc>
          <w:tcPr>
            <w:tcW w:w="1200" w:type="dxa"/>
            <w:vAlign w:val="bottom"/>
            <w:gridSpan w:val="3"/>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Todd A. Young</w:t>
            </w:r>
            <w:r>
              <w:rPr>
                <w:rFonts w:ascii="Times New Roman" w:cs="Times New Roman" w:eastAsia="Times New Roman" w:hAnsi="Times New Roman"/>
                <w:sz w:val="25"/>
                <w:szCs w:val="25"/>
                <w:color w:val="auto"/>
                <w:vertAlign w:val="superscript"/>
              </w:rPr>
              <w:t>(80)</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7,915</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7,915</w:t>
            </w:r>
          </w:p>
        </w:tc>
        <w:tc>
          <w:tcPr>
            <w:tcW w:w="1200" w:type="dxa"/>
            <w:vAlign w:val="bottom"/>
            <w:gridSpan w:val="3"/>
          </w:tcPr>
          <w:p>
            <w:pPr>
              <w:jc w:val="right"/>
              <w:ind w:right="65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Unshackled Ventures</w:t>
            </w:r>
            <w:r>
              <w:rPr>
                <w:rFonts w:ascii="Times New Roman" w:cs="Times New Roman" w:eastAsia="Times New Roman" w:hAnsi="Times New Roman"/>
                <w:sz w:val="25"/>
                <w:szCs w:val="25"/>
                <w:color w:val="auto"/>
                <w:vertAlign w:val="superscript"/>
              </w:rPr>
              <w:t>(81)</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35,856</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35,856</w:t>
            </w:r>
          </w:p>
        </w:tc>
        <w:tc>
          <w:tcPr>
            <w:tcW w:w="1200" w:type="dxa"/>
            <w:vAlign w:val="bottom"/>
            <w:gridSpan w:val="3"/>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Alliance Bancorp</w:t>
            </w:r>
            <w:r>
              <w:rPr>
                <w:rFonts w:ascii="Times New Roman" w:cs="Times New Roman" w:eastAsia="Times New Roman" w:hAnsi="Times New Roman"/>
                <w:sz w:val="26"/>
                <w:szCs w:val="26"/>
                <w:color w:val="auto"/>
                <w:vertAlign w:val="superscript"/>
              </w:rPr>
              <w:t>(82)</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2,102</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2,102</w:t>
            </w:r>
          </w:p>
        </w:tc>
        <w:tc>
          <w:tcPr>
            <w:tcW w:w="1200" w:type="dxa"/>
            <w:vAlign w:val="bottom"/>
            <w:gridSpan w:val="3"/>
          </w:tcPr>
          <w:p>
            <w:pPr>
              <w:jc w:val="right"/>
              <w:ind w:right="653"/>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260" w:hanging="424"/>
        <w:spacing w:after="0" w:line="265"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our knowledge, unless otherwise indicated, all persons named in the table above have sole voting and investment power with respect to their shares of Common Stock. Unless an address is provided below, the address for the holder is 75 State Street, Suite 100, Boston, MA 02109.</w:t>
      </w:r>
    </w:p>
    <w:p>
      <w:pPr>
        <w:ind w:left="5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B Preferred Stock is prohibited from converting shares of Series B Preferred into shares of Common Stock (i) prior to the approval of the Required Company Stockholder Matters and the Nasdaq Listing Application or (ii) if, as a result of such conversion, such holder, together with its affiliates, would beneficially own more than a specified percentage (established by the holder between 4.99% and 19.99%) (the “Beneficial Ownership Limitation”) of the total number of shares of Common Stock issued and outstanding immediately after giving effect to such conversion, which Beneficial Ownership Limitation may be waived by each holder at any time following the approval by Nasdaq of the Nasdaq Listing Application and approval of the Required Company Stockholder Matters.</w:t>
      </w:r>
    </w:p>
    <w:p>
      <w:pPr>
        <w:spacing w:after="0" w:line="3"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1,693,082 shares of Common Stock issuable upon conversion of shares of Series B Preferred Stock held by Averill Master Fund, Ltd. (“Averill Master”), (ii) 292,472 shares of Common Stock issuable upon conversion of shares of Series B Preferred Stock held by Averill Madison Master Fund, Ltd. (“Averill Madison”), (iii) 29,570 shares of Common Stock held by Averill Master and (iv) 4,979 shares of Common Stock held by Averill Madison. The shares reported under “Common Stock That May Be Offered Pursuant to the Prospectus” consist of the 1,693,082 shares of Common Stock issuable upon conversion of shares of Series B Preferred Stock issued to Averill Master in the 2026 Private Placement and the 292,472 shares of Common Stock issuable upon conversion of shares of Series B Preferred Stock issued to Averill Madison in the 2026 Private Placement. The shares reported under “Common Stock Beneficially Owned After Offering” consist of (i) 29,570 shares of Common Stock held by Averill Master (ii) 4,979 shares of Common Stock held by Averill Madison. Suvretta Capital Management, LLC (“Suvretta”) is the investment manager of Averill Master and Averill Madison. Aaron Cowen is a control person of Suvretta and as such may be deemed to beneficially own these shares. Mr. Cowen disclaims beneficial ownership of all shares of Common Stock beneficially held by Averill Master and Averill Madison, other than, to the extent of any pecuniary interest therein. The address of the principal business office of Suvretta, Mr. Cowen, Averill Master and Averill Madison is 540 Madison Avenue, 7th Floor, New York, NY 10022. The shares of Common Stock issuable upon conversion of the shares of Series B Preferred Stock held by Averill Master and Averill Madison are subject to a Beneficial Ownership Limitation of 9.99%.</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3"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1,444,039 shares of Common Stock issuable upon conversion of shares of Series B Preferred Stock held by Avoro Life Sciences Fund LLC (“Avoro”), all of which were issued in the 2026 Private Placement. Avoro Capital Advisors LLC (“Avoro Capital”) is the investment advisor for Avoro. Behzad Aghazadeh serves as the portfolio manager and controlling person of Avoro Capital and may be deemed to have investment discretion and voting power over the shares held by Avoro. Dr. Aghazadeh disclaims beneficial ownership of these shares, except to the extent of his pecuniary interest in such shares, if any. The address of Avoro is 110 Greene Street, Suite 800, New York, NY 10012. The shares of Common Stock issuable upon conversion of the shares of Series B Preferred Stock held by Avoro are subject to a Beneficial Ownership Limitation of 9.99%.</w:t>
      </w:r>
    </w:p>
    <w:p>
      <w:pPr>
        <w:ind w:left="54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1,364,936 shares of Common Stock issuable upon conversion of shares of Series B Preferred Stock held by Baker Brothers Life Sciences, L.P. (“BBLS”) and (ii) 79,103 shares of Common Stock issuable upon conversion of shares of Series B Preferred Stock held by 667, L.P. (“667, L.P.” and together with BBLS, the “Baker Funds”), all of which were issued in the 2026 Private Placement. Baker Bros Advisors LP is the management company and investment advisor to the Baker Funds and has sole voting and investment power with respect to the shares held by the Baker Funds. Baker Bros. Advisors (GP) LLC is the sole general partner of Baker Bros. Advisors LP. Julian C. Baker and Felix J. Baker are managing members of Baker Bros. Advisors (GP) LLC. Baker Bros. Advisors (GP) LLC, Felix J. Baker, Julian C. Baker and Baker Bros. Advisors L.P. may be deemed to be beneficial owners of the securities directly held by the Baker Funds. Julian C. Baker, Felix J. Baker, Baker Bros. Advisors L.P. and Baker Bros. Advisors (GP) LLC disclaim beneficial ownership of all shares held by the Baker Funds, except to the extent of their indirect pecuniary interest therein. The business address of Baker Bros. Advisors LP, Baker Bros. Advisors (GP) LLC, Julian C. Baker and Felix J. Baker is 860 Washington Street, 3rd Floor, New York, NY 10014. The shares of Common Stock issuable upon conversion of the shares of Series B Preferred Stock held by the Baker Funds are subject to a Beneficial Ownership Limitation of 4.99%.</w:t>
      </w:r>
    </w:p>
    <w:p>
      <w:pPr>
        <w:spacing w:after="0" w:line="4"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902,525 shares of Common Stock issuable upon conversion of shares of Series B Preferred Stock held by Atlas Private Holdings (Cayman) Ltd., all of which were issued in the 2026 Private Placement. Dmitry Balyasny, via intermediate entities, manages Balyasny Asset Management L.P. and has voting and investment control over the securities held by Atlas Private Holdings (Cayman) Ltd. The address for Atlas Private Holdings (Cayman) Ltd. and Balyasny Asset Management L.P. is 444 West Lake Street, 50th Floor, Chicago, IL 60606. The shares of Common Stock issuable upon conversion of the shares of Series B Preferred Stock held by Atlas Private Holdings (Cayman) Ltd. are subject to a Beneficial Ownership Limitation of 9.99%.</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722,020 shares of Common Stock issuable upon conversion of shares of Series B Preferred Stock held by Cormorant Global Healthcare Master Fund, LP (“Cormorant”), all of which were issued in the 2026 Private Placement. Cormorant Global Healthcare GP, LLC serves as the general partner of Cormorant. Bihua Chen serves as the managing member of Cormorant Global Healthcare GP, LLC. Each of Cormorant Global Healthcare GP, LLC and Ms. Chen disclaim beneficial ownership of such shares except to the extent of any pecuniary interest therein. Ms. Chen, as the managing member of Cormorant Global Healthcare GP, LLC, has sole voting and investment control over the shares of Common Stock held by Cormorant Global Healthcare Master Fund, LP. The address for Cormorant Global Healthcare Master Fund, LP is 200 Clarendon Street, 52nd Floor, Boston, MA 02116. The shares of Common Stock issuable upon conversion of the shares of Series B Preferred Stock held by Cormorant are subject to a Beneficial Ownership Limitation of 9.99%.</w:t>
      </w:r>
    </w:p>
    <w:p>
      <w:pPr>
        <w:spacing w:after="0" w:line="3" w:lineRule="exact"/>
        <w:rPr>
          <w:rFonts w:ascii="Times New Roman" w:cs="Times New Roman" w:eastAsia="Times New Roman" w:hAnsi="Times New Roman"/>
          <w:sz w:val="18"/>
          <w:szCs w:val="18"/>
          <w:color w:val="auto"/>
        </w:rPr>
      </w:pPr>
    </w:p>
    <w:p>
      <w:pPr>
        <w:jc w:val="both"/>
        <w:ind w:left="540" w:right="60" w:hanging="424"/>
        <w:spacing w:after="0" w:line="25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722,020 shares of Common Stock issuable upon conversion of shares of Series B Preferred Stock held by Fairmount Healthcare Fund II LP (“Fairmount”), all of which were issued in the 2026 Private Placement. Fairmount Funds Management LLC</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52" w:lineRule="auto"/>
        <w:rPr>
          <w:sz w:val="20"/>
          <w:szCs w:val="20"/>
          <w:color w:val="auto"/>
        </w:rPr>
      </w:pPr>
      <w:r>
        <w:rPr>
          <w:rFonts w:ascii="Times New Roman" w:cs="Times New Roman" w:eastAsia="Times New Roman" w:hAnsi="Times New Roman"/>
          <w:sz w:val="18"/>
          <w:szCs w:val="18"/>
          <w:color w:val="auto"/>
        </w:rPr>
        <w:t>(“Fairmount Funds Management”) serves as investment manager for Fairmount and may be deemed a beneficial owner of any securities of the Company held by Fairmount. Fairmount has delegated to Fairmount Funds Management the sole power to vote and the sole power to dispose of all securities held in Fairmount’s portfolio. Because Fairmount has divested itself of voting and investment power over the securities it holds and may not revoke that delegation on less than 61 days’ notice, Fairmount disclaims beneficial ownership of the securities they hold. As managers of Fairmount Funds Management, Peter Harwin and Tomas Kiselak may be deemed beneficial owners of any securities of the Company beneficially owned by Fairmount Funds Management. Fairmount Funds Management, Mr. Harwin and Mr. Kiselak disclaim beneficial ownership of securities held by Fairmount, except to the extent of their pecuniary interest therein. The address for the beneficial owners is 200 Barr Harbor Drive, Suite 400, West Conshohocken, PA 19428. The shares of Common Stock issuable upon conversion of the shares of Series B Preferred Stock held by Fairmount are subject to a Beneficial Ownership Limitation of 4.99%.</w:t>
      </w:r>
    </w:p>
    <w:p>
      <w:pPr>
        <w:spacing w:after="0" w:line="6" w:lineRule="exact"/>
        <w:rPr>
          <w:sz w:val="20"/>
          <w:szCs w:val="20"/>
          <w:color w:val="auto"/>
        </w:rPr>
      </w:pPr>
    </w:p>
    <w:p>
      <w:pPr>
        <w:ind w:left="54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722,020 shares of Common Stock issuable upon conversion of shares of Series B Preferred Stock held by Logos Opportunities Fund V LP (“LOF V”), all of which were issued in the 2026 Private Placement. Logos Opportunities V GP LLC (“GP V”) is the general partner of Logos Opportunities Fund V LP and may be deemed to have beneficial ownership of these shares. Arsani William and Graham Walmsley are the members of GP V. Dr. William and Dr. Walmsley disclaim beneficial ownership of these securities except to the extent of each’s pecuniary interest therein. The address for Logos entities is One Letterman Drive, Building C, Suite C3-350, San Francisco, California 94129. The shares of Common Stock issuable upon conversion of the shares of Series B Preferred Stock held by Logos are subject to a Beneficial Ownership Limitation of 9.99%.</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722,020 shares of Common Stock issuable upon conversion of shares of Series B Preferred Stock held by RA Capital Healthcare Fund, L.P. (“RA Capital Fund”), all of which were issued in the 2026 Private Placement. RA Capital Management, L.P. serves as an investment manager for RA Capital Fund. The general partner of RA Capital Management, L.P. is RA Capital Management GP, LLC, of which Peter Kolchinsky and Rajeev Shah are the managing members. Each such person or entity, as the case may be, has shared voting and/or investment power over the securities held by the Fund and may be deemed the beneficial owner of such shares, and each such person or entity, as the case may be, disclaims beneficial ownership of such securities except to the extent of their respective pecuniary interest therein and other than for purposes of determining their obligations under Section 13(d) of the Exchange Act. The principal business address of the persons and entities listed above is 200 Berkeley Street, 18th Floor, Boston, MA 02116. The shares of Common Stock issuable upon conversion of the shares of Series B Preferred Stock held by RA Capital Fund are subject to a Beneficial Ownership Limitation of 9.99%.</w:t>
      </w:r>
    </w:p>
    <w:p>
      <w:pPr>
        <w:spacing w:after="0" w:line="3"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722,020 shares of Common Stock issuable upon conversion of shares of Series B Preferred Stock held by Seligman Healthcare Spectrum (Master) Fund (“Seligman”), all of which were issued in the 2026 Private Placement. Columbia Management Investment Advisers, LLC serves as an investment manager for Seligman. The principal business address of the persons and entities listed above is c/o Columbia Management Investment Advisors LLC 290 Congress Street, Boston, MA 02210. The shares of Common Stock issuable upon conversion of the shares of Series B Preferred Stock held by Seligman are subject to a Beneficial Ownership Limitation of 9.99%.</w:t>
      </w:r>
    </w:p>
    <w:p>
      <w:pPr>
        <w:spacing w:after="0" w:line="2" w:lineRule="exact"/>
        <w:rPr>
          <w:rFonts w:ascii="Times New Roman" w:cs="Times New Roman" w:eastAsia="Times New Roman" w:hAnsi="Times New Roman"/>
          <w:sz w:val="18"/>
          <w:szCs w:val="18"/>
          <w:color w:val="auto"/>
        </w:rPr>
      </w:pPr>
    </w:p>
    <w:p>
      <w:pPr>
        <w:ind w:left="540" w:right="80" w:hanging="424"/>
        <w:spacing w:after="0" w:line="25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66,240 shares of Common Stock issuable upon conversion of shares of Series B Preferred Stock held by Vivo Opportunity Cayman Fund, L.P. (“Vivo Cayman Fund”) and (ii) 655,780 shares of Common Stock issuable upon conversion of shares of Series B Preferred Stock held by Vivo Opportunity Fund Holdings, L.P. (“Vivo Opportunity Fund” and together with Vivo Cayman Fund, the “Vivo Funds”), all of which were issued in the 2026 Private Placement. Vivo Opportunity, LLC is the general partner of Vivo Opportunity Fund. Vivo Opportunity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00"/>
        <w:spacing w:after="0" w:line="254" w:lineRule="auto"/>
        <w:rPr>
          <w:sz w:val="20"/>
          <w:szCs w:val="20"/>
          <w:color w:val="auto"/>
        </w:rPr>
      </w:pPr>
      <w:r>
        <w:rPr>
          <w:rFonts w:ascii="Times New Roman" w:cs="Times New Roman" w:eastAsia="Times New Roman" w:hAnsi="Times New Roman"/>
          <w:sz w:val="18"/>
          <w:szCs w:val="18"/>
          <w:color w:val="auto"/>
        </w:rPr>
        <w:t>Cayman, LLC is the general partner of Vivo Cayman Fund. The voting members of each of Vivo Opportunity, LLC and Vivo Opportunity Cayman, LLC are Kevin Dai, Gaurav Aggarwal, Frank Kung and Shan Fu, none of whom has individual voting or investment power with respect to the shares held by Vivo Opportunity Fund Holdings, L.P. or Vivo Opportunity Cayman Fund, L.P. The address of the individuals and entities referenced in this footnote is 192 Lytton Avenue, Palo Alto, California 94301. The shares of Common Stock issuable upon conversion of the shares of Series B Preferred Stock held by the Vivo Funds are subject to a Beneficial Ownership Limitation of 9.99%.</w:t>
      </w:r>
    </w:p>
    <w:p>
      <w:pPr>
        <w:spacing w:after="0" w:line="3" w:lineRule="exact"/>
        <w:rPr>
          <w:sz w:val="20"/>
          <w:szCs w:val="20"/>
          <w:color w:val="auto"/>
        </w:rPr>
      </w:pPr>
    </w:p>
    <w:p>
      <w:pPr>
        <w:ind w:left="540" w:right="4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314,079 shares of Common Stock issuable upon conversion of shares of Series B Preferred Stock held by ADAR1 Partners, LP (“ADAR1”) and (ii) 46,931 shares of Common Stock issuable upon conversion of shares of Series B Preferred Stock held by Spearhead Insurance Solutions IDF, LLC—Series ADAR1 (“Spearhead”, and together with ADAR1, the “ADAR1 Funds”), all of which were issued in the 2026 Private Placement. The investment manager of ADAR1 and the sub-adviser of Spearhead is ADAR1 Capital Management, LLC. The general partner of ADAR1 is ADAR1 Capital Management GP, LLC. The manager of ADAR1 Capital Management, LLC and ADAR1 Capital Management GP, LLC is Daniel Schneeberger. This individual may be deemed to have shared voting and investment power of the shares held by the ADAR1 Funds. This individual disclaims beneficial ownership of such securities, except to the extent of his pecuniary interest therein. The address for ADAR1 and Daniel Schneeberger is 3503 Wild Cherry Drive, Building 9, Austin, TX 78738. The address for Spearhead is 3828 Kennett Pike, Suite 202, Greenville, DE 19807. The shares of Common Stock issuable upon conversion of the shares of Series B Preferred Stock held by the ADAR1 Funds are subject to a Beneficial Ownership Limitation of 4.99%.</w:t>
      </w:r>
    </w:p>
    <w:p>
      <w:pPr>
        <w:spacing w:after="0" w:line="4"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361,010 shares of Common Stock issuable upon conversion of shares of Series B Preferred Stock held by B Group Capital LLC issued to B Group Capital LLC in the 2026 Private Placement and (ii) 249,159 shares of Common Stock issuable upon conversion of the shares of Series B Preferred Stock held by B Group Capital LLC issued to B Group Capital LLC in the Acquisition. Branden B. Muhl as the manager of B Group Capital LLC has the power to vote and dispose of the securities held by B Group Capital LLC. The principal business address of these persons and entities is 2900 McKinnon St. Suite 1101, Dallas, TX 75201. The shares of Common Stock issuable upon conversion of the shares of Series B Preferred Stock held by B Group Capital LLC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281,120 shares of Common Stock issuable upon conversion of shares of Series B Preferred Stock held by Caligan Partners Master Fund LP (“Caligan Fund”), (ii) 79,890 shares of Common Stock issuable upon conversion of shares of Series B Preferred Stock held by certain accounts managed by Caligan (the “Managed Accounts”) (iii) 98,343 shares of Common Stock held by Caligan Fund and (iv) 27,659 shares of Common Stock held by the Managed Accounts. The shares reported under “Common Stock That May Be Offered Pursuant to the Prospectus” consist of the 281,120 shares of Common Stock issuable upon conversion of shares of Series B Preferred Stock issued to Caligan Fund and 79,890 shares of Common Stock issuable upon conversion of shares of Series B Preferred Stock issued to the Managed Accounts in the 2026 Private Placement. The shares reported under “Common Stock Beneficially Owned After Offering” consist of 98,343 shares of Common Stock held by Caligan Fund and 27,659 shares of Common Stock held by the Managed Accounts. Caligan Partners LP (“Caligan”) serves indirectly as the investment manager to the Caligan Fund and the Managed Accounts. David Johnson is the Managing Partner of Caligan and Managing Member of Caligan Partners GP LLC, the general partner of Caligan, and may be deemed to have voting and investment power over the securities beneficially owned by Caligan and Caligan Fund. The address of the foregoing entities and person is 780 Third Avenue, 30th Floor, New York, New York 10017. The shares of Common Stock issuable upon conversion of the shares of Series B Preferred Stock held by Caligan Fund and the Managed Accounts are subject to a Beneficial Ownership Limitation of 9.99%.</w:t>
      </w:r>
    </w:p>
    <w:p>
      <w:pPr>
        <w:spacing w:after="0" w:line="5"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20,999 shares of Common Stock issuable upon conversion of shares of Series B Preferred Stock held by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Boothbay Diversified Alpha Master Fund LP (“BBDAMF”), (ii) 63,584 shares of Common Stock issuable upon conversion of shares of Series B Preferred Stock held by Boothbay Absolute Return Strategies, LP (“BBARS”), (iii) 192 shares of Common Stock held by BBDAMF, (iv) 1,083 shares of Common Stock held by BBARS, and does not include the shares of Common Stock reported in Footnote (25). The shares reported under “Common Stock That May Be Offered Pursuant to the Prospectus” consist of the 20,999 shares of Common Stock issuable upon conversion of shares of Series B Preferred Stock issued to BBDAMF and the 63,584 shares of Common Stock issuable upon conversion of shares of Series B Preferred Stock issued to BBARS in the 2026 Private Placement. The shares reported under “Common Stock Beneficially Owned After Offering” consist of 192 shares of Common Stock held by BBDAMF and 1,083 shares of Common Stock held by BBARS. BBARS and BBDAMF are managed by Boothbay Fund Management, LLC (“Boothbay”). Boothbay, in its capacity as the investment manager of BBARS and BBDAMF, has delegated to Ikarian Capital, LLC (“Ikarian”), the power to vote and the power to direct the disposition of the shares held by BBDAMF and BBARS. Ari Glass is the Managing Member of Boothbay. Because Boothbay has divested itself of voting and investment power over the securities it beneficially owns and may not revoke that delegation on less than 61 days’ notice, each of BBARS, BBDAMF, Boothbay and</w:t>
      </w:r>
    </w:p>
    <w:p>
      <w:pPr>
        <w:spacing w:after="0" w:line="4" w:lineRule="exact"/>
        <w:rPr>
          <w:sz w:val="20"/>
          <w:szCs w:val="20"/>
          <w:color w:val="auto"/>
        </w:rPr>
      </w:pPr>
    </w:p>
    <w:p>
      <w:pPr>
        <w:ind w:left="540" w:right="160"/>
        <w:spacing w:after="0" w:line="250" w:lineRule="auto"/>
        <w:rPr>
          <w:sz w:val="20"/>
          <w:szCs w:val="20"/>
          <w:color w:val="auto"/>
        </w:rPr>
      </w:pPr>
      <w:r>
        <w:rPr>
          <w:rFonts w:ascii="Times New Roman" w:cs="Times New Roman" w:eastAsia="Times New Roman" w:hAnsi="Times New Roman"/>
          <w:sz w:val="18"/>
          <w:szCs w:val="18"/>
          <w:color w:val="auto"/>
        </w:rPr>
        <w:t>Mr. Glass disclaim beneficial ownership of these securities, except to the extent of any pecuniary interest therein. Neil Shahrestani is the Chief Executive Officer of Ikarian. The business address of each of the foregoing entities and persons is c/o Ikarian Capital, LLC, 100 Crescent Court, Suite 1620, Dallas, TX 75201. The shares of Common Stock issuable upon conversion of the shares of Series B Preferred Stock held by BBDAMF and BBARS are subject to a Beneficial Ownership Limitations of 4.99%.</w:t>
      </w:r>
    </w:p>
    <w:p>
      <w:pPr>
        <w:spacing w:after="0" w:line="2"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23,357 shares of Common Stock issuable upon conversion of shares of Series B Preferred Stock held by EcoR1 Capital Fund, L.P. (“EcoR1 Capital Fund”) and (ii) 337,653 shares of Common Stock issuable upon conversion of shares of Series B Preferred Stock held by EcoR1 Capital Fund Qualified, L.P. (“EcoR1 Qualified Fund”, together with the EcoR1 Capital Fund, the “EcoR1 Funds”), all of which were issued in the 2026 Private Placement. EcoR1 Capital, LLC (“EcoR1”) is the general partner of the EcoR1 Funds. Oleg Nodelman is the control person of EcoR1 and may be deemed to share dispositive and voting power over the shares held by the EcoR1 Funds. Mr. Nodelman and EcoR1 both disclaim beneficial ownership of all shares except to the extent of their pecuniary interest therein. The address of the above persons is 357 Tehama Street #3, San Francisco, CA 94103. The shares of Common Stock issuable upon conversion of the shares of Series B Preferred Stock held by the EcoR1 Funds are subject to a Beneficial Ownership Limitation of 9.99%.</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131,940 shares of Common Stock issuable upon conversion of shares of Series B Preferred Stock held by Franklin Strategic Series—Franklin Biotechnology Discovery Fund (“Franklin Strategic”), (ii) 229,070 shares of Common Stock issuable upon conversion of shares of Series B Preferred Stock held by Franklin Templeton Investment Funds—Franklin Biotechnology Discovery Fund (“Franklin Templeton”), (iii) 48,771 shares of Common Stock held by Franklin Strategic and (iv) 84,721 shares of Common Stock held by Franklin Templeton. The shares reported under “Common Stock That May Be Offered Pursuant to the Prospectus” consist of the 131,940 shares of Common Stock issuable upon conversion of shares of Series B Preferred Stock issued to Franklin Strategic in the 2026 Private Placement and the 229,070 shares of Common Stock issuable upon conversion of shares of Series B Preferred Stock issued to Franklin Templeton in the 2026 Private Placement. The shares reported under “Common Stock Beneficially Owned After Offering” consist of 48,771 shares of Common Stock held by Franklin Strategic and 84,721 shares of Common Stock held by Franklin Templeton. Franklin Advisers, Inc., an SEC registered broker-dealer, is the investment adviser to both Franklin Strategic and Franklin Templeton. Evan McCulloch is the portfolio manager for both Franklin Strategic and Franklin Templeton. Mr. McCulloch may be deemed to have voting and investment power over the securities held by Franklin Strategic and Franklin Templeton. The address of Franklin Strategic is c/o Franklin Advisers, Inc., One Franklin Parkway, San Mateo, CA 94403. The address of Franklin Templeton is 8A Rue Albert Borschette, 1246 Kirchberg, Luxembourg. The shares of Common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520"/>
        <w:spacing w:after="0" w:line="261" w:lineRule="auto"/>
        <w:rPr>
          <w:sz w:val="20"/>
          <w:szCs w:val="20"/>
          <w:color w:val="auto"/>
        </w:rPr>
      </w:pPr>
      <w:r>
        <w:rPr>
          <w:rFonts w:ascii="Times New Roman" w:cs="Times New Roman" w:eastAsia="Times New Roman" w:hAnsi="Times New Roman"/>
          <w:sz w:val="18"/>
          <w:szCs w:val="18"/>
          <w:color w:val="auto"/>
        </w:rPr>
        <w:t>Stock issuable upon conversion of the shares of Series B Preferred Stock held by Franklin Strategic and Franklin Templeton are subject to a Beneficial Ownership Limitation of 9.99%.</w:t>
      </w:r>
    </w:p>
    <w:p>
      <w:pPr>
        <w:ind w:left="540" w:right="2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361,010 shares of Common Stock issuable upon conversion of shares of Series B Preferred Stock held by Octagon Investments Master Fund LP (“Octagon”), all of which were issued in the 2026 Private Placement. Octagon Capital Advisors LP is the Investment Manager of Octagon Investments Master Fund LP. Ting Jia, Ph.D. is the founder, managing member and Chief Investment Officer of Octagon Capital Advisors LP. By virtue of such relationships, Dr. Jia and Octagon Capital Advisors LP may be deemed to have voting and investment power of the shares held by Octagon Investments Master Fund LP. Each of Dr. Jia and Octagon Capital Advisors LP disclaims beneficial ownership of the shares held by Octagon Investments Master Fund LP, except to the extent of his or its pecuniary interest therein, if any. The address for each of Dr. Jia, Octagon Capital Advisors LP and Octagon Investments Master Fund LP is 654 Madison Avenue, 21st Floor, New York, NY 10065. The shares of Common Stock issuable upon conversion of the shares of Series B Preferred Stock held by Octagon are subject to a Beneficial Ownership Limitation of 9.99%.</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361,010 shares of Common Stock issuable upon conversion of shares of Series B Preferred Stock held by SILV Fund, Ltd. (“SILV Fund”), all of which were issued in the 2026 Private Placement. Sirenia Capital Management LP (“Sirenia”) has investment and voting power with respect to the securities held by certain investment funds it manages, including SILV Fund. Sirenia Capital Management GP LLC (“Sirenia GP”) is the general partner of Sirenia. Alex Silverstein is the managing member of Sirenia GP. Each of SILV Fund, Sirenia GP and Mr. Silverstein disclaim beneficial ownership over such securities. The business address for the individual and entities referenced in this footnote is c/o Sirenia Capital Management LP, 1674 Meridian Avenue, Suite 320, Miami Beach, FL 33139. The shares of Common Stock issuable upon conversion of the shares of Series B Preferred Stock held by SILV Fund are subject to a Beneficial Ownership Limitation of 9.99%.</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361,010 shares of Common Stock issuable upon conversion of shares of Series B Preferred Stock held by Trails Edge Biotechnology Master Fund, LP (“Trails Edge Biotechnology”) and (ii) 125,000 shares of Common Stock held by Trails Edge Biotechnology. The shares reported under “Common Stock That May Be Offered Pursuant to the Prospectus” consist of the 361,010 shares of Common Stock issuable upon conversion of shares of Series B Preferred Stock issued to Trails Edge Biotechnology in the 2026 Private Placement. The shares reported under “Common Stock Beneficially Owned After Offering” consist of 125,000 shares of Common Stock held by Trails Edge Biotechnology. Trails Edge Capital Partners, LP (“Trails Edge Capital”) is the investment manager to Trails Edge Biotechnology and may be deemed to beneficially own these securities. Mr. Yehudai, as the Chief Investment Officer of Trails Edge Capital, exercises voting and investment discretion with respect to these securities and as such may be deemed to beneficially own such securities. The address of these funds and persons is 3445 Peachtree Road NE, Atlanta, GA 30326. The shares of Common Stock issuable upon conversion of the shares of Series B Preferred Stock held by Trails Edge Biotechnology are subject to a Beneficial Ownership Limitation of 9.99%.</w:t>
      </w:r>
    </w:p>
    <w:p>
      <w:pPr>
        <w:spacing w:after="0" w:line="4" w:lineRule="exact"/>
        <w:rPr>
          <w:rFonts w:ascii="Times New Roman" w:cs="Times New Roman" w:eastAsia="Times New Roman" w:hAnsi="Times New Roman"/>
          <w:sz w:val="18"/>
          <w:szCs w:val="18"/>
          <w:color w:val="auto"/>
        </w:rPr>
      </w:pPr>
    </w:p>
    <w:p>
      <w:pPr>
        <w:ind w:left="540" w:right="60" w:hanging="424"/>
        <w:spacing w:after="0" w:line="25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361,010 shares of Common Stock issuable upon conversion of shares of Series B Preferred Stock held by Woodline Master Fund LP (“Woodline”). The shares reported under “Common Stock That May Be Offered Pursuant to the Prospectus” consist of the 361,010 shares of Common Stock issuable upon conversion of shares of Series B Preferred Stock issued to Woodline in the 2026 Private Placement. Woodline Partners LP serves as the investment manager of Woodline and may be deemed to be the beneficial owner of the shares. Woodline Partners LP disclaims any beneficial ownership of these shares. The address of Woodline is 4 Embarcadero Center, Suite 3450, San Francisco, CA 94111. The shares of Common Stock issuable upon conversion of the shares of Series B Preferred Stock held by Woodline are subject to a Beneficial Ownership Limitation of 9.99%.</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53"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204,225 shares of Common Stock issuable upon conversion of shares of Series B Preferred Stock held by Ikarian Healthcare Master Fund, LP (“Ikarian”), (ii) 5,076 shares of Common Stock held by Ikarian, and does not include the shares reported in Footnote (16). The shares reported under “Common Stock That May Be Offered Pursuant to the Prospectus” consist of the 204,225 shares of Common Stock issuable upon conversion of shares of Series B Preferred Stock issued to Ikarian in the 2026 Private Placement. Neil Shahrestani may be deemed to be the beneficial owner of the shares held by Ikarian and disclaims such beneficial ownership of the shares held by Ikarian, except to the extent of his pecuniary interest therein if any. The address for Ikarian is 100 Crescent Ct., Suite 1620, Dallas, TX 75201. The shares of Common Stock issuable upon conversion of the shares of Series B Preferred Stock held by Ikarian are subject to a Beneficial Ownership Limitation of 4.99%.</w:t>
      </w:r>
    </w:p>
    <w:p>
      <w:pPr>
        <w:ind w:left="540" w:right="8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180,505 shares of Common Stock issuable upon conversion of shares of Series B Preferred Stock held by Boxer Capital Master Fund, LP (“Boxer Fund”), all of which were issued in the 2026 Private Placement. Aaron Davis has voting and dispositive power over the securities held by Boxer Fund. The address of Boxer Fund is 12860 El Camino Real, Ste 300 San Diego, CA 92130. The shares of Common Stock issuable upon conversion of the shares of Series B Preferred Stock held by Boxer Fund are subject to a Beneficial Ownership Limitation of 4.99%.</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150,421 shares of Common Stock issuable upon conversion of shares of Series B Preferred Stock held by Marshall Wace Investment Strategies—Eureka Fund (“Eureka Fund”), (ii) 30,084 shares of Common Stock issuable upon conversion of shares of Series B Preferred Stock held by MW XO Health Innovations Fund II (“MW XO”) and (iii) 37,529 shares of Common Stock held by Eureka Fund. The shares reported under “Common Stock That May Be Offered Pursuant to the Prospectus” consist of the 150,421 shares of Common Stock issuable upon conversion of shares of Series B Preferred Stock issued to Eureka Fund in the 2026 Private Placement and the 30,084 shares of Common Stock issuable upon conversion of shares of Series B Preferred Stock issued to MW XO in the 2026 Private Placement. The shares reported under “Common Stock Beneficially Owned After Offering” consist of 37,529 shares of Common Stock held by the Eureka Fund. Marshall Wace LLP is the investment manager to the Eureka Fund. Marshall Wace North America L.P. is the investment manager to MW XO. The address of the foregoing entities is George House, 131 Sloane Street, London, SW1X 9AT. The shares of Common Stock issuable upon conversion of the shares of Series B Preferred Stock held by Eureka Fund and MW XO are subject to a Beneficial Ownership Limitation of 4.99%.</w:t>
      </w:r>
    </w:p>
    <w:p>
      <w:pPr>
        <w:spacing w:after="0" w:line="4"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144,404 shares of Common Stock issuable upon conversion of shares of Series B Preferred Stock held by Affinity Healthcare Fund L.P., all of which were issued in the 2026 Private Placement. Affinity Asset Advisors, LLC is the investment manager of Affinity Healthcare Fund L.P., and Michael Cho may be deemed to indirectly beneficially own the securities directly held by Affinity Healthcare Fund L.P. The address of Affinity Healthcare Fund L.P., Affinity Asset Advisors, LLC and Mr. Cho is 450 Park Avenue, Suite 1403, New York, NY 10022. The shares of Common Stock issuable upon conversion of the shares of Series B Preferred Stock held by Affinity Healthcare Fund L.P. are subject to a Beneficial Ownership Limitation of 9.99%.</w:t>
      </w:r>
    </w:p>
    <w:p>
      <w:pPr>
        <w:spacing w:after="0" w:line="2" w:lineRule="exact"/>
        <w:rPr>
          <w:rFonts w:ascii="Times New Roman" w:cs="Times New Roman" w:eastAsia="Times New Roman" w:hAnsi="Times New Roman"/>
          <w:sz w:val="18"/>
          <w:szCs w:val="18"/>
          <w:color w:val="auto"/>
        </w:rPr>
      </w:pPr>
    </w:p>
    <w:p>
      <w:pPr>
        <w:ind w:left="540" w:right="80" w:hanging="424"/>
        <w:spacing w:after="0" w:line="25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144,404 shares of Common Stock issuable upon conversion of shares of Series B Preferred Stock held by Alyeska Master Fund, L.P. (“Alyeska Master Fund”), all of which were issued in the 2026 Private Placement. Alyeska Investment Group, L.P., the investment manager of Alyeska Master Fund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76" w:lineRule="auto"/>
        <w:rPr>
          <w:sz w:val="20"/>
          <w:szCs w:val="20"/>
          <w:color w:val="auto"/>
        </w:rPr>
      </w:pPr>
      <w:r>
        <w:rPr>
          <w:rFonts w:ascii="Times New Roman" w:cs="Times New Roman" w:eastAsia="Times New Roman" w:hAnsi="Times New Roman"/>
          <w:sz w:val="17"/>
          <w:szCs w:val="17"/>
          <w:color w:val="auto"/>
        </w:rPr>
        <w:t>Alyeska Investment Group, L.P. is located at 77 W. Wacker, Suite 700, Chicago IL 60601. The shares of Common Stock issuable upon conversion of the shares of Series B Preferred Stock held by the Alyeska Master Fund, L.P. are subject to a Beneficial Ownership Limitation of 9.99%.</w:t>
      </w:r>
    </w:p>
    <w:p>
      <w:pPr>
        <w:spacing w:after="0" w:line="1" w:lineRule="exact"/>
        <w:rPr>
          <w:sz w:val="20"/>
          <w:szCs w:val="20"/>
          <w:color w:val="auto"/>
        </w:rPr>
      </w:pPr>
    </w:p>
    <w:p>
      <w:pPr>
        <w:ind w:left="54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18,050 shares of Common Stock issuable upon conversion of shares of Series B Preferred Stock held by Special Situations Life Sciences Fund, L.P. (“SS Life Sciences”), (ii) 41,929 shares of Common Stock issuable upon conversion of shares of Series B Preferred Stock held by Special Situations Fund III QP, L.P. (“SS QP”), (iii) 12,222 shares of Common Stock issuable upon conversion of shares of Series B Preferred Stock held by Special Situations Cayman Fund, L.P. (“SS Cayman” and, together with SS Life Sciences and SS QP, the “Special Situations Funds”), (iv) 211 shares of Common Stock held by SS Life Sciences, (v) 487 shares of Common Stock held by SS QP and (vi) 145 shares of Common Stock held by SS Cayman. The shares reported under “Common Stock That May Be Offered Pursuant to the Prospectus” consist of the 18,050 shares of Common Stock issuable upon conversion of shares of Series B Preferred Stock issued to SS Life Sciences in the 2026 Private Placement, the 41,929 shares of Common Stock issuable upon conversion of shares of Series B Preferred Stock issued to SS QP in the 2026 Private Placement and the 12,222 shares of Common Stock issuable upon conversion of shares of Series B Preferred Stock issued to SS Cayman in the 2026 Private Placement. The shares reported under “Common Stock Beneficially Owned After Offering” consist of 211 shares of Common Stock held by SS Life Sciences, 487 shares of Common Stock held by SS QP and 145 shares of Common Stock held by SS Cayman. A WM Investment Company, Inc. (“A WM”) is the investment adviser to each of the Special Situations Funds. David Greenhouse and Adam Stettner are the principal owners of A WM. Through their control of A WM, Messrs. Greenhouse and Stettner share voting and investment control over the portfolio securities of each of the Special Situations Funds. Messrs. Greenhouse and Stettner disclaim any beneficial ownership of the reported shares other than to the extent of any pecuniary interest each of them may have therein. The address of AWM, each of the Special Situations Funds and Messrs. Greenhouse and Stettner is 527 Madison Avenue, Suite 2600, New York, NY 10022. The shares of Common Stock issuable upon conversion of the shares of Series B Preferred Stock held by the Special Situations Funds are subject to a Beneficial Ownership Limitation of 9.99%.</w:t>
      </w:r>
    </w:p>
    <w:p>
      <w:pPr>
        <w:spacing w:after="0" w:line="7"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72,201 shares of Common Stock issuable upon conversion of shares of Series B Preferred Stock held by Squadron Master Fund LP, all of which were issued in the 2026 Private Placement. Squadron Capital Management LLC serves as investment adviser to Squadron Master Fund LP and may be deemed to be the beneficial owner of all securities held by the fund. Matthew Sesterhenn and William F. Blank III, as Partners of Squadron Capital Management LLC, with the power to exercise investment and voting discretion, may be deemed to be the beneficial owner of all securities held by the funds. Squadron Capital Management LLC and Messrs. Sesterhenn and Blank disclaim beneficial ownership over any of the securities. The address of Squadron Capital Management LLC is 999 Oakmont Plaza Drive, Suite 600, Westmont, IL 60559. The shares of Common Stock issuable upon conversion of the shares of Series B Preferred Stock held by Squadron Master Fund LP are subject to a Beneficial Ownership Limitation of 9.99%.</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9,176 shares of Common Stock issuable upon conversion of shares of Series B Preferred Stock held by Able Partners NYC, LLC (“Able Partners”), all of which were issued in the Acquisition. Lisa Blau may be deemed to be beneficial owner of securities held by Able Partners. The address for Able Partners is 30 Hudson Yards, FL 72, New York, NY 10001. The shares of Common Stock issuable upon conversion of the shares of Series B Preferred Stock held by Able Partners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1,861 shares of Common Stock issuable upon conversion of shares of Series B Preferred Stock held by AgFunder Fund IV, L.P. (“AgFunder IV”) and (ii) 2,287 shares of Common Stock issuable upon conversion of shares of Series B Preferred Stock held by AgFunder Co-Investment Fund III, A Series of AgFunder Master Fund, LLC (“AgFunder Co-Investment”), all of which were issued in the Acquisition. Donald Rob Leclerc may be deemed to have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investment discretion and voting power over the shares held by the AgFunder IV and AgFunder Co-Investment. The address for AgFunder IV and AgFunder Co-Investment is 595 Pacific Ave, 4th Floor, San Francisco, CA 94133. The shares of Common Stock issuable upon conversion of the shares of Series B Preferred Stock held by AgFunder IV and AgFunder Co-Investment each are subject to a Beneficial Ownership Limitation of 19.99%.</w:t>
      </w:r>
    </w:p>
    <w:p>
      <w:pPr>
        <w:spacing w:after="0" w:line="3" w:lineRule="exact"/>
        <w:rPr>
          <w:sz w:val="20"/>
          <w:szCs w:val="20"/>
          <w:color w:val="auto"/>
        </w:rPr>
      </w:pPr>
    </w:p>
    <w:p>
      <w:pPr>
        <w:ind w:left="540" w:right="10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62,264 shares of Common Stock issuable upon conversion of shares of Series B Preferred Stock held by Alpha Capital Corp., all of which were issued in the Acquisition. Jaime Javier Montealegre may be deemed to be beneficial owner of securities held by Alpha Capital Corp. The address for Alpha Capital Corp. is c/o Fox Horan &amp; Camerini LLP (RUB/ABF) 885 Third Avenue, Floor 17, New York, NY 10022. The shares of Common Stock issuable upon conversion of the shares of Series B Preferred Stock held by Alpha Capital Corp.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761,428 shares of Common Stock issuable upon conversion of shares of Series B Preferred Stock held by Anand Parikh and (ii) 42,933 shares of Common Stock issuable pursuant to stock options exercisable within 60 days of March 31, 2026. The shares reported under “Common Stock That May Be Offered Pursuant to the Prospectus” consist of the 761,428 shares of Common Stock issuable upon conversion of shares of Series B Preferred Stock issued to Mr. Parikh in the Acquisition. The shares reported under “Common Stock Beneficially Owned After Offering” consist of 42,933 shares of Common Stock issuable pursuant to stock options exercisable within 60 days of March 31, 2026. The shares of Common Stock issuable upon conversion of the shares of Series B Preferred Stock held by Mr. Parikh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18,679 shares of Common Stock issuable upon conversion of the shares of Series B Preferred Stock held by Angelle Advisors LLC, all of which were issued in the Acquisition. Chris Wang serves as the controlling person of Angelle Advisors LLC and may be deemed to have investment discretion and voting power over the shares held by Angelle Advisors LLC. The address for Angelle Advisors LLC is 5348 Vegas Drive, Suite 947, Las Vegas, NV 89108. The shares of Common Stock issuable upon conversion of the shares of Series B Preferred Stock held by Angelle Advisors LLC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12,453 shares of Common Stock issuable upon conversion of the shares of Series B Preferred Stock held by Anne C. Harrison, all of which were issued in the Acquisition. The shares of Common Stock issuable upon conversion of the shares of Series B Preferred Stock held by Anne C. Harrison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18,352 shares of Common Stock issuable upon conversion of the shares of Series B Preferred Stock held by Apple Island Investment Fund I LLC (“Apple Island”), all of which were issued in the Acquisition. Sachin Gupta serves as the controlling person of Apple Island and may be deemed to have investment discretion and voting power over the shares held by Apple Island. The address for Apple Island is 820 S. Washington, Hinsdale, IL 60521. The shares of Common Stock issuable upon conversion of the shares of Series B Preferred Stock held by Apple Island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60" w:hanging="424"/>
        <w:spacing w:after="0" w:line="25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13,698 shares of Common Stock issuable upon conversion of shares of Series B Preferred Stock held by Bar Investments LLC, all of which were issued in the Acquisition. Prashanth Reddy serves as the controlling person of Bar Investments LLC and may be deemed to have investment discretion and voting power over the shares held by Bar Investments LLC. The address for Bar Investments LLC is 700 E Ogden, Suite 305, Westmont, IL 60559. The shares of Common Stock issuable upon conversion of the shares of Series B Preferred Stock held by Bar Investments LLC are subject to a Beneficial Ownership Limitation of 19.99%.</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5"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79,731 shares of Common Stock issuable upon conversion of shares of Series B Preferred Stock held by Benjamin D. Hopkins, all of which were issued in the Acquisition. The shares of Common Stock issuable upon conversion of the shares of Series B Preferred Stock held by Benjamin D. Hopkins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4,980 shares of Common Stock issuable upon conversion of shares of Series B Preferred Stock held by Burnett F. King, all of which were issued in the Acquisition. The shares of Common Stock issuable upon conversion of the shares of Series B Preferred Stock held by Burnett F. King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26,577 shares of Common Stock issuable upon conversion of shares of Series B Preferred Stock held by Cantley GRAT Remainder Trust f/b/o Alexandra Cantley u/d/t 7/1/16 (“A. Cantley Trust”) and (ii) 26,577 shares of Common Stock issuable upon conversion of shares of Series B Preferred Stock held by Cantley GRAT Remainder Trust f/b/o Mariko Cantley u/d/t 7/1/16 (“M. Cantley Trust”), all of which were issued in the Acquisition. Vicki Sato may be deemed to have investment discretion and voting power over the shares held by the A. Cantley Trust and the M. Cantley Trust. The shares of Common Stock issuable upon conversion of the shares of Series B Preferred Stock held by the A. Cantley Trust and the M. Cantley Trust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consists of (i) 18,608 shares of Common Stock issuable upon conversion of shares of Series B Preferred Stock held by Cantos Ivy, L.L.C. (“Cantos Ivy”), (ii) 118,207 shares of Common Stock issuable upon conversion of shares of Series B Preferred Stock held by Cantos Ventures III, L.P. (“Cantos Ventures”) and (iii) 8,737 shares of Common Stock issuable upon conversion of shares of Series B Preferred Stock held by FA Fund I, a series of Cantos Ventures Funds, LP (“FA Fund”), all of which were issued in the Acquisition. Julian Rountree may be deemed to have investment discretion and voting power over the shares held by Cantos Ivy, Cantos Ventures and FA Fund. The address for Cantos Ivy and Cantos Ventures is 595 Pacific Ave, 4th Floor, San Francisco, CA 94133. The address for FA Fund is PO Box 3217, Seattle, WA 98114. The shares of Common Stock issuable upon conversion of the shares of Series B Preferred Stock held by Cantos Ivy, Cantos Ventures and FA Fund are subject to a Beneficial Ownership Limitation of 19.99%.</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18,608 shares of Common Stock issuable upon conversion of shares of Series B Preferred Stock held by Consolidated Investments International, LLC Series B (“Consolidated Investments Series B”) and (ii) 124,527 shares of Common Stock issuable upon conversion of shares of Series B Preferred Stock held by Consolidated Investments International, LLC Series G (“Consolidated Investments Series G”), all of which were issued in the Acquisition. Robert Granieri serves as the sole member of each of Consolidated Investments Series B and Consolidated Investments Series G and may be deemed to have investment discretion and voting power over the shares held by Consolidated Investments Series B and Consolidated Investments Series G. The address for Consolidated Investments Series B and Consolidated Investments Series G is 500 Mamaroneck Avenue, Suite 301, Harrison, NY 10528. The shares of Common Stock issuable upon conversion of the shares of Series B Preferred Stock held by Consolidated Investments Series B and Consolidated Investments Series G are subject to a Beneficial Ownership Limitation of 19.99%.</w:t>
      </w:r>
    </w:p>
    <w:p>
      <w:pPr>
        <w:spacing w:after="0" w:line="3"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2,972 shares of Common Stock issuable upon conversion of shares of Series B Preferred Stock held by Daniel J. Conway, all of which were issued in the Acquisition. The shares of Common Stock issuable upon conversion of the shares of Series B Preferred Stock held by Daniel J. Conway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8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156,669 shares of Common Stock issuable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440"/>
        <w:spacing w:after="0" w:line="257" w:lineRule="auto"/>
        <w:rPr>
          <w:sz w:val="20"/>
          <w:szCs w:val="20"/>
          <w:color w:val="auto"/>
        </w:rPr>
      </w:pPr>
      <w:r>
        <w:rPr>
          <w:rFonts w:ascii="Times New Roman" w:cs="Times New Roman" w:eastAsia="Times New Roman" w:hAnsi="Times New Roman"/>
          <w:sz w:val="18"/>
          <w:szCs w:val="18"/>
          <w:color w:val="auto"/>
        </w:rPr>
        <w:t>upon conversion of shares of Series B Preferred Stock held by Debbie Chirnomas, all of which were issued in the Acquisition. The shares of Common Stock issuable upon conversion of the shares of Series B Preferred Stock held by Debbie Chirnomas are subject to a Beneficial Ownership Limitation of 19.99%.</w:t>
      </w:r>
    </w:p>
    <w:p>
      <w:pPr>
        <w:spacing w:after="0" w:line="1" w:lineRule="exact"/>
        <w:rPr>
          <w:sz w:val="20"/>
          <w:szCs w:val="20"/>
          <w:color w:val="auto"/>
        </w:rPr>
      </w:pPr>
    </w:p>
    <w:p>
      <w:pPr>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 of (i) 1,016 shares of Common Stock issuable upon conversion of shares of Series B Preferred Stock held by Domen Kampjut and (ii) 1,594 shares of Common Stock issuable pursuant to stock options exercisable within 60 days of March 31, 2026. The shares reported under “Common Stock That May Be Offered Pursuant to the Prospectus” consist of the 1,016 shares of Common Stock issuable upon conversion of shares of Series B Preferred Stock issued to Domen Kampjut in the Acquisition. The shares reported under “Common Stock Beneficially Owned After Offering” consist of 1,594 shares of Common Stock issuable pursuant to stock options exercisable within 60 days of March 31, 2026. The shares of Common Stock issuable upon conversion of the shares of Series B Preferred Stock held by Domen Kampjut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27,262 shares of Common Stock issuable upon conversion of shares of Series B Preferred Stock held by FA-0611 Fund I, a series of Umami Capital, LP (“FA-0611”), all of which were issued in the Acquisition. James Lu Morrissey serves as the controlling person of FA-0611 and may be deemed to have investment discretion and voting power over the shares held by FA-0611. Mr. Morrissey disclaims beneficial ownership of these shares. The address for FA-0611 is PO Box 3217, Seattle, WA 98114. The shares of Common Stock issuable upon conversion of the shares of Series B Preferred Stock held by FA-0611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124,527 shares of Common Stock issuable upon conversion of shares of Series B Preferred Stock held by Faeth Investments, LLC, all of which were issued in the Acquisition. Rodney H. Thomas may be deemed to be beneficial owner of securities held by Faeth Investments, LLC. The address for Faeth Investments, LLC is 12647 Olive Blvd, Ste. 510, St. Louis, MO 63141. The shares of Common Stock issuable upon conversion of the shares of Series B Preferred Stock held by Faeth Investments, LLC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39,849 shares of Common Stock issuable upon conversion of shares of Series B Preferred Stock held by the Felix Gurevich 2023 Family Trust (the “Gurevich Trust”), all of which were issued in the Acquisition. Does not include the shares reported in Footnote (67). Felix Gurevich serves as the controlling person of the Gurevich Trust and may be deemed to have investment discretion and voting power over the shares held by the Gurevich Trust. The address for the Gurevich Trust is 17305 Ponte Chiasso Dr., Boca Raton, FL 33496. The shares of Common Stock issuable upon conversion of the shares of Series B Preferred Stock held by the Gurevich Trust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249,053 shares of Common Stock issuable upon conversion of shares of Series B Preferred Stock held by Fund I, a series of Avicella Capital Fund, LP (“Avicella Fund I”), all of which were issued in the Acquisition. Gennady Bratslavsky serves as the controlling person of Avicella Fund I and may be deemed to have investment discretion and voting power over the shares held by Avicella Fund I.</w:t>
      </w:r>
    </w:p>
    <w:p>
      <w:pPr>
        <w:spacing w:after="0" w:line="1" w:lineRule="exact"/>
        <w:rPr>
          <w:rFonts w:ascii="Times New Roman" w:cs="Times New Roman" w:eastAsia="Times New Roman" w:hAnsi="Times New Roman"/>
          <w:sz w:val="18"/>
          <w:szCs w:val="18"/>
          <w:color w:val="auto"/>
        </w:rPr>
      </w:pPr>
    </w:p>
    <w:p>
      <w:pPr>
        <w:ind w:left="54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Bratslavsky disclaims beneficial ownership of these shares. The address for Fund I is PO Box 3217, Seattle, WA 98114. The shares of Common Stock issuable upon conversion of the shares of Series B Preferred Stock held by Avicella Fund I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955,468 shares of Common Stock issuable upon conversion of shares of Series B Preferred Stock held by Future Ventures L.P. (“Future Ventures”) and (ii) 60,987 shares of Common Stock issuable upon conversion of shares of Series B Preferred Stock held by Future Ventures Side Fund, L.P. (“Future Side Fund”), all of which were issued 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55" w:lineRule="auto"/>
        <w:rPr>
          <w:sz w:val="20"/>
          <w:szCs w:val="20"/>
          <w:color w:val="auto"/>
        </w:rPr>
      </w:pPr>
      <w:r>
        <w:rPr>
          <w:rFonts w:ascii="Times New Roman" w:cs="Times New Roman" w:eastAsia="Times New Roman" w:hAnsi="Times New Roman"/>
          <w:sz w:val="18"/>
          <w:szCs w:val="18"/>
          <w:color w:val="auto"/>
        </w:rPr>
        <w:t>the Acquisition. Steve Jurvetson and Maryanna Saenko serve as the controlling persons of Future Ventures and Future Side Fund and may be deemed to have investment discretion and voting power over the shares held by Future Ventures and Future Side Fund. The address for Future Ventures and Future Side Fund is 465 First Street, Los Altos, CA 94022. The shares of Common Stock issuable upon conversion of the shares of Series B Preferred Stock held by Future Ventures and Future Side Fund are subject to a Beneficial Ownership Limitation of 19.99%.</w:t>
      </w:r>
    </w:p>
    <w:p>
      <w:pPr>
        <w:spacing w:after="0" w:line="3" w:lineRule="exact"/>
        <w:rPr>
          <w:sz w:val="20"/>
          <w:szCs w:val="20"/>
          <w:color w:val="auto"/>
        </w:rPr>
      </w:pPr>
    </w:p>
    <w:p>
      <w:pPr>
        <w:ind w:left="540" w:right="10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94 shares of Common Stock issuable upon conversion of shares of Series B Preferred Stock held by Georgina F. Steele, all of which were issued in the Acquisition. The shares of Common Stock issuable upon conversion of the shares of Series B Preferred Stock held by Georgina F. Steele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79,731 shares of Common Stock issuable upon conversion of shares of Series B Preferred Stock held by Greg Hannon, all of which were issued in the Acquisition. The shares of Common Stock issuable upon conversion of the shares of Series B Preferred Stock held by Mr. Hannon are subject to a Beneficial Ownership Limitation of 19.99%.</w:t>
      </w:r>
    </w:p>
    <w:p>
      <w:pPr>
        <w:spacing w:after="0" w:line="1" w:lineRule="exact"/>
        <w:rPr>
          <w:rFonts w:ascii="Times New Roman" w:cs="Times New Roman" w:eastAsia="Times New Roman" w:hAnsi="Times New Roman"/>
          <w:sz w:val="18"/>
          <w:szCs w:val="18"/>
          <w:color w:val="auto"/>
        </w:rPr>
      </w:pPr>
    </w:p>
    <w:p>
      <w:pPr>
        <w:jc w:val="both"/>
        <w:ind w:left="540" w:right="10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13,516 shares of Common Stock issuable upon conversion of shares of Series B Preferred Stock held by Greg Mork, all of which were issued in the Acquisition. The shares of Common Stock issuable upon conversion of the shares of Series B Preferred Stock held by Mr. Mork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32,227 shares of Common Stock issuable upon conversion of shares of Series B Preferred Stock held by iSelect Qualified Purchaser Fund, LLC (“iSelect Purchaser”) and (ii) 13,330 shares of Common Stock issuable upon conversion of shares of Series B Preferred Stock held by iSelect Innovation Fund (B) I, LLC (“iSelect Innovation”), all of which were issued in the Acquisition. James Carter Williams serves as the controlling person of iSelect Purchaser and iSelect Innovation and may be deemed to have investment discretion and voting power over the shares held by iSelect Purchaser and iSelect Innovation. The address for iSelect Purchaser and iSelect Innovation is 7750 Maryland Avenue, Box 11826, St. Louis, MO 63105. The shares of Common Stock issuable upon conversion of the shares of Series B Preferred Stock held by iSelect Purchaser and iSelect Innovation are subject to a Beneficial Ownership Limitation of 19.99%.</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3,320 shares of Common Stock issuable upon conversion of shares of Series B Preferred Stock held by Javier Piggee, all of which were issued in the Acquisition. The shares of Common Stock issuable upon conversion of the shares of Series B Preferred Stock held by Mr. Piggee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44,763 shares of Common Stock issuable upon conversion of shares of Series B Preferred Stock held by Jayson Dallas, all of which were issued in the Acquisition. The shares of Common Stock issuable upon conversion of the shares of Series B Preferred Stock held by Mr. Dallas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20" w:hanging="424"/>
        <w:spacing w:after="0" w:line="25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consists of (i) 100 shares of Common Stock issuable upon conversion of shares of Series B Preferred Stock held by H. Jonathan G. Lindström and (ii) 3,321 shares of Common Stock issuable pursuant to stock options exercisable within 60 days of March 31, 2026. The shares reported under “Common Stock That May Be Offered Pursuant to the Prospectus” consist of the 100 shares of Common Stock issuable upon conversion of shares of Series B Preferred Stock issued to Mr. Lindström in the Acquisition. The shares reported under “Common Stock Beneficially Owned After Offering” consist of 3,321 shares of Common Stock issuable pursuant to stock options exercisable within 60 days of March 31, 2026. The shares of Common Stock issuable upon conversion of the shares of Series B Preferred Stock held by Mr. Lindström are subject to a Beneficial Ownership Limitation of 19.99%.</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55"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79,731 shares of Common Stock issuable upon conversion of shares of Series B Preferred Stock held by Karen H. Vousden, all of which were issued in the Acquisition. The shares of Common Stock issuable upon conversion of the shares of Series B Preferred Stock held by Karen H. Vousden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623 shares of Common Stock issuable upon conversion of shares of Series B Preferred Stock held by Katelyn M. Patterson, all of which were issued in the Acquisition. The shares of Common Stock issuable upon conversion of the shares of Series B Preferred Stock held by Katelyn M. Patterson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114,885 shares of Common Stock issuable upon conversion of shares of Series B Preferred Stock held by KdT Ventures Fund II, LP (“KdT Ventures”), all of which were issued in the Acquisition. Mack Healy may be deemed to be beneficial owner of securities held by KdT Ventures. The address for KdT Ventures is 910 Juniper St., Austin, TX 78702. The shares of Common Stock issuable upon conversion of the shares of Series B Preferred Stock held by KdT Ventures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consists of (i) 988,883 shares of Common Stock issuable upon conversion of shares of Series B Preferred Stock held by Khosla Ventures Series D, LP (“KV Seed D LP”) and (ii) 1,643,349 shares of Common Stock issuable upon conversion of Series B Preferred Stock held by Khosla Ventures VI, LP (“KV VI LP”, and, together with KV Seed D LP, “Khosla Ventures”), all of which were issued in the Acquisition. Khosla Ventures Seed Associates D, LLC (“KV Seed D GP”) is the general partner of KV Seed D LP. Khosla Ventures Associates VI, LLC (“KV VI GP”) is the general partner of KV VI LP. Vinod Khosla is the managing member of VK Services, LLC (“VK Services”), which is the sole manager of each of KV Seed GP and KV VI GP. Each of KV Seed D GP, VK Services and Vinod Khosla may be deemed to possess voting and investment control over such securities held by KV Seed D LP, and each of KV Seed D GP, VK Services, and Vinod Khosla may be deemed to have indirect beneficial ownership of such securities held by KV Seed D LP. Each of KV VI GP, VK Services and Vinod Khosla may be deemed to possess voting and investment control over such securities held by KV VI LP, and each of KV VI GP, VK Services, and Vinod Khosla may be deemed to have indirect beneficial ownership of such securities held by KV VI LP. Each reporting person disclaims beneficial ownership of such shares except to the extent of his or its pecuniary interests therein. The address for each entity is 2128 Sand Hill Road, Menlo Park, CA 94025. The shares of Common Stock issuable upon conversion of the shares of Series B Preferred Stock held by Khosla Ventures are subject to a Beneficial Ownership Limitation of 19.99%.</w:t>
      </w:r>
    </w:p>
    <w:p>
      <w:pPr>
        <w:spacing w:after="0" w:line="5"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consists of 26,578 shares of Common Stock issuable upon conversion of shares of Series B Preferred Stock held by Lewis Cantley, all of which were issued in the Acquisition. The shares of Common Stock issuable upon conversion of the shares of Series B Preferred Stock held by Lewis Cantley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79,731 shares of Common Stock issuable upon conversion of shares of Series B Preferred Stock held by Marcus Goncalves, all of which were issued in the Acquisition. The shares of Common Stock issuable upon conversion of the shares of Series B Preferred Stock held by Marcus Goncalves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18,679 shares of Common Stock issuable upon conversion of shares of Series B Preferred Stock held by Margao II, LP (“Margao II”), all of which were issued in the Acquisition. Mark Britto may be deemed to be beneficial owner of securities held by Margao II. The address for Margao is 2800 Warren St., Austin, TX 78703. The shares of Common Stock</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issuable upon conversion of the shares of Series B Preferred Stock held by Margao II are subject to a Beneficial Ownership Limitation of 19.99%.</w:t>
      </w:r>
    </w:p>
    <w:p>
      <w:pPr>
        <w:spacing w:after="0" w:line="27" w:lineRule="exact"/>
        <w:rPr>
          <w:sz w:val="20"/>
          <w:szCs w:val="20"/>
          <w:color w:val="auto"/>
        </w:rPr>
      </w:pPr>
    </w:p>
    <w:p>
      <w:pPr>
        <w:jc w:val="both"/>
        <w:ind w:left="540" w:right="10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59,773 shares of Common Stock issuable upon conversion of shares of Series B Preferred Stock held by the Marina Sheyfer 2023 Family Trust (the “Sheyfer Trust”), all of which were issued in the Acquisition. Does not include the shares reported in Footnote</w:t>
      </w:r>
    </w:p>
    <w:p>
      <w:pPr>
        <w:spacing w:after="0" w:line="1"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Felix Gurevich serves as the controlling person of the Sheyfer Trust and may be deemed to have investment discretion and voting power over the shares held by the Sheyfer Trust. The address for the Sheyfer Trust is 17305 Ponte Chiasso Dr., Boca Raton, FL 33496. The shares of Common Stock issuable upon conversion of the shares of Series B Preferred Stock held by the Sheyfer Trust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223,818 shares of Common Stock issuable upon conversion of shares of Series B Preferred Stock held by Mars Health Fund I, LLC (“Mars”), all of which were issued in the Acquisition. Geoffrey W. Smith may be deemed to be beneficial owner of securities held by Mars. The address for Mars is 11 Times Square, Suite 1500A, New York, NY 10036. The shares of Common Stock issuable upon conversion of the shares of Series B Preferred Stock held by Mars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458,927 shares of Common Stock issuable upon conversion of shares of Series B Preferred Stock held by Oliver D.K. Maddocks, all of which were issued in the Acquisition. The shares of Common Stock issuable upon conversion of the shares of Series B Preferred Stock held by Oliver D.K. Maddocks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consists of (i) 1,862 shares of Common Stock issuable upon conversion of shares of Series B Preferred Stock held by Petros A. Tyrakis and (ii) 4,273 shares of Common Stock issuable pursuant to stock options exercisable within 60 days of March 31, 2026. The shares reported under “Common Stock That May Be Offered Pursuant to the Prospectus” consist of the 1,862 shares of Common Stock issuable upon conversion of shares of Series B Preferred Stock issued to Petros A. Tyrakis in the Acquisition. The shares reported under “Common Stock Beneficially Owned After Offering” consist of 4,273 shares of Common Stock issuable pursuant to stock options exercisable within 60 days of March 31, 2026. The shares of Common Stock issuable upon conversion of the shares of Series B Preferred Stock held by Petros A. Tyrakis are subject to a Beneficial Ownership Limitation of 19.99%.</w:t>
      </w:r>
    </w:p>
    <w:p>
      <w:pPr>
        <w:spacing w:after="0" w:line="2"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27,783 shares of Common Stock issuable upon conversion of shares of Series B Preferred Stock held by Robert Gould, all of which were issued in the Acquisition. The shares of Common Stock issuable upon conversion of the shares of Series B Preferred Stock held by Robert Gould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262 shares of Common Stock issuable upon conversion of shares of Series B Preferred Stock held by Ryan O’Connor, all of which were issued in the Acquisition. The shares of Common Stock issuable upon conversion of the shares of Series B Preferred Stock held by Ryan O’Connor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14,237 shares of Common Stock issuable upon conversion of shares of Series B Preferred Stock held by Ryan W. Whitney, all of which were issued in the Acquisition. The shares of Common Stock issuable upon conversion of the shares of Series B Preferred Stock held by Ryan W. Whitney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2,919,672 shares of Common Stock issuable upon conversion of shares of Series B Preferred Stock held by S2G Builders Food &amp; Agriculture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Fund III, LP (“S2G Fund”), all of which were issued in the Acquisition. S2G Investments, LLC (“S2G Investments”) is a registered investment advisor to S2G Fund and may be deemed to have investment discretion and voting power over the shares held by S2G Fund. The address for S2G Fund and S2G Investments is 210 N. Carpenter Street, Suite 800, Chicago, IL 60607. The shares of Common Stock issuable upon conversion of the shares of Series B Preferred Stock held by S2G Fund are subject to a Beneficial Ownership Limitation of 9.99%.</w:t>
      </w:r>
    </w:p>
    <w:p>
      <w:pPr>
        <w:spacing w:after="0" w:line="3" w:lineRule="exact"/>
        <w:rPr>
          <w:sz w:val="20"/>
          <w:szCs w:val="20"/>
          <w:color w:val="auto"/>
        </w:rPr>
      </w:pPr>
    </w:p>
    <w:p>
      <w:pPr>
        <w:ind w:left="540" w:right="6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18,352 shares of Common Stock issuable upon conversion of shares of Series B Preferred Stock held by S3 Partners Group, LLLP (“S3 Partners”), all of which were issued in the Acquisition. J. Brock Saunders may be deemed to be beneficial owner of securities held by S3 Partners. The address for S3 Partners is 5605 Grove Ave., Richmond, VA 23226. The shares of Common Stock issuable upon conversion of the shares of Series B Preferred Stock held by S3 Partners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79,731 shares of Common Stock issuable upon conversion of shares of Series B Preferred Stock held by Scott W. Lowe, all of which were issued in the Acquisition. The shares of Common Stock issuable upon conversion of the shares of Series B Preferred Stock held by Scott W. Lowe are subject to a Beneficial Ownership Limitation of 19.99%.</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119,597 shares of Common Stock issuable upon conversion of shares of Series B Preferred Stock held by Siddhartha Mukherjee, all of which were issued in the Acquisition. The shares of Common Stock issuable upon conversion of the shares of Series B Preferred Stock held by Siddhartha Mukherjee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79,731 shares of Common Stock issuable upon conversion of shares of Series B Preferred Stock held by Simon R.V. Knott, all of which were issued in the Acquisition. The shares of Common Stock issuable upon conversion of the shares of Series B Preferred Stock held by Simon R.V. Knott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44,763 shares of Common Stock issuable upon conversion of shares of Series B Preferred Stock held by Stephen M. Hahn, all of which were issued in the Acquisition. The shares of Common Stock issuable upon conversion of the shares of Series B Preferred Stock held by Stephen M. Hahn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7,915 shares of Common Stock issuable upon conversion of shares of Series B Preferred Stock held by Todd A. Young, all of which were issued in the Acquisition. The shares of Common Stock issuable upon conversion of the shares of Series B Preferred Stock held by Todd A. Young are subject to a Beneficial Ownership Limitation of 19.99%.</w:t>
      </w:r>
    </w:p>
    <w:p>
      <w:pPr>
        <w:spacing w:after="0" w:line="1" w:lineRule="exact"/>
        <w:rPr>
          <w:rFonts w:ascii="Times New Roman" w:cs="Times New Roman" w:eastAsia="Times New Roman" w:hAnsi="Times New Roman"/>
          <w:sz w:val="18"/>
          <w:szCs w:val="18"/>
          <w:color w:val="auto"/>
        </w:rPr>
      </w:pPr>
    </w:p>
    <w:p>
      <w:pPr>
        <w:ind w:left="540" w:right="60" w:hanging="424"/>
        <w:spacing w:after="0" w:line="251"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(i) 2,280 shares of Common Stock issuable upon conversion of shares of Series B Preferred Stock held by Unshackled Ventures Fund II, LP (“Unshackled Ventures II”), (ii) 1,226 shares of Common Stock issuable upon conversion of shares of Series B Preferred Stock held by Unshackled Ventures Fund II-A, LP (“Unshackled Fund II-A”), (iii) 24,906 shares of Common Stock issuable upon conversion of shares of Series B Preferred Stock held by Unshackled Syndicate 2018, LLC (“Unshackled Syndicate”) and (iv) 7,444 shares of Common Stock issuable upon conversion of shares of Series B Preferred Stock held by Unshackled Syndicate 2018 LLC (Class E- Faeth) (“Unshackled Syndicate Class E”, and together with Unshackled Ventures II, Unshackled Ventures II-A, and Unshackled Syndicate, the “Unshackled Funds”), all of which were issued in the Acquisition. ANAR Management, LLC. serves as an investment manager for Unshackled Funds, of which Manan Mehta and Nitin Pachisia are the controlling persons. Each such person may be deemed as the beneficial owner of such shares, and each such person, disclaims beneficial ownership of such securities except to the extent of their respective pecuniary interest therein and other than for purposes of determining their obligations under Section 13(d) of the Exchange Act.</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60"/>
        <w:spacing w:after="0" w:line="261" w:lineRule="auto"/>
        <w:rPr>
          <w:sz w:val="20"/>
          <w:szCs w:val="20"/>
          <w:color w:val="auto"/>
        </w:rPr>
      </w:pPr>
      <w:r>
        <w:rPr>
          <w:rFonts w:ascii="Times New Roman" w:cs="Times New Roman" w:eastAsia="Times New Roman" w:hAnsi="Times New Roman"/>
          <w:sz w:val="18"/>
          <w:szCs w:val="18"/>
          <w:color w:val="auto"/>
        </w:rPr>
        <w:t>The address for the Unshackled Funds is 831 Santa Maria Way, Lafayette, CA 94549. The shares of Common Stock issuable upon conversion of the shares of Series B Preferred Stock held by the Unshackled Funds are subject to a Beneficial Ownership Limitation of 19.99%.</w:t>
      </w:r>
    </w:p>
    <w:p>
      <w:pPr>
        <w:ind w:left="540" w:right="20" w:hanging="424"/>
        <w:spacing w:after="0" w:line="25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Beneficially Owned Prior to Offering” and “Common Stock That May Be Offered Pursuant to the Prospectus” consist of 2,102 shares of Common Stock issuable upon exercise of the Warrant held by Western Alliance Bancorp (“Western Alliance”) to purchase shares of Series B Preferred Stock, which will be exercisable for shares of Common Stock upon conversion of the shares of Series B Preferred Stock. The Warrant was assumed by the Company in the Acquisition. The address for Western Alliance is One E. Washington, Suite 1400, Phoenix, AZ 85004. The shares of Common Stock underlying the shares of Series B Preferred Stock issuable upon exercise of the Warrant held by Western Alliance are subject to a Beneficial Ownership Limitation of 19.99%.</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Relationships with the Selling Stockholders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Selling Stockholders have or previously had the below material relationships with us or Faeth within the past three years:</w:t>
      </w:r>
    </w:p>
    <w:p>
      <w:pPr>
        <w:spacing w:after="0" w:line="131" w:lineRule="exact"/>
        <w:rPr>
          <w:sz w:val="20"/>
          <w:szCs w:val="20"/>
          <w:color w:val="auto"/>
        </w:rPr>
      </w:pPr>
    </w:p>
    <w:p>
      <w:pPr>
        <w:ind w:left="1080" w:right="2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Acquisition, Anand Parikh was appointed as our Chief Operating Officer. In addition, Mr. Parikh is a co-founder of Faeth and previously served as the Chief Executive Officer and a director of Faeth Subsidiary from April 2019 until the closing of the Acquisition.</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Oliver Maddocks is a co-founder of Faeth has served as the Chief Scientific Officer of Faeth Subsidiary since April 2019. In addition, Mr. Maddocks previously served as a director of Faeth Subsidiary from April 2019 until the closing of the Acquisition.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Debbie Chirnomas has served as the Chief Medical Officer of Faeth Subsidiary since May 2023.</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Benjamin D. Hopkins, Greg Hannon, Marcus Goncalves, Lewis Cantley, Karen Vousden, Siddhartha Mukherjee and Scott W. Lowe is a scientific co-founder of Faeth.</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M. Hahn previously served as a director of Faeth Subsidiary from September 2024 until the closing of the Acquisition. In addition, we expect that Mr. Hahn will be appointed as a member of our board of directors following the receipt of stockholder approval of the Required Company Stockholder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Jayson Dallas previously served as a director of Faeth Subsidiary from June 2024 until the closing of the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Gould previously served as a director of Faeth Subsidiary from July 2021 until the closing of the Acquisition.</w:t>
      </w:r>
    </w:p>
    <w:p>
      <w:pPr>
        <w:spacing w:after="0" w:line="130" w:lineRule="exact"/>
        <w:rPr>
          <w:rFonts w:ascii="Times New Roman" w:cs="Times New Roman" w:eastAsia="Times New Roman" w:hAnsi="Times New Roman"/>
          <w:sz w:val="18"/>
          <w:szCs w:val="18"/>
          <w:color w:val="auto"/>
        </w:rPr>
      </w:pPr>
    </w:p>
    <w:p>
      <w:pPr>
        <w:ind w:left="1080" w:right="380" w:hanging="424"/>
        <w:spacing w:after="0" w:line="312"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designee of Khosla Ventures previously served on the board of directors of Faeth Subsidiary from June 2019 until the closing of the Acquisition pursuant to Khosla Ventures’ previously held right to designate a director to the board of directors of Faeth Subsidiary.</w:t>
      </w:r>
    </w:p>
    <w:p>
      <w:pPr>
        <w:spacing w:after="0" w:line="45" w:lineRule="exact"/>
        <w:rPr>
          <w:rFonts w:ascii="Times New Roman" w:cs="Times New Roman" w:eastAsia="Times New Roman" w:hAnsi="Times New Roman"/>
          <w:sz w:val="17"/>
          <w:szCs w:val="17"/>
          <w:color w:val="auto"/>
        </w:rPr>
      </w:pPr>
    </w:p>
    <w:p>
      <w:pPr>
        <w:ind w:left="1080" w:right="3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designee of S2G Fund previously served on the board of directors of Faeth Subsidiary from March 2022 until June 2024 pursuant to S2G Fund’s previously held right to designate a director to the board of directors of Faeth Subsidiary.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W. Whitney previously served as the Chief of Staff and VP and Head of Finance, Operations of Faeth Subsidiary from January 2020 to June 2025.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Acquisition Transactions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See the section titled “Prospectus Summary—Recent Developments” for a description of the terms of the agreements entered into in connection with the Acquisition Transactions which is incorporated herein by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Resale Shares or interests in Resale Shares received after the date of this prospectus from a Selling Stockholder as a gift, pledge, partnership distribution or other transfer, may, from time to time, sell, transfer or otherwise dispose of any or all of their Resale Shares or interests in Resale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Resale Shares or interests therein:</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Resale Shares in other circumstances, in which case the transferees, pledgees or other successors in interest will be the Selling Stockholders for purposes of this prospectus.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Resale Shares or interests therein, the Selling Stockholders may enter into hedging transactions with broker-dealers or other financial institutions, which may in turn engage in short sales of Common Stock in the course of hedging the positions they assume. The Selling Stockholders may also sell Resale Shares short and deliver these securities to close out their short positions, or loan or pledge the Resale Shares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Resale Shares offered by them will be the purchase price of the Resale Shares less discounts or commissions, if any. Each of the Selling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Stockholders reserves the right to accept and, together with their agents from time to time, to reject, in whole or in part, any proposed purchase of Resale Shares to be made directly or through agents. We will not receive any of the proceeds from this offering. If the Warrant is exercised for cash, we will receive the net proceeds therefrom.</w:t>
      </w:r>
    </w:p>
    <w:p>
      <w:pPr>
        <w:spacing w:after="0" w:line="176"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Resale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Resale Shares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Resale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To the extent required, the Resale Shares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Resale Shares may be sold in these jurisdictions only through registered or licensed brokers or dealers. In addition, in some states the Resale Shares may not be sold unless they have been registered or qualified for sale or an exemption from registration or qualification requirements is available and is complied with.</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Resale Shares against certain liabilities, including liabilities arising under the Securities Act.</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Resale Shares offered by this prospectus.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Resale Shares covered by this prospectus and (ii) the date on which the Resale Shares covered by this prospectus no longer constitute “Registrable Securities” as such term is defined in the RRA,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Resale Shares registered pursuant to the registration statement of which this prospectus forms a part.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including the legality of the securities offered, will be passed upon for us by Cooley LLP, Washington, D.C. Additional legal matters may be passed upon for us or any underwriters, dealers or agents, by counsel that we will name in the applicable prospectus supplement.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Sensei Biotherapeutics, Inc. as of December 31, 2025 and 2024, and for each of the two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80"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Faeth Therapeutics, Inc. as of December 31, 2025 and 2024, and for each of the two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us is also available at our website at www.senseibio.com. However, the information on, or that can be accessed through, our website is not a part of this prospectus and is not incorporated by reference into this prospectus.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including all filings made after the date of the filing of this registration statement and prior to the effectiveness of this registration statement, except, in each case, as to any portion of any future report or document that is not deemed filed under such provisions, prior to the termination of any offering of securities made by this prospectus:</w:t>
      </w:r>
    </w:p>
    <w:p>
      <w:pPr>
        <w:spacing w:after="0" w:line="9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61">
        <w:r>
          <w:rPr>
            <w:rFonts w:ascii="Times New Roman" w:cs="Times New Roman" w:eastAsia="Times New Roman" w:hAnsi="Times New Roman"/>
            <w:sz w:val="18"/>
            <w:szCs w:val="18"/>
            <w:u w:val="single" w:color="auto"/>
            <w:color w:val="0000EE"/>
          </w:rPr>
          <w:t>March 30,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2026, filed with the SEC on </w:t>
      </w:r>
      <w:hyperlink r:id="rId62">
        <w:r>
          <w:rPr>
            <w:rFonts w:ascii="Times New Roman" w:cs="Times New Roman" w:eastAsia="Times New Roman" w:hAnsi="Times New Roman"/>
            <w:sz w:val="18"/>
            <w:szCs w:val="18"/>
            <w:u w:val="single" w:color="auto"/>
            <w:color w:val="0000EE"/>
          </w:rPr>
          <w:t>May 15,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for our Annual Meeting filed with the SEC on </w:t>
      </w:r>
      <w:hyperlink r:id="rId63">
        <w:r>
          <w:rPr>
            <w:rFonts w:ascii="Times New Roman" w:cs="Times New Roman" w:eastAsia="Times New Roman" w:hAnsi="Times New Roman"/>
            <w:sz w:val="18"/>
            <w:szCs w:val="18"/>
            <w:u w:val="single" w:color="auto"/>
            <w:color w:val="0000EE"/>
          </w:rPr>
          <w:t>April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for information contained therein which is furnished rather than filed);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2"/>
        </w:numPr>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auto"/>
          </w:rPr>
          <w:t xml:space="preserve">our Current Reports on Form 8-K (except for information contained therein which is furnished rather than filed) filed on </w:t>
        </w:r>
        <w:r>
          <w:rPr>
            <w:rFonts w:ascii="Times New Roman" w:cs="Times New Roman" w:eastAsia="Times New Roman" w:hAnsi="Times New Roman"/>
            <w:sz w:val="18"/>
            <w:szCs w:val="18"/>
            <w:u w:val="single" w:color="auto"/>
            <w:color w:val="0000EE"/>
          </w:rPr>
          <w:t>February 13,</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 xml:space="preserve">February 18, 2026 </w:t>
        </w:r>
      </w:hyperlink>
      <w:hyperlink r:id="rId64">
        <w:r>
          <w:rPr>
            <w:rFonts w:ascii="Times New Roman" w:cs="Times New Roman" w:eastAsia="Times New Roman" w:hAnsi="Times New Roman"/>
            <w:sz w:val="18"/>
            <w:szCs w:val="18"/>
            <w:color w:val="000000"/>
          </w:rPr>
          <w:t>(as amended on</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April 15, 2026</w:t>
        </w:r>
      </w:hyperlink>
      <w:hyperlink r:id="rId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April 16, 2026</w:t>
        </w:r>
      </w:hyperlink>
      <w:hyperlink r:id="rId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May 21, 2026</w:t>
        </w:r>
      </w:hyperlink>
      <w:hyperlink r:id="rId64">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May 22, 2026</w:t>
        </w:r>
      </w:hyperlink>
      <w:hyperlink r:id="rId64">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right="1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registered under Section 12 of the Exchange Act, described in </w:t>
      </w:r>
      <w:hyperlink r:id="rId7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for the fiscal year ended December 31, 2025, filed with the SEC on March 30, 2026, including all amendments or reports filed for the purpose of updating such description.</w:t>
      </w:r>
    </w:p>
    <w:p>
      <w:pPr>
        <w:spacing w:after="0" w:line="176" w:lineRule="exact"/>
        <w:rPr>
          <w:rFonts w:ascii="Times New Roman" w:cs="Times New Roman" w:eastAsia="Times New Roman" w:hAnsi="Times New Roman"/>
          <w:sz w:val="18"/>
          <w:szCs w:val="18"/>
          <w:color w:val="0000EE"/>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incorporates). Written or oral requests for copies should be directed to Sensei Biotherapeutics, Inc., Attn: Investor Relations, 1405 Research Boulevard, Suite 125, Rockville, MD 20850, telephone number (240) 243-8000. See the section of this prospectus entitled “Where You Can Find More Information” for information concerning how to read and obtain copies of materials that we file with the SEC.</w:t>
      </w:r>
    </w:p>
    <w:p>
      <w:pPr>
        <w:spacing w:after="0" w:line="183" w:lineRule="exact"/>
        <w:rPr>
          <w:rFonts w:ascii="Times New Roman" w:cs="Times New Roman" w:eastAsia="Times New Roman" w:hAnsi="Times New Roman"/>
          <w:sz w:val="18"/>
          <w:szCs w:val="18"/>
          <w:color w:val="0000EE"/>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112"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PART II</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3300" w:firstLine="2287"/>
        <w:spacing w:after="0" w:line="385" w:lineRule="auto"/>
        <w:rPr>
          <w:sz w:val="20"/>
          <w:szCs w:val="20"/>
          <w:color w:val="auto"/>
        </w:rPr>
      </w:pPr>
      <w:r>
        <w:rPr>
          <w:rFonts w:ascii="Times New Roman" w:cs="Times New Roman" w:eastAsia="Times New Roman" w:hAnsi="Times New Roman"/>
          <w:sz w:val="18"/>
          <w:szCs w:val="18"/>
          <w:b w:val="1"/>
          <w:bCs w:val="1"/>
          <w:color w:val="auto"/>
        </w:rPr>
        <w:t>INFORMATION NOT REQUIRED IN PROSPECTUS Other Expenses of Issuance and Distribution</w:t>
      </w:r>
    </w:p>
    <w:p>
      <w:pPr>
        <w:spacing w:after="0" w:line="1" w:lineRule="exact"/>
        <w:rPr>
          <w:sz w:val="20"/>
          <w:szCs w:val="20"/>
          <w:color w:val="auto"/>
        </w:rPr>
      </w:pPr>
    </w:p>
    <w:p>
      <w:pPr>
        <w:sectPr>
          <w:pgSz w:w="11900" w:h="16838" w:orient="portrait"/>
          <w:cols w:equalWidth="0" w:num="2">
            <w:col w:w="740" w:space="460"/>
            <w:col w:w="9860"/>
          </w:cols>
          <w:pgMar w:left="320" w:top="455" w:right="519" w:bottom="1440" w:gutter="0" w:footer="0" w:header="0"/>
          <w:type w:val="continuous"/>
        </w:sect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expenses payable by us in connection with the issuance and distribution of the securities being registered hereunder on Form S-3 (other than underwriting discounts and commissions, if any) are set forth below. The Selling Stockholders will not bear any portion of such expenses. Each item listed is estimated, except for the SEC registration fee: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107,080.68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3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567,080.68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5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60" w:type="dxa"/>
            <w:vAlign w:val="bottom"/>
            <w:vMerge w:val="continue"/>
          </w:tcPr>
          <w:p>
            <w:pPr>
              <w:spacing w:after="0"/>
              <w:rPr>
                <w:sz w:val="24"/>
                <w:szCs w:val="24"/>
                <w:color w:val="auto"/>
              </w:rPr>
            </w:pPr>
          </w:p>
        </w:tc>
        <w:tc>
          <w:tcPr>
            <w:tcW w:w="53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permitted by the Delaware General Corporation Law, our certificate of incorporation and bylaws provide that: (i) we are required to indemnify our directors to the fullest extent permitted by the Delaware General Corporation Law; (ii) we may, in our discretion, indemnify our officers, employees and agents as set forth in the Delaware General Corporation 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83"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60"/>
          </w:cols>
          <w:pgMar w:left="320" w:top="455" w:right="5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160" w:type="dxa"/>
            <w:vAlign w:val="bottom"/>
            <w:gridSpan w:val="25"/>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1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0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  2.1‡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680" w:type="dxa"/>
            <w:vAlign w:val="bottom"/>
            <w:tcBorders>
              <w:top w:val="single" w:sz="8" w:color="auto"/>
              <w:bottom w:val="single" w:sz="8" w:color="0000EE"/>
            </w:tcBorders>
            <w:gridSpan w:val="19"/>
          </w:tcPr>
          <w:p>
            <w:pPr>
              <w:spacing w:after="0" w:line="163"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Agreement and Plan of Merger, dated February 17, 2026, by and among Sensei Biotherapeutics, Inc., Sapphire First Merger Sub, Inc.,</w:t>
              </w:r>
            </w:hyperlink>
          </w:p>
        </w:tc>
        <w:tc>
          <w:tcPr>
            <w:tcW w:w="18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24"/>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Sapphire Second Merger Sub, LLC, Faeth Holdings Therapeutics, Inc. and Faeth Therapeutics, LLC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Exhibit 2.1 to the Registrant’s Current Report on Form 8-K (File No. 001-39980), filed with the SEC on February 18, 2026).</w:t>
              </w:r>
            </w:hyperlink>
          </w:p>
        </w:tc>
        <w:tc>
          <w:tcPr>
            <w:tcW w:w="380" w:type="dxa"/>
            <w:vAlign w:val="bottom"/>
            <w:tcBorders>
              <w:top w:val="single" w:sz="8" w:color="0000EE"/>
            </w:tcBorders>
            <w:gridSpan w:val="4"/>
          </w:tcPr>
          <w:p>
            <w:pPr>
              <w:spacing w:after="0"/>
              <w:rPr>
                <w:sz w:val="17"/>
                <w:szCs w:val="17"/>
                <w:color w:val="auto"/>
              </w:rPr>
            </w:pPr>
          </w:p>
        </w:tc>
        <w:tc>
          <w:tcPr>
            <w:tcW w:w="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280" w:type="dxa"/>
            <w:vAlign w:val="bottom"/>
          </w:tcPr>
          <w:p>
            <w:pPr>
              <w:spacing w:after="0"/>
              <w:rPr>
                <w:sz w:val="24"/>
                <w:szCs w:val="24"/>
                <w:color w:val="auto"/>
              </w:rPr>
            </w:pPr>
          </w:p>
        </w:tc>
        <w:tc>
          <w:tcPr>
            <w:tcW w:w="9880" w:type="dxa"/>
            <w:vAlign w:val="bottom"/>
            <w:gridSpan w:val="24"/>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and Restated Certificate of Incorporation (incorporated by reference to Exhibit 3.1 to the Registrant’s Current Report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8-K (File No. 001-39980), filed with the SEC on February 11, 2021).</w:t>
              </w:r>
            </w:hyperlink>
          </w:p>
        </w:tc>
        <w:tc>
          <w:tcPr>
            <w:tcW w:w="4840" w:type="dxa"/>
            <w:vAlign w:val="bottom"/>
            <w:tcBorders>
              <w:top w:val="single" w:sz="8" w:color="0000EE"/>
            </w:tcBorders>
            <w:gridSpan w:val="13"/>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280" w:type="dxa"/>
            <w:vAlign w:val="bottom"/>
          </w:tcPr>
          <w:p>
            <w:pPr>
              <w:spacing w:after="0"/>
              <w:rPr>
                <w:sz w:val="24"/>
                <w:szCs w:val="24"/>
                <w:color w:val="auto"/>
              </w:rPr>
            </w:pPr>
          </w:p>
        </w:tc>
        <w:tc>
          <w:tcPr>
            <w:tcW w:w="9880" w:type="dxa"/>
            <w:vAlign w:val="bottom"/>
            <w:gridSpan w:val="24"/>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Certificate of Amendment to Amended and Restated Certificate of Incorporation of Sensei Biotherapeutics, Inc., effective June 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24"/>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2025 (incorporated by reference to Exhibit 3.1 to the Registrant’s Current Report on Form 8-K (File No. 001-39980), filed with the SEC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75">
              <w:r>
                <w:rPr>
                  <w:rFonts w:ascii="Times New Roman" w:cs="Times New Roman" w:eastAsia="Times New Roman" w:hAnsi="Times New Roman"/>
                  <w:sz w:val="18"/>
                  <w:szCs w:val="18"/>
                  <w:color w:val="0000EE"/>
                  <w:w w:val="98"/>
                </w:rPr>
                <w:t>on June 13, 2025).</w:t>
              </w:r>
            </w:hyperlink>
          </w:p>
        </w:tc>
        <w:tc>
          <w:tcPr>
            <w:tcW w:w="852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w:t>
            </w:r>
          </w:p>
        </w:tc>
        <w:tc>
          <w:tcPr>
            <w:tcW w:w="280" w:type="dxa"/>
            <w:vAlign w:val="bottom"/>
          </w:tcPr>
          <w:p>
            <w:pPr>
              <w:spacing w:after="0"/>
              <w:rPr>
                <w:sz w:val="24"/>
                <w:szCs w:val="24"/>
                <w:color w:val="auto"/>
              </w:rPr>
            </w:pPr>
          </w:p>
        </w:tc>
        <w:tc>
          <w:tcPr>
            <w:tcW w:w="9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Amended and Restated Bylaws (incorporated by reference to Exhibit 3.1 to the Registrant’s Current Report on Form 8-K (File</w:t>
              </w:r>
            </w:hyperlink>
          </w:p>
        </w:tc>
        <w:tc>
          <w:tcPr>
            <w:tcW w:w="7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No. 001-39980), filed with the SEC on December 9, 2022).</w:t>
              </w:r>
            </w:hyperlink>
          </w:p>
        </w:tc>
        <w:tc>
          <w:tcPr>
            <w:tcW w:w="56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3.4</w:t>
            </w:r>
          </w:p>
        </w:tc>
        <w:tc>
          <w:tcPr>
            <w:tcW w:w="280" w:type="dxa"/>
            <w:vAlign w:val="bottom"/>
          </w:tcPr>
          <w:p>
            <w:pPr>
              <w:spacing w:after="0"/>
              <w:rPr>
                <w:sz w:val="24"/>
                <w:szCs w:val="24"/>
                <w:color w:val="auto"/>
              </w:rPr>
            </w:pPr>
          </w:p>
        </w:tc>
        <w:tc>
          <w:tcPr>
            <w:tcW w:w="9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Certificate of Designations of the Series A Junior Participating Cumulative Preferred Stock of the Registrant (incorporated by reference</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2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to Exhibit 3.1 to the Registrant’s Current Report on Form 8-K (File No. 001-39980), filed with the SEC on March 7, 2023).</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3.5</w:t>
            </w:r>
          </w:p>
        </w:tc>
        <w:tc>
          <w:tcPr>
            <w:tcW w:w="280" w:type="dxa"/>
            <w:vAlign w:val="bottom"/>
          </w:tcPr>
          <w:p>
            <w:pPr>
              <w:spacing w:after="0"/>
              <w:rPr>
                <w:sz w:val="24"/>
                <w:szCs w:val="24"/>
                <w:color w:val="auto"/>
              </w:rPr>
            </w:pPr>
          </w:p>
        </w:tc>
        <w:tc>
          <w:tcPr>
            <w:tcW w:w="9880" w:type="dxa"/>
            <w:vAlign w:val="bottom"/>
            <w:gridSpan w:val="24"/>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Certificate of Elimination of the Series A Junior Participating Cumulative Preferred Stock of the Registrant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Exhibit 3.4 to the Registrant’s Annual Report on Form 10-K (File No. 001-39980), filed with the SEC on March 28,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3.6</w:t>
            </w:r>
          </w:p>
        </w:tc>
        <w:tc>
          <w:tcPr>
            <w:tcW w:w="280" w:type="dxa"/>
            <w:vAlign w:val="bottom"/>
          </w:tcPr>
          <w:p>
            <w:pPr>
              <w:spacing w:after="0"/>
              <w:rPr>
                <w:sz w:val="24"/>
                <w:szCs w:val="24"/>
                <w:color w:val="auto"/>
              </w:rPr>
            </w:pPr>
          </w:p>
        </w:tc>
        <w:tc>
          <w:tcPr>
            <w:tcW w:w="9880" w:type="dxa"/>
            <w:vAlign w:val="bottom"/>
            <w:gridSpan w:val="24"/>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Certificate of Designation of Series B Non-Voting Convertible Preferred Stock (incorporated by reference to Exhibit 3.1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1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Registrant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s Current Report on Form 8-K (File No. 001-39980), filed with the SEC on February 18, 2026).</w:t>
              </w:r>
            </w:hyperlink>
          </w:p>
        </w:tc>
        <w:tc>
          <w:tcPr>
            <w:tcW w:w="7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280" w:type="dxa"/>
            <w:vAlign w:val="bottom"/>
          </w:tcPr>
          <w:p>
            <w:pPr>
              <w:spacing w:after="0"/>
              <w:rPr>
                <w:sz w:val="24"/>
                <w:szCs w:val="24"/>
                <w:color w:val="auto"/>
              </w:rPr>
            </w:pPr>
          </w:p>
        </w:tc>
        <w:tc>
          <w:tcPr>
            <w:tcW w:w="87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Description of Securities (incorporated by reference to Exhibit 4.1 to the Registrant’s Annual Report on Form 10-K (File</w:t>
              </w:r>
            </w:hyperlink>
          </w:p>
        </w:tc>
        <w:tc>
          <w:tcPr>
            <w:tcW w:w="11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No. 001-39980), filed with the SEC on March 30, 2026).</w:t>
              </w:r>
            </w:hyperlink>
          </w:p>
        </w:tc>
        <w:tc>
          <w:tcPr>
            <w:tcW w:w="5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280" w:type="dxa"/>
            <w:vAlign w:val="bottom"/>
          </w:tcPr>
          <w:p>
            <w:pPr>
              <w:spacing w:after="0"/>
              <w:rPr>
                <w:sz w:val="24"/>
                <w:szCs w:val="24"/>
                <w:color w:val="auto"/>
              </w:rPr>
            </w:pPr>
          </w:p>
        </w:tc>
        <w:tc>
          <w:tcPr>
            <w:tcW w:w="9880" w:type="dxa"/>
            <w:vAlign w:val="bottom"/>
            <w:gridSpan w:val="24"/>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Warrant to Purchase Stock, dated as of September 7, 2021, by and between Faeth Therapeutics, Inc. and Western Alliance Bank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5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24"/>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(incorporated by reference to Exhibit 4.2 to the Registrant’s Annual Report on Form 10-K (File No. 001-39980), filed with the SEC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March 30, 2026).</w:t>
              </w:r>
            </w:hyperlink>
          </w:p>
        </w:tc>
        <w:tc>
          <w:tcPr>
            <w:tcW w:w="8440" w:type="dxa"/>
            <w:vAlign w:val="bottom"/>
            <w:tcBorders>
              <w:top w:val="single" w:sz="8" w:color="0000EE"/>
            </w:tcBorders>
            <w:gridSpan w:val="16"/>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280" w:type="dxa"/>
            <w:vAlign w:val="bottom"/>
          </w:tcPr>
          <w:p>
            <w:pPr>
              <w:spacing w:after="0"/>
              <w:rPr>
                <w:sz w:val="24"/>
                <w:szCs w:val="24"/>
                <w:color w:val="auto"/>
              </w:rPr>
            </w:pPr>
          </w:p>
        </w:tc>
        <w:tc>
          <w:tcPr>
            <w:tcW w:w="1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Opinion of Cooley LLP</w:t>
              </w:r>
            </w:hyperlink>
          </w:p>
        </w:tc>
        <w:tc>
          <w:tcPr>
            <w:tcW w:w="81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9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Securities Purchase Agreement, dated as of February 17, 2026, by and among Sensei Biotherapeutics, Inc. and each investor</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listed on Exhibit A thereto (incorporated by reference to Exhibit 10.1 to the Registrant’s Current Report on Form 8-K (File</w:t>
              </w:r>
            </w:hyperlink>
          </w:p>
        </w:tc>
        <w:tc>
          <w:tcPr>
            <w:tcW w:w="1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No. 001-39980), filed with the SEC on February 18, 2026).</w:t>
              </w:r>
            </w:hyperlink>
          </w:p>
        </w:tc>
        <w:tc>
          <w:tcPr>
            <w:tcW w:w="56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80" w:type="dxa"/>
            <w:vAlign w:val="bottom"/>
            <w:gridSpan w:val="7"/>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7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23"/>
                <w:szCs w:val="23"/>
                <w:color w:val="auto"/>
              </w:rPr>
            </w:pPr>
          </w:p>
        </w:tc>
        <w:tc>
          <w:tcPr>
            <w:tcW w:w="9760" w:type="dxa"/>
            <w:vAlign w:val="bottom"/>
            <w:gridSpan w:val="10"/>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Registration Rights Agreement, by and among Sensei Biotherapeutics, Inc. and certain investors signatory thereto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by reference to Exhibit 10.2 to the Registrant’s Current Report on Form 8-K (File No. 001-39980), filed with the SEC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February 18, 2026).</w:t>
              </w:r>
            </w:hyperlink>
          </w:p>
        </w:tc>
        <w:tc>
          <w:tcPr>
            <w:tcW w:w="828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60" w:type="dxa"/>
            <w:vAlign w:val="bottom"/>
          </w:tcPr>
          <w:p>
            <w:pPr>
              <w:spacing w:after="0"/>
              <w:rPr>
                <w:sz w:val="24"/>
                <w:szCs w:val="24"/>
                <w:color w:val="auto"/>
              </w:rPr>
            </w:pPr>
          </w:p>
        </w:tc>
        <w:tc>
          <w:tcPr>
            <w:tcW w:w="59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w:t>
            </w:r>
          </w:p>
        </w:tc>
        <w:tc>
          <w:tcPr>
            <w:tcW w:w="3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6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Deloitte &amp; Touche LLP, independent registered public accounting firm.</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24.1**</w:t>
            </w:r>
          </w:p>
        </w:tc>
        <w:tc>
          <w:tcPr>
            <w:tcW w:w="760" w:type="dxa"/>
            <w:vAlign w:val="bottom"/>
          </w:tcPr>
          <w:p>
            <w:pPr>
              <w:spacing w:after="0"/>
              <w:rPr>
                <w:sz w:val="24"/>
                <w:szCs w:val="24"/>
                <w:color w:val="auto"/>
              </w:rPr>
            </w:pPr>
          </w:p>
        </w:tc>
        <w:tc>
          <w:tcPr>
            <w:tcW w:w="59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Power of Attorney (included on signature page).</w:t>
              </w:r>
            </w:hyperlink>
          </w:p>
        </w:tc>
        <w:tc>
          <w:tcPr>
            <w:tcW w:w="3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Stephen M. Hahn, M.D. to be named as a director nominee</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60" w:type="dxa"/>
            <w:vAlign w:val="bottom"/>
          </w:tcPr>
          <w:p>
            <w:pPr>
              <w:spacing w:after="0"/>
              <w:rPr>
                <w:sz w:val="24"/>
                <w:szCs w:val="24"/>
                <w:color w:val="auto"/>
              </w:rPr>
            </w:pPr>
          </w:p>
        </w:tc>
        <w:tc>
          <w:tcPr>
            <w:tcW w:w="50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Consent of Saira Ramasastry to be named as a director nominee</w:t>
            </w:r>
          </w:p>
        </w:tc>
        <w:tc>
          <w:tcPr>
            <w:tcW w:w="46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tcPr>
          <w:p>
            <w:pPr>
              <w:spacing w:after="0"/>
              <w:rPr>
                <w:sz w:val="24"/>
                <w:szCs w:val="24"/>
                <w:color w:val="auto"/>
              </w:rPr>
            </w:pPr>
          </w:p>
        </w:tc>
        <w:tc>
          <w:tcPr>
            <w:tcW w:w="46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Filing Fee Table</w:t>
              </w:r>
            </w:hyperlink>
          </w:p>
        </w:tc>
        <w:tc>
          <w:tcPr>
            <w:tcW w:w="5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660" w:hanging="544"/>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Previously filed.</w:t>
      </w:r>
    </w:p>
    <w:p>
      <w:pPr>
        <w:spacing w:after="0" w:line="9" w:lineRule="exact"/>
        <w:rPr>
          <w:rFonts w:ascii="Times New Roman" w:cs="Times New Roman" w:eastAsia="Times New Roman" w:hAnsi="Times New Roman"/>
          <w:sz w:val="18"/>
          <w:szCs w:val="18"/>
          <w:color w:val="auto"/>
        </w:rPr>
      </w:pPr>
    </w:p>
    <w:p>
      <w:pPr>
        <w:ind w:left="660" w:right="240" w:hanging="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annexes and attachments have been omitted pursuant to Item 601(a)(5) of Regulation S-K. The registrant agrees to provide, on a supplemental basis, a copy of any omitted schedules, annexes and attachments to the SEC or its staff upon request.</w:t>
      </w:r>
    </w:p>
    <w:p>
      <w:pPr>
        <w:spacing w:after="0" w:line="32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820" w:hanging="2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left="120" w:right="80" w:firstLine="436"/>
        <w:spacing w:after="0" w:line="256" w:lineRule="auto"/>
        <w:tabs>
          <w:tab w:leader="none" w:pos="8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“Filing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120" w:right="580" w:firstLine="436"/>
        <w:spacing w:after="0" w:line="282" w:lineRule="auto"/>
        <w:tabs>
          <w:tab w:leader="none" w:pos="8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subparagraphs (i),(ii), and (iii)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left="120" w:right="160" w:firstLine="436"/>
        <w:spacing w:after="0" w:line="266"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60" w:firstLine="436"/>
        <w:spacing w:after="0" w:line="282" w:lineRule="auto"/>
        <w:tabs>
          <w:tab w:leader="none" w:pos="8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ind w:left="120" w:right="320" w:firstLine="436"/>
        <w:spacing w:after="0" w:line="282" w:lineRule="auto"/>
        <w:tabs>
          <w:tab w:leader="none" w:pos="7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firstLine="436"/>
        <w:spacing w:after="0" w:line="253" w:lineRule="auto"/>
        <w:tabs>
          <w:tab w:leader="none" w:pos="8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2" w:lineRule="exact"/>
        <w:rPr>
          <w:sz w:val="20"/>
          <w:szCs w:val="20"/>
          <w:color w:val="auto"/>
        </w:rPr>
      </w:pPr>
    </w:p>
    <w:p>
      <w:pPr>
        <w:ind w:left="120" w:right="80" w:firstLine="436"/>
        <w:spacing w:after="0" w:line="261"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ind w:left="120" w:right="140" w:firstLine="436"/>
        <w:spacing w:after="0" w:line="254" w:lineRule="auto"/>
        <w:tabs>
          <w:tab w:leader="none" w:pos="8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Rockville, Maryland, on June 2, 2026.</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SENSEI BIOTHERAPEUTICS,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Christopher W. Gerry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General Counsel</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140"/>
          </w:cols>
          <w:pgMar w:left="320" w:top="455" w:right="439" w:bottom="1440" w:gutter="0" w:footer="0" w:header="0"/>
        </w:sectPr>
      </w:pPr>
    </w:p>
    <w:p>
      <w:pPr>
        <w:spacing w:after="0" w:line="18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7514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7"/>
          <w:szCs w:val="17"/>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27514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Christopher W. Gerry</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/s/ Josiah Craver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Josiah Craver</w:t>
      </w:r>
    </w:p>
    <w:p>
      <w:pPr>
        <w:spacing w:after="0" w:line="200" w:lineRule="exact"/>
        <w:rPr>
          <w:sz w:val="20"/>
          <w:szCs w:val="20"/>
          <w:color w:val="auto"/>
        </w:rPr>
      </w:pPr>
    </w:p>
    <w:p>
      <w:pPr>
        <w:spacing w:after="0" w:line="23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Bob Holmen</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Thomas Ricks</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Kristian Humer</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Phillip Donenberg</w:t>
      </w:r>
    </w:p>
    <w:p>
      <w:pPr>
        <w:spacing w:after="0" w:line="234"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Anand Parikh</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92"/>
        </w:trPr>
        <w:tc>
          <w:tcPr>
            <w:tcW w:w="45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President, General Counsel and Director (</w:t>
            </w:r>
            <w:r>
              <w:rPr>
                <w:rFonts w:ascii="Times New Roman" w:cs="Times New Roman" w:eastAsia="Times New Roman" w:hAnsi="Times New Roman"/>
                <w:sz w:val="18"/>
                <w:szCs w:val="18"/>
                <w:i w:val="1"/>
                <w:iCs w:val="1"/>
                <w:color w:val="auto"/>
              </w:rPr>
              <w:t>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236"/>
        </w:trPr>
        <w:tc>
          <w:tcPr>
            <w:tcW w:w="45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Executive Officer</w:t>
            </w:r>
            <w:r>
              <w:rPr>
                <w:rFonts w:ascii="Times New Roman" w:cs="Times New Roman" w:eastAsia="Times New Roman" w:hAnsi="Times New Roman"/>
                <w:sz w:val="18"/>
                <w:szCs w:val="18"/>
                <w:color w:val="auto"/>
              </w:rPr>
              <w:t>)</w:t>
            </w:r>
          </w:p>
        </w:tc>
        <w:tc>
          <w:tcPr>
            <w:tcW w:w="2020" w:type="dxa"/>
            <w:vAlign w:val="bottom"/>
          </w:tcPr>
          <w:p>
            <w:pPr>
              <w:spacing w:after="0"/>
              <w:rPr>
                <w:sz w:val="20"/>
                <w:szCs w:val="20"/>
                <w:color w:val="auto"/>
              </w:rPr>
            </w:pPr>
          </w:p>
        </w:tc>
      </w:tr>
      <w:tr>
        <w:trPr>
          <w:trHeight w:val="439"/>
        </w:trPr>
        <w:tc>
          <w:tcPr>
            <w:tcW w:w="45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of Finance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216"/>
        </w:trPr>
        <w:tc>
          <w:tcPr>
            <w:tcW w:w="45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Principal Accounting</w:t>
            </w:r>
          </w:p>
        </w:tc>
        <w:tc>
          <w:tcPr>
            <w:tcW w:w="2020" w:type="dxa"/>
            <w:vAlign w:val="bottom"/>
          </w:tcPr>
          <w:p>
            <w:pPr>
              <w:spacing w:after="0"/>
              <w:rPr>
                <w:sz w:val="18"/>
                <w:szCs w:val="18"/>
                <w:color w:val="auto"/>
              </w:rPr>
            </w:pPr>
          </w:p>
        </w:tc>
      </w:tr>
      <w:tr>
        <w:trPr>
          <w:trHeight w:val="236"/>
        </w:trPr>
        <w:tc>
          <w:tcPr>
            <w:tcW w:w="45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8"/>
              </w:rPr>
              <w:t>Officer</w:t>
            </w:r>
            <w:r>
              <w:rPr>
                <w:rFonts w:ascii="Times New Roman" w:cs="Times New Roman" w:eastAsia="Times New Roman" w:hAnsi="Times New Roman"/>
                <w:sz w:val="18"/>
                <w:szCs w:val="18"/>
                <w:color w:val="auto"/>
                <w:w w:val="98"/>
              </w:rPr>
              <w:t>)</w:t>
            </w:r>
          </w:p>
        </w:tc>
        <w:tc>
          <w:tcPr>
            <w:tcW w:w="2020" w:type="dxa"/>
            <w:vAlign w:val="bottom"/>
          </w:tcPr>
          <w:p>
            <w:pPr>
              <w:spacing w:after="0"/>
              <w:rPr>
                <w:sz w:val="20"/>
                <w:szCs w:val="20"/>
                <w:color w:val="auto"/>
              </w:rPr>
            </w:pPr>
          </w:p>
        </w:tc>
      </w:tr>
      <w:tr>
        <w:trPr>
          <w:trHeight w:val="446"/>
        </w:trPr>
        <w:tc>
          <w:tcPr>
            <w:tcW w:w="4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675"/>
        </w:trPr>
        <w:tc>
          <w:tcPr>
            <w:tcW w:w="4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675"/>
        </w:trPr>
        <w:tc>
          <w:tcPr>
            <w:tcW w:w="4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675"/>
        </w:trPr>
        <w:tc>
          <w:tcPr>
            <w:tcW w:w="4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675"/>
        </w:trPr>
        <w:tc>
          <w:tcPr>
            <w:tcW w:w="4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918"/>
        </w:trPr>
        <w:tc>
          <w:tcPr>
            <w:tcW w:w="4560" w:type="dxa"/>
            <w:vAlign w:val="bottom"/>
            <w:gridSpan w:val="3"/>
          </w:tcPr>
          <w:p>
            <w:pPr>
              <w:ind w:left="2180"/>
              <w:spacing w:after="0"/>
              <w:rPr>
                <w:sz w:val="20"/>
                <w:szCs w:val="20"/>
                <w:color w:val="auto"/>
              </w:rPr>
            </w:pPr>
            <w:r>
              <w:rPr>
                <w:rFonts w:ascii="Times New Roman" w:cs="Times New Roman" w:eastAsia="Times New Roman" w:hAnsi="Times New Roman"/>
                <w:sz w:val="18"/>
                <w:szCs w:val="18"/>
                <w:color w:val="auto"/>
              </w:rPr>
              <w:t>*By /s/ Christopher W. Gerry</w:t>
            </w:r>
          </w:p>
        </w:tc>
        <w:tc>
          <w:tcPr>
            <w:tcW w:w="2020" w:type="dxa"/>
            <w:vAlign w:val="bottom"/>
          </w:tcPr>
          <w:p>
            <w:pPr>
              <w:spacing w:after="0"/>
              <w:rPr>
                <w:sz w:val="24"/>
                <w:szCs w:val="24"/>
                <w:color w:val="auto"/>
              </w:rPr>
            </w:pPr>
          </w:p>
        </w:tc>
      </w:tr>
      <w:tr>
        <w:trPr>
          <w:trHeight w:val="205"/>
        </w:trPr>
        <w:tc>
          <w:tcPr>
            <w:tcW w:w="2580" w:type="dxa"/>
            <w:vAlign w:val="bottom"/>
          </w:tcPr>
          <w:p>
            <w:pPr>
              <w:spacing w:after="0"/>
              <w:rPr>
                <w:sz w:val="17"/>
                <w:szCs w:val="17"/>
                <w:color w:val="auto"/>
              </w:rPr>
            </w:pPr>
          </w:p>
        </w:tc>
        <w:tc>
          <w:tcPr>
            <w:tcW w:w="198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Christopher W. Gerry</w:t>
            </w:r>
          </w:p>
        </w:tc>
        <w:tc>
          <w:tcPr>
            <w:tcW w:w="2020" w:type="dxa"/>
            <w:vAlign w:val="bottom"/>
            <w:tcBorders>
              <w:top w:val="single" w:sz="8" w:color="auto"/>
            </w:tcBorders>
          </w:tcPr>
          <w:p>
            <w:pPr>
              <w:spacing w:after="0"/>
              <w:rPr>
                <w:sz w:val="17"/>
                <w:szCs w:val="17"/>
                <w:color w:val="auto"/>
              </w:rPr>
            </w:pPr>
          </w:p>
        </w:tc>
      </w:tr>
      <w:tr>
        <w:trPr>
          <w:trHeight w:val="234"/>
        </w:trPr>
        <w:tc>
          <w:tcPr>
            <w:tcW w:w="258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2020" w:type="dxa"/>
            <w:vAlign w:val="bottom"/>
          </w:tcPr>
          <w:p>
            <w:pPr>
              <w:spacing w:after="0"/>
              <w:rPr>
                <w:sz w:val="20"/>
                <w:szCs w:val="20"/>
                <w:color w:val="auto"/>
              </w:rPr>
            </w:pPr>
          </w:p>
        </w:tc>
      </w:tr>
      <w:tr>
        <w:trPr>
          <w:trHeight w:val="365"/>
        </w:trPr>
        <w:tc>
          <w:tcPr>
            <w:tcW w:w="45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II-5</w:t>
            </w:r>
          </w:p>
        </w:tc>
        <w:tc>
          <w:tcPr>
            <w:tcW w:w="2020" w:type="dxa"/>
            <w:vAlign w:val="bottom"/>
          </w:tcPr>
          <w:p>
            <w:pPr>
              <w:spacing w:after="0"/>
              <w:rPr>
                <w:sz w:val="24"/>
                <w:szCs w:val="24"/>
                <w:color w:val="auto"/>
              </w:rPr>
            </w:pPr>
          </w:p>
        </w:tc>
      </w:tr>
    </w:tbl>
    <w:p>
      <w:pPr>
        <w:sectPr>
          <w:pgSz w:w="11900" w:h="16838" w:orient="portrait"/>
          <w:cols w:equalWidth="0" w:num="2">
            <w:col w:w="3840" w:space="720"/>
            <w:col w:w="6580"/>
          </w:cols>
          <w:pgMar w:left="320" w:top="455" w:right="43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March 30, 2026 relating to the financial statements of Sensei Biotherapeutics, Inc. appearing in the Annual Report on Form 10-K of Sensei Biotherapeutics, Inc. for the year ended December 31,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2026</w:t>
      </w:r>
    </w:p>
    <w:p>
      <w:pPr>
        <w:sectPr>
          <w:pgSz w:w="11900" w:h="16838" w:orient="portrait"/>
          <w:cols w:equalWidth="0" w:num="1">
            <w:col w:w="11020"/>
          </w:cols>
          <w:pgMar w:left="440" w:top="117"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April 15, 2026, relating to the financial statements of Faeth Therapeutics, Inc., appearing in the Current Report on Form 8-K of Sensei Biotherapeutics, Inc. filed on April 15, 2026.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2026</w:t>
      </w:r>
    </w:p>
    <w:p>
      <w:pPr>
        <w:sectPr>
          <w:pgSz w:w="11900" w:h="16838" w:orient="portrait"/>
          <w:cols w:equalWidth="0" w:num="1">
            <w:col w:w="11020"/>
          </w:cols>
          <w:pgMar w:left="440" w:top="117"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Sensei Biotherapeutics, Inc. (the “Company”) is filing a Registration Statement on Form S-3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an anticipated future member of the board of directors of the Company. I also consent to the filing of this consent as an exhibit to the Registration Statement and any amendments thereto.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M. Hahn,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Stephen M. Hahn,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2026</w:t>
      </w:r>
    </w:p>
    <w:p>
      <w:pPr>
        <w:sectPr>
          <w:pgSz w:w="11900" w:h="16838" w:orient="portrait"/>
          <w:cols w:equalWidth="0" w:num="1">
            <w:col w:w="11020"/>
          </w:cols>
          <w:pgMar w:left="440" w:top="121"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Sensei Biotherapeutics, Inc. (the “Company”) is filing a Registration Statement on Form S-3 (the “Registration Statement”) with the Securities and Exchange Commission under the Securities Act of 1933, as amended (the “Securities Act”). In connection therewith, I hereby consent, pursuant to Rule 438 of the Securities Act, to being named in the Registration Statement and any and all amendments and supplements thereto as an anticipated future member of the board of directors of the Company. I also consent to the filing of this consent as an exhibit to the Registration Statement and any amendments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Saira Ramasastry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Saira Ramasastry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2026</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2"/>
    </w:lvl>
  </w:abstractNum>
  <w:abstractNum w:abstractNumId="1">
    <w:nsid w:val="41A7C4C9"/>
    <w:multiLevelType w:val="hybridMultilevel"/>
    <w:lvl w:ilvl="0">
      <w:lvlJc w:val="left"/>
      <w:lvlText w:val="(%1)"/>
      <w:numFmt w:val="decimal"/>
      <w:start w:val="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9"/>
    </w:lvl>
  </w:abstractNum>
  <w:abstractNum w:abstractNumId="6">
    <w:nsid w:val="431BD7B7"/>
    <w:multiLevelType w:val="hybridMultilevel"/>
    <w:lvl w:ilvl="0">
      <w:lvlJc w:val="left"/>
      <w:lvlText w:val="(%1)"/>
      <w:numFmt w:val="decimal"/>
      <w:start w:val="13"/>
    </w:lvl>
  </w:abstractNum>
  <w:abstractNum w:abstractNumId="7">
    <w:nsid w:val="3F2DBA31"/>
    <w:multiLevelType w:val="hybridMultilevel"/>
    <w:lvl w:ilvl="0">
      <w:lvlJc w:val="left"/>
      <w:lvlText w:val="(%1)"/>
      <w:numFmt w:val="decimal"/>
      <w:start w:val="17"/>
    </w:lvl>
  </w:abstractNum>
  <w:abstractNum w:abstractNumId="8">
    <w:nsid w:val="7C83E458"/>
    <w:multiLevelType w:val="hybridMultilevel"/>
    <w:lvl w:ilvl="0">
      <w:lvlJc w:val="left"/>
      <w:lvlText w:val="(%1)"/>
      <w:numFmt w:val="decimal"/>
      <w:start w:val="21"/>
    </w:lvl>
  </w:abstractNum>
  <w:abstractNum w:abstractNumId="9">
    <w:nsid w:val="257130A3"/>
    <w:multiLevelType w:val="hybridMultilevel"/>
    <w:lvl w:ilvl="0">
      <w:lvlJc w:val="left"/>
      <w:lvlText w:val="(%1)"/>
      <w:numFmt w:val="decimal"/>
      <w:start w:val="25"/>
    </w:lvl>
  </w:abstractNum>
  <w:abstractNum w:abstractNumId="10">
    <w:nsid w:val="62BBD95A"/>
    <w:multiLevelType w:val="hybridMultilevel"/>
    <w:lvl w:ilvl="0">
      <w:lvlJc w:val="left"/>
      <w:lvlText w:val="(%1)"/>
      <w:numFmt w:val="decimal"/>
      <w:start w:val="30"/>
    </w:lvl>
  </w:abstractNum>
  <w:abstractNum w:abstractNumId="11">
    <w:nsid w:val="436C6125"/>
    <w:multiLevelType w:val="hybridMultilevel"/>
    <w:lvl w:ilvl="0">
      <w:lvlJc w:val="left"/>
      <w:lvlText w:val="(%1)"/>
      <w:numFmt w:val="decimal"/>
      <w:start w:val="34"/>
    </w:lvl>
  </w:abstractNum>
  <w:abstractNum w:abstractNumId="12">
    <w:nsid w:val="628C895D"/>
    <w:multiLevelType w:val="hybridMultilevel"/>
    <w:lvl w:ilvl="0">
      <w:lvlJc w:val="left"/>
      <w:lvlText w:val="(%1)"/>
      <w:numFmt w:val="decimal"/>
      <w:start w:val="40"/>
    </w:lvl>
  </w:abstractNum>
  <w:abstractNum w:abstractNumId="13">
    <w:nsid w:val="333AB105"/>
    <w:multiLevelType w:val="hybridMultilevel"/>
    <w:lvl w:ilvl="0">
      <w:lvlJc w:val="left"/>
      <w:lvlText w:val="(%1)"/>
      <w:numFmt w:val="decimal"/>
      <w:start w:val="47"/>
    </w:lvl>
  </w:abstractNum>
  <w:abstractNum w:abstractNumId="14">
    <w:nsid w:val="721DA317"/>
    <w:multiLevelType w:val="hybridMultilevel"/>
    <w:lvl w:ilvl="0">
      <w:lvlJc w:val="left"/>
      <w:lvlText w:val="(%1)"/>
      <w:numFmt w:val="decimal"/>
      <w:start w:val="53"/>
    </w:lvl>
  </w:abstractNum>
  <w:abstractNum w:abstractNumId="15">
    <w:nsid w:val="2443A858"/>
    <w:multiLevelType w:val="hybridMultilevel"/>
    <w:lvl w:ilvl="0">
      <w:lvlJc w:val="left"/>
      <w:lvlText w:val="(%1)"/>
      <w:numFmt w:val="decimal"/>
      <w:start w:val="60"/>
    </w:lvl>
  </w:abstractNum>
  <w:abstractNum w:abstractNumId="16">
    <w:nsid w:val="2D1D5AE9"/>
    <w:multiLevelType w:val="hybridMultilevel"/>
    <w:lvl w:ilvl="0">
      <w:lvlJc w:val="left"/>
      <w:lvlText w:val="(%1)"/>
      <w:numFmt w:val="decimal"/>
      <w:start w:val="67"/>
    </w:lvl>
  </w:abstractNum>
  <w:abstractNum w:abstractNumId="17">
    <w:nsid w:val="6763845E"/>
    <w:multiLevelType w:val="hybridMultilevel"/>
    <w:lvl w:ilvl="0">
      <w:lvlJc w:val="left"/>
      <w:lvlText w:val="(%1)"/>
      <w:numFmt w:val="decimal"/>
      <w:start w:val="75"/>
    </w:lvl>
  </w:abstractNum>
  <w:abstractNum w:abstractNumId="18">
    <w:nsid w:val="75A2A8D4"/>
    <w:multiLevelType w:val="hybridMultilevel"/>
    <w:lvl w:ilvl="0">
      <w:lvlJc w:val="left"/>
      <w:lvlText w:val="(%1)"/>
      <w:numFmt w:val="decimal"/>
      <w:start w:val="82"/>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Roman"/>
      <w:start w:val="2"/>
    </w:lvl>
  </w:abstractNum>
  <w:abstractNum w:abstractNumId="25">
    <w:nsid w:val="71F32454"/>
    <w:multiLevelType w:val="hybridMultilevel"/>
    <w:lvl w:ilvl="0">
      <w:lvlJc w:val="left"/>
      <w:lvlText w:val="(%1)"/>
      <w:numFmt w:val="decimal"/>
      <w:start w:val="2"/>
    </w:lvl>
  </w:abstractNum>
  <w:abstractNum w:abstractNumId="26">
    <w:nsid w:val="2CA88611"/>
    <w:multiLevelType w:val="hybridMultilevel"/>
    <w:lvl w:ilvl="0">
      <w:lvlJc w:val="left"/>
      <w:lvlText w:val="(%1)"/>
      <w:numFmt w:val="decimal"/>
      <w:start w:val="3"/>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83"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61" Type="http://schemas.openxmlformats.org/officeDocument/2006/relationships/hyperlink" Target="http://www.sec.gov/ix?doc=/Archives/edgar/data/0001829802/000119312526132014/snse-20251231.htm" TargetMode="External"/><Relationship Id="rId62" Type="http://schemas.openxmlformats.org/officeDocument/2006/relationships/hyperlink" Target="http://www.sec.gov/ix?doc=/Archives/edgar/data/1829802/000119312526225333/snse-20260331.htm" TargetMode="External"/><Relationship Id="rId63" Type="http://schemas.openxmlformats.org/officeDocument/2006/relationships/hyperlink" Target="http://www.sec.gov/ix?doc=/Archives/edgar/data/1829802/000119312526182143/d16802ddef14a.htm" TargetMode="External"/><Relationship Id="rId64" Type="http://schemas.openxmlformats.org/officeDocument/2006/relationships/hyperlink" Target="http://www.sec.gov/ix?doc=/Archives/edgar/data/0001829802/000119312526051815/d82134d8k.htm" TargetMode="External"/><Relationship Id="rId65" Type="http://schemas.openxmlformats.org/officeDocument/2006/relationships/hyperlink" Target="http://www.sec.gov/ix?doc=/Archives/edgar/data/0001829802/000119312526056135/d112826d8k.htm" TargetMode="External"/><Relationship Id="rId66" Type="http://schemas.openxmlformats.org/officeDocument/2006/relationships/hyperlink" Target="http://www.sec.gov/ix?doc=/Archives/edgar/data/0001829802/000119312526157038/d40329d8ka.htm" TargetMode="External"/><Relationship Id="rId67" Type="http://schemas.openxmlformats.org/officeDocument/2006/relationships/hyperlink" Target="http://www.sec.gov/ix?doc=/Archives/edgar/data/0001829802/000119312526158951/d85136d8k.htm" TargetMode="External"/><Relationship Id="rId68" Type="http://schemas.openxmlformats.org/officeDocument/2006/relationships/hyperlink" Target="http://www.sec.gov/ix?doc=/Archives/edgar/data/1829802/000119312526234882/d162035d8k.htm" TargetMode="External"/><Relationship Id="rId69" Type="http://schemas.openxmlformats.org/officeDocument/2006/relationships/hyperlink" Target="http://www.sec.gov/ix?doc=/Archives/edgar/data/1829802/000119312526236820/d900837d8k.htm" TargetMode="External"/><Relationship Id="rId70" Type="http://schemas.openxmlformats.org/officeDocument/2006/relationships/hyperlink" Target="http://www.sec.gov/Archives/edgar/data/1829802/000119312526132014/snse-ex4_1.htm" TargetMode="External"/><Relationship Id="rId73" Type="http://schemas.openxmlformats.org/officeDocument/2006/relationships/hyperlink" Target="http://www.sec.gov/Archives/edgar/data/1829802/000119312526056135/d112826dex21.htm" TargetMode="External"/><Relationship Id="rId74" Type="http://schemas.openxmlformats.org/officeDocument/2006/relationships/hyperlink" Target="http://www.sec.gov/Archives/edgar/data/1829802/000119312521037280/d95909dex31.htm" TargetMode="External"/><Relationship Id="rId75" Type="http://schemas.openxmlformats.org/officeDocument/2006/relationships/hyperlink" Target="http://www.sec.gov/Archives/edgar/data/1829802/000119312525140329/d945713dex31.htm" TargetMode="External"/><Relationship Id="rId76" Type="http://schemas.openxmlformats.org/officeDocument/2006/relationships/hyperlink" Target="http://www.sec.gov/Archives/edgar/data/1829802/000119312522301836/d514100dex31.htm" TargetMode="External"/><Relationship Id="rId77" Type="http://schemas.openxmlformats.org/officeDocument/2006/relationships/hyperlink" Target="http://www.sec.gov/Archives/edgar/data/1829802/000119312523063093/d470819dex31.htm" TargetMode="External"/><Relationship Id="rId78" Type="http://schemas.openxmlformats.org/officeDocument/2006/relationships/hyperlink" Target="http://www.sec.gov/Archives/edgar/data/1829802/000095017025046338/snse-ex3_4.htm" TargetMode="External"/><Relationship Id="rId79" Type="http://schemas.openxmlformats.org/officeDocument/2006/relationships/hyperlink" Target="http://www.sec.gov/Archives/edgar/data/1829802/000119312526056135/d112826dex31.htm" TargetMode="External"/><Relationship Id="rId80" Type="http://schemas.openxmlformats.org/officeDocument/2006/relationships/hyperlink" Target="http://www.sec.gov/Archives/edgar/data/1829802/000119312526132014/snse-ex4_2.htm" TargetMode="External"/><Relationship Id="rId81" Type="http://schemas.openxmlformats.org/officeDocument/2006/relationships/hyperlink" Target="http://www.sec.gov/Archives/edgar/data/1829802/000119312526183535/d133316dex51.htm" TargetMode="External"/><Relationship Id="rId82" Type="http://schemas.openxmlformats.org/officeDocument/2006/relationships/hyperlink" Target="http://www.sec.gov/Archives/edgar/data/1829802/000119312526056135/d112826dex101.htm" TargetMode="External"/><Relationship Id="rId84" Type="http://schemas.openxmlformats.org/officeDocument/2006/relationships/hyperlink" Target="http://www.sec.gov/Archives/edgar/data/1829802/000119312526056135/d112826dex102.htm" TargetMode="External"/><Relationship Id="rId85" Type="http://schemas.openxmlformats.org/officeDocument/2006/relationships/hyperlink" Target="http://www.sec.gov/Archives/edgar/data/1829802/000119312526183535/d133316ds3.htm#sig" TargetMode="External"/><Relationship Id="rId86" Type="http://schemas.openxmlformats.org/officeDocument/2006/relationships/hyperlink" Target="http://www.sec.gov/Archives/edgar/data/1829802/000119312526183535/d13331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2026-06-02T07:57:57Z</dcterms:created>
  <dcterms:modified xsi:type="dcterms:W3CDTF">2026-06-02T07:57:57Z</dcterms:modified>
</cp:coreProperties>
</file>