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Peyer James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Sensei Biotherapeutics,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SNSE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SENSEI BIOTHERAPEUTICS, INC.</w:t>
            </w: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04/07/2021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1405 RESEARCH BLVD. SUITE 125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ROCKVILLE   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5"/>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800" w:type="dxa"/>
            <w:vAlign w:val="bottom"/>
            <w:gridSpan w:val="5"/>
            <w:vMerge w:val="restart"/>
          </w:tcPr>
          <w:p>
            <w:pPr>
              <w:ind w:left="860"/>
              <w:spacing w:after="0"/>
              <w:rPr>
                <w:sz w:val="20"/>
                <w:szCs w:val="20"/>
                <w:color w:val="auto"/>
              </w:rPr>
            </w:pPr>
            <w:r>
              <w:rPr>
                <w:rFonts w:ascii="Arial" w:cs="Arial" w:eastAsia="Arial" w:hAnsi="Arial"/>
                <w:sz w:val="17"/>
                <w:szCs w:val="17"/>
                <w:color w:val="0000FF"/>
              </w:rPr>
              <w:t>04/07/2021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2,000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600" w:type="dxa"/>
            <w:vAlign w:val="bottom"/>
            <w:gridSpan w:val="3"/>
            <w:vMerge w:val="restart"/>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4,807,544</w:t>
            </w:r>
          </w:p>
        </w:tc>
        <w:tc>
          <w:tcPr>
            <w:tcW w:w="240" w:type="dxa"/>
            <w:vAlign w:val="bottom"/>
          </w:tcPr>
          <w:p>
            <w:pPr>
              <w:spacing w:after="0"/>
              <w:rPr>
                <w:sz w:val="22"/>
                <w:szCs w:val="22"/>
                <w:color w:val="auto"/>
              </w:rPr>
            </w:pPr>
          </w:p>
        </w:tc>
        <w:tc>
          <w:tcPr>
            <w:tcW w:w="680" w:type="dxa"/>
            <w:vAlign w:val="bottom"/>
            <w:vMerge w:val="restart"/>
          </w:tcPr>
          <w:p>
            <w:pPr>
              <w:ind w:left="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by Cambrian Biopharma Inc, a Delaware corporation ("Cambrian"). The Reporting Person is the Chief Executive Officer of Cambrian and in such capacity may direct the voting and disposition of the shares held by Cambrian, subject in certain instances to the approval of Cambrian's Board of Directors. Mr. Peyer disclaims beneficial ownership of such shares.</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Sarah Field,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04/08/2021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94"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2021-04-08T17:14:43Z</dcterms:created>
  <dcterms:modified xsi:type="dcterms:W3CDTF">2021-04-08T17:14:43Z</dcterms:modified>
</cp:coreProperties>
</file>